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AUGUST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August 4, 2026, BioNTech SE (the “Company”) provided a development update and reported its financial results for the three and six months ended June 30, 2026. The interim condensed consolidated financial statements as well as the operating and financial review and prospects of the Company for the three and six months ended June 30, 2026 are attached hereto as Exhibit 99.1 and shall be deemed “filed” for purposes of Section 18 of the Securities Exchange Act of 1934, as amended (the “Exchange Act”) and incorporated by reference herein.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tbl>
      <w:tblPr>
        <w:tblW w:w="7471" w:type="dxa"/>
        <w:jc w:val="left"/>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/s/ Ramón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Name: Ramón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August 4, 2026</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7486" w:type="dxa"/>
        <w:jc w:val="left"/>
        <w:tblInd w:w="0" w:type="dxa"/>
        <w:tblLayout w:type="fixed"/>
        <w:tblCellMar>
          <w:top w:w="28" w:type="dxa"/>
          <w:left w:w="28" w:type="dxa"/>
          <w:bottom w:w="28" w:type="dxa"/>
          <w:right w:w="28" w:type="dxa"/>
        </w:tblCellMar>
      </w:tblPr>
      <w:tblGrid>
        <w:gridCol w:w="294"/>
        <w:gridCol w:w="258"/>
        <w:gridCol w:w="259"/>
        <w:gridCol w:w="1955"/>
        <w:gridCol w:w="1955"/>
        <w:gridCol w:w="276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66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6675"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bntxq22026ex991quarterlyre.htm">
              <w:r>
                <w:rPr>
                  <w:rStyle w:val="InternetLink"/>
                  <w:rFonts w:ascii="Times New Roman;serif" w:hAnsi="Times New Roman;serif"/>
                  <w:b w:val="false"/>
                  <w:color w:val="0000FF"/>
                  <w:sz w:val="24"/>
                  <w:u w:val="single"/>
                </w:rPr>
                <w:t>Quarterly Report for the Three and Six Months Ended June 30, 2026</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300"/>
        <w:jc w:val="both"/>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both"/>
        <w:rPr/>
      </w:pPr>
      <w:r>
        <w:rPr/>
        <w:drawing>
          <wp:inline distT="0" distB="0" distL="0" distR="0">
            <wp:extent cx="7562850" cy="106870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7562850" cy="106870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Exhibit 99.1</w:t>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3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both"/>
                        <w:rPr/>
                      </w:pPr>
                      <w:r>
                        <w:rPr/>
                      </w:r>
                    </w:p>
                  </w:txbxContent>
                </v:textbox>
                <w10:wrap type="none"/>
              </v:rect>
            </w:pict>
          </mc:Fallback>
        </mc:AlternateContent>
      </w:r>
    </w:p>
    <w:p>
      <w:pPr>
        <w:pStyle w:val="TextBody"/>
        <w:bidi w:val="0"/>
        <w:spacing w:lineRule="atLeast" w:line="300" w:before="24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principal executive offices are located at An der Goldgrube 12, D-55131 Mainz, Germany. Our telephone number is +49 6131-9084-0. Our website address is www.biontech.com. The information contained on, or that can be accessed through, our website is not part of this document. Our agent for service solely for the purpose of notices and communications from the Securities and Exchange Commission in the United States is c/o BioNTech US Inc., 40 Erie Street, Suite 110, Cambridge, Massachusetts 02139, +1 (617) 337-4701.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Exhibit 99.1</w:t>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3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both"/>
                        <w:rPr/>
                      </w:pPr>
                      <w:r>
                        <w:rPr/>
                      </w:r>
                    </w:p>
                  </w:txbxContent>
                </v:textbox>
                <w10:wrap type="none"/>
              </v:rect>
            </w:pict>
          </mc:Fallback>
        </mc:AlternateContent>
      </w:r>
    </w:p>
    <w:p>
      <w:pPr>
        <w:pStyle w:val="TextBody"/>
        <w:bidi w:val="0"/>
        <w:spacing w:lineRule="auto" w:line="288" w:before="0" w:after="1120"/>
        <w:jc w:val="left"/>
        <w:rPr>
          <w:rFonts w:ascii="Neue Haas Grotesk Display Pro 65 Medium;serif" w:hAnsi="Neue Haas Grotesk Display Pro 65 Medium;serif"/>
          <w:b/>
          <w:color w:val="107072"/>
          <w:sz w:val="40"/>
        </w:rPr>
      </w:pPr>
      <w:r>
        <w:rPr>
          <w:rFonts w:ascii="Neue Haas Grotesk Display Pro 65 Medium;serif" w:hAnsi="Neue Haas Grotesk Display Pro 65 Medium;serif"/>
          <w:b/>
          <w:color w:val="107072"/>
          <w:sz w:val="40"/>
        </w:rPr>
        <w:t>UNAUDITED INTERIM CONDENSED CONSOLIDATED FINANCIAL STATEMENTS</w:t>
      </w:r>
    </w:p>
    <w:tbl>
      <w:tblPr>
        <w:tblW w:w="9879" w:type="dxa"/>
        <w:jc w:val="center"/>
        <w:tblInd w:w="0" w:type="dxa"/>
        <w:tblLayout w:type="fixed"/>
        <w:tblCellMar>
          <w:top w:w="28" w:type="dxa"/>
          <w:left w:w="28" w:type="dxa"/>
          <w:bottom w:w="28" w:type="dxa"/>
          <w:right w:w="28" w:type="dxa"/>
        </w:tblCellMar>
      </w:tblPr>
      <w:tblGrid>
        <w:gridCol w:w="1466"/>
        <w:gridCol w:w="1290"/>
        <w:gridCol w:w="1290"/>
        <w:gridCol w:w="1712"/>
        <w:gridCol w:w="1712"/>
        <w:gridCol w:w="1735"/>
        <w:gridCol w:w="197"/>
        <w:gridCol w:w="197"/>
        <w:gridCol w:w="280"/>
      </w:tblGrid>
      <w:tr>
        <w:trPr/>
        <w:tc>
          <w:tcPr>
            <w:tcW w:w="146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920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Neue Haas Grotesk Display Pro 45 Light;serif" w:hAnsi="Neue Haas Grotesk Display Pro 45 Light;serif"/>
                <w:b w:val="false"/>
                <w:color w:val="000000"/>
                <w:sz w:val="20"/>
              </w:rPr>
              <w:t xml:space="preserve">Interim </w:t>
            </w:r>
            <w:hyperlink w:anchor="i58ee89399d9d45f4ac20dcae213591ea_315">
              <w:r>
                <w:rPr>
                  <w:rStyle w:val="InternetLink"/>
                  <w:rFonts w:ascii="Neue Haas Grotesk Display Pro 45 Light;serif" w:hAnsi="Neue Haas Grotesk Display Pro 45 Light;serif"/>
                  <w:b w:val="false"/>
                  <w:strike w:val="false"/>
                  <w:dstrike w:val="false"/>
                  <w:color w:val="000000"/>
                  <w:sz w:val="20"/>
                  <w:u w:val="none"/>
                  <w:effect w:val="none"/>
                </w:rPr>
                <w:t>Condensed Consolidated Statements of Profit or Loss</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315">
              <w:r>
                <w:rPr>
                  <w:rStyle w:val="InternetLink"/>
                  <w:rFonts w:ascii="Neue Haas Grotesk Display Pro 45 Light;serif" w:hAnsi="Neue Haas Grotesk Display Pro 45 Light;serif"/>
                  <w:b w:val="false"/>
                  <w:strike w:val="false"/>
                  <w:dstrike w:val="false"/>
                  <w:color w:val="000000"/>
                  <w:sz w:val="20"/>
                  <w:u w:val="none"/>
                  <w:effect w:val="none"/>
                </w:rPr>
                <w:t>1</w:t>
              </w:r>
            </w:hyperlink>
          </w:p>
        </w:tc>
      </w:tr>
      <w:tr>
        <w:trPr/>
        <w:tc>
          <w:tcPr>
            <w:tcW w:w="9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Interim Condensed Consolidated Statements of Comprehensive Income</w:t>
            </w:r>
          </w:p>
        </w:tc>
        <w:tc>
          <w:tcPr>
            <w:tcW w:w="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158879430216628">
              <w:r>
                <w:rPr>
                  <w:rStyle w:val="InternetLink"/>
                  <w:rFonts w:ascii="Neue Haas Grotesk Display Pro 45 Light;serif" w:hAnsi="Neue Haas Grotesk Display Pro 45 Light;serif"/>
                  <w:b w:val="false"/>
                  <w:strike w:val="false"/>
                  <w:dstrike w:val="false"/>
                  <w:color w:val="000000"/>
                  <w:sz w:val="20"/>
                  <w:u w:val="none"/>
                  <w:effect w:val="none"/>
                </w:rPr>
                <w:t>2</w:t>
              </w:r>
            </w:hyperlink>
          </w:p>
        </w:tc>
      </w:tr>
      <w:tr>
        <w:trPr/>
        <w:tc>
          <w:tcPr>
            <w:tcW w:w="920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Neue Haas Grotesk Display Pro 45 Light;serif" w:hAnsi="Neue Haas Grotesk Display Pro 45 Light;serif"/>
                <w:b w:val="false"/>
                <w:color w:val="000000"/>
                <w:sz w:val="20"/>
              </w:rPr>
              <w:t xml:space="preserve">Interim </w:t>
            </w:r>
            <w:hyperlink w:anchor="i58ee89399d9d45f4ac20dcae213591ea_305">
              <w:r>
                <w:rPr>
                  <w:rStyle w:val="InternetLink"/>
                  <w:rFonts w:ascii="Neue Haas Grotesk Display Pro 45 Light;serif" w:hAnsi="Neue Haas Grotesk Display Pro 45 Light;serif"/>
                  <w:b w:val="false"/>
                  <w:strike w:val="false"/>
                  <w:dstrike w:val="false"/>
                  <w:color w:val="000000"/>
                  <w:sz w:val="20"/>
                  <w:u w:val="none"/>
                  <w:effect w:val="none"/>
                </w:rPr>
                <w:t>Condensed Consolidated Statements of Financial Position</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305">
              <w:r>
                <w:rPr>
                  <w:rStyle w:val="InternetLink"/>
                  <w:rFonts w:ascii="Neue Haas Grotesk Display Pro 45 Light;serif" w:hAnsi="Neue Haas Grotesk Display Pro 45 Light;serif"/>
                  <w:b w:val="false"/>
                  <w:strike w:val="false"/>
                  <w:dstrike w:val="false"/>
                  <w:color w:val="000000"/>
                  <w:sz w:val="20"/>
                  <w:u w:val="none"/>
                  <w:effect w:val="none"/>
                </w:rPr>
                <w:t>3</w:t>
              </w:r>
            </w:hyperlink>
          </w:p>
        </w:tc>
      </w:tr>
      <w:tr>
        <w:trPr/>
        <w:tc>
          <w:tcPr>
            <w:tcW w:w="9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Interim Condensed Consolidated Statements of Changes in Stockholders’ Equity</w:t>
            </w:r>
          </w:p>
        </w:tc>
        <w:tc>
          <w:tcPr>
            <w:tcW w:w="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2948">
              <w:r>
                <w:rPr>
                  <w:rStyle w:val="InternetLink"/>
                  <w:rFonts w:ascii="Neue Haas Grotesk Display Pro 45 Light;serif" w:hAnsi="Neue Haas Grotesk Display Pro 45 Light;serif"/>
                  <w:b w:val="false"/>
                  <w:strike w:val="false"/>
                  <w:dstrike w:val="false"/>
                  <w:color w:val="000000"/>
                  <w:sz w:val="20"/>
                  <w:u w:val="none"/>
                  <w:effect w:val="none"/>
                </w:rPr>
                <w:t>4</w:t>
              </w:r>
            </w:hyperlink>
          </w:p>
        </w:tc>
      </w:tr>
      <w:tr>
        <w:trPr/>
        <w:tc>
          <w:tcPr>
            <w:tcW w:w="920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Neue Haas Grotesk Display Pro 45 Light;serif" w:hAnsi="Neue Haas Grotesk Display Pro 45 Light;serif"/>
                <w:b w:val="false"/>
                <w:color w:val="000000"/>
                <w:sz w:val="20"/>
              </w:rPr>
              <w:t xml:space="preserve">Interim </w:t>
            </w:r>
            <w:hyperlink w:anchor="i58ee89399d9d45f4ac20dcae213591ea_295">
              <w:r>
                <w:rPr>
                  <w:rStyle w:val="InternetLink"/>
                  <w:rFonts w:ascii="Neue Haas Grotesk Display Pro 45 Light;serif" w:hAnsi="Neue Haas Grotesk Display Pro 45 Light;serif"/>
                  <w:b w:val="false"/>
                  <w:strike w:val="false"/>
                  <w:dstrike w:val="false"/>
                  <w:color w:val="000000"/>
                  <w:sz w:val="20"/>
                  <w:u w:val="none"/>
                  <w:effect w:val="none"/>
                </w:rPr>
                <w:t>Condensed Consolidated Statements of Cash Flows</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295">
              <w:r>
                <w:rPr>
                  <w:rStyle w:val="InternetLink"/>
                  <w:rFonts w:ascii="Neue Haas Grotesk Display Pro 45 Light;serif" w:hAnsi="Neue Haas Grotesk Display Pro 45 Light;serif"/>
                  <w:b w:val="false"/>
                  <w:strike w:val="false"/>
                  <w:dstrike w:val="false"/>
                  <w:color w:val="000000"/>
                  <w:sz w:val="20"/>
                  <w:u w:val="none"/>
                  <w:effect w:val="none"/>
                </w:rPr>
                <w:t>5</w:t>
              </w:r>
            </w:hyperlink>
          </w:p>
        </w:tc>
      </w:tr>
      <w:tr>
        <w:trPr/>
        <w:tc>
          <w:tcPr>
            <w:tcW w:w="920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Neue Haas Grotesk Display Pro 45 Light;serif" w:hAnsi="Neue Haas Grotesk Display Pro 45 Light;serif"/>
                <w:b w:val="false"/>
                <w:color w:val="000000"/>
                <w:sz w:val="20"/>
              </w:rPr>
              <w:t xml:space="preserve">Selected Explanatory </w:t>
            </w:r>
            <w:hyperlink w:anchor="i58ee89399d9d45f4ac20dcae213591ea_366">
              <w:r>
                <w:rPr>
                  <w:rStyle w:val="InternetLink"/>
                  <w:rFonts w:ascii="Neue Haas Grotesk Display Pro 45 Light;serif" w:hAnsi="Neue Haas Grotesk Display Pro 45 Light;serif"/>
                  <w:b w:val="false"/>
                  <w:strike w:val="false"/>
                  <w:dstrike w:val="false"/>
                  <w:color w:val="000000"/>
                  <w:sz w:val="20"/>
                  <w:u w:val="none"/>
                  <w:effect w:val="none"/>
                </w:rPr>
                <w:t xml:space="preserve">Notes to the Unaudited Interim Condensed Consolidated </w:t>
              </w:r>
            </w:hyperlink>
          </w:p>
          <w:p>
            <w:pPr>
              <w:pStyle w:val="TableContents"/>
              <w:bidi w:val="0"/>
              <w:spacing w:lineRule="auto" w:line="288" w:before="0" w:after="0"/>
              <w:jc w:val="left"/>
              <w:rPr/>
            </w:pPr>
            <w:hyperlink w:anchor="i58ee89399d9d45f4ac20dcae213591ea_366">
              <w:r>
                <w:rPr>
                  <w:rStyle w:val="InternetLink"/>
                  <w:rFonts w:ascii="Neue Haas Grotesk Display Pro 45 Light;serif" w:hAnsi="Neue Haas Grotesk Display Pro 45 Light;serif"/>
                  <w:b w:val="false"/>
                  <w:strike w:val="false"/>
                  <w:dstrike w:val="false"/>
                  <w:color w:val="000000"/>
                  <w:sz w:val="20"/>
                  <w:u w:val="none"/>
                  <w:effect w:val="none"/>
                </w:rPr>
                <w:t>Financial Statements</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3"/>
              <w:jc w:val="left"/>
              <w:rPr/>
            </w:pPr>
            <w:hyperlink w:anchor="i58ee89399d9d45f4ac20dcae213591ea_366">
              <w:r>
                <w:rPr>
                  <w:rStyle w:val="InternetLink"/>
                  <w:rFonts w:ascii="Neue Haas Grotesk Display Pro 45 Light;serif" w:hAnsi="Neue Haas Grotesk Display Pro 45 Light;serif"/>
                  <w:b w:val="false"/>
                  <w:strike w:val="false"/>
                  <w:dstrike w:val="false"/>
                  <w:color w:val="000000"/>
                  <w:sz w:val="20"/>
                  <w:u w:val="none"/>
                  <w:effect w:val="none"/>
                </w:rPr>
                <w:t>6</w:t>
              </w:r>
            </w:hyperlink>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1</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433">
              <w:r>
                <w:rPr>
                  <w:rStyle w:val="InternetLink"/>
                  <w:rFonts w:ascii="Neue Haas Grotesk Display Pro 45 Light;serif" w:hAnsi="Neue Haas Grotesk Display Pro 45 Light;serif"/>
                  <w:b w:val="false"/>
                  <w:strike w:val="false"/>
                  <w:dstrike w:val="false"/>
                  <w:color w:val="000000"/>
                  <w:sz w:val="20"/>
                  <w:u w:val="none"/>
                  <w:effect w:val="none"/>
                </w:rPr>
                <w:t>Corporate Information</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3"/>
              <w:jc w:val="left"/>
              <w:rPr/>
            </w:pPr>
            <w:hyperlink w:anchor="i58ee89399d9d45f4ac20dcae213591ea_433">
              <w:r>
                <w:rPr>
                  <w:rStyle w:val="InternetLink"/>
                  <w:rFonts w:ascii="Neue Haas Grotesk Display Pro 45 Light;serif" w:hAnsi="Neue Haas Grotesk Display Pro 45 Light;serif"/>
                  <w:b w:val="false"/>
                  <w:strike w:val="false"/>
                  <w:dstrike w:val="false"/>
                  <w:color w:val="000000"/>
                  <w:sz w:val="20"/>
                  <w:u w:val="none"/>
                  <w:effect w:val="none"/>
                </w:rPr>
                <w:t>6</w:t>
              </w:r>
            </w:hyperlink>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2</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438">
              <w:r>
                <w:rPr>
                  <w:rStyle w:val="InternetLink"/>
                  <w:rFonts w:ascii="Neue Haas Grotesk Display Pro 45 Light;serif" w:hAnsi="Neue Haas Grotesk Display Pro 45 Light;serif"/>
                  <w:b w:val="false"/>
                  <w:strike w:val="false"/>
                  <w:dstrike w:val="false"/>
                  <w:color w:val="000000"/>
                  <w:sz w:val="20"/>
                  <w:u w:val="none"/>
                  <w:effect w:val="none"/>
                </w:rPr>
                <w:t>Basis of Preparation, Significant Accounting Policies</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3"/>
              <w:jc w:val="left"/>
              <w:rPr/>
            </w:pPr>
            <w:hyperlink w:anchor="i58ee89399d9d45f4ac20dcae213591ea_438">
              <w:r>
                <w:rPr>
                  <w:rStyle w:val="InternetLink"/>
                  <w:rFonts w:ascii="Neue Haas Grotesk Display Pro 45 Light;serif" w:hAnsi="Neue Haas Grotesk Display Pro 45 Light;serif"/>
                  <w:b w:val="false"/>
                  <w:strike w:val="false"/>
                  <w:dstrike w:val="false"/>
                  <w:color w:val="000000"/>
                  <w:sz w:val="20"/>
                  <w:u w:val="none"/>
                  <w:effect w:val="none"/>
                </w:rPr>
                <w:t>7</w:t>
              </w:r>
            </w:hyperlink>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3</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446">
              <w:r>
                <w:rPr>
                  <w:rStyle w:val="InternetLink"/>
                  <w:rFonts w:ascii="Neue Haas Grotesk Display Pro 45 Light;serif" w:hAnsi="Neue Haas Grotesk Display Pro 45 Light;serif"/>
                  <w:b w:val="false"/>
                  <w:strike w:val="false"/>
                  <w:dstrike w:val="false"/>
                  <w:color w:val="000080"/>
                  <w:sz w:val="20"/>
                  <w:u w:val="single"/>
                  <w:effect w:val="none"/>
                </w:rPr>
                <w:t>Revenue</w:t>
              </w:r>
            </w:hyperlink>
            <w:hyperlink w:anchor="i58ee89399d9d45f4ac20dcae213591ea_446">
              <w:r>
                <w:rPr>
                  <w:rStyle w:val="InternetLink"/>
                  <w:rFonts w:ascii="Neue Haas Grotesk Display Pro 45 Light;serif" w:hAnsi="Neue Haas Grotesk Display Pro 45 Light;serif"/>
                  <w:b w:val="false"/>
                  <w:strike w:val="false"/>
                  <w:dstrike w:val="false"/>
                  <w:color w:val="000080"/>
                  <w:sz w:val="20"/>
                  <w:u w:val="single"/>
                  <w:effect w:val="none"/>
                </w:rPr>
                <w:t>s</w:t>
              </w:r>
            </w:hyperlink>
            <w:r>
              <w:rPr>
                <w:rFonts w:ascii="Neue Haas Grotesk Display Pro 45 Light;serif" w:hAnsi="Neue Haas Grotesk Display Pro 45 Light;serif"/>
                <w:b w:val="false"/>
                <w:color w:val="000000"/>
                <w:sz w:val="20"/>
              </w:rPr>
              <w:t xml:space="preserve"> from Contracts with Customers</w:t>
            </w:r>
          </w:p>
        </w:tc>
        <w:tc>
          <w:tcPr>
            <w:tcW w:w="6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3"/>
              <w:jc w:val="left"/>
              <w:rPr/>
            </w:pPr>
            <w:hyperlink w:anchor="i58ee89399d9d45f4ac20dcae213591ea_446">
              <w:r>
                <w:rPr>
                  <w:rStyle w:val="InternetLink"/>
                  <w:rFonts w:ascii="Neue Haas Grotesk Display Pro 45 Light;serif" w:hAnsi="Neue Haas Grotesk Display Pro 45 Light;serif"/>
                  <w:b w:val="false"/>
                  <w:strike w:val="false"/>
                  <w:dstrike w:val="false"/>
                  <w:color w:val="000000"/>
                  <w:sz w:val="20"/>
                  <w:u w:val="none"/>
                  <w:effect w:val="none"/>
                </w:rPr>
                <w:t>9</w:t>
              </w:r>
            </w:hyperlink>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4</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882">
              <w:r>
                <w:rPr>
                  <w:rStyle w:val="InternetLink"/>
                  <w:rFonts w:ascii="Neue Haas Grotesk Display Pro 45 Light;serif" w:hAnsi="Neue Haas Grotesk Display Pro 45 Light;serif"/>
                  <w:b w:val="false"/>
                  <w:strike w:val="false"/>
                  <w:dstrike w:val="false"/>
                  <w:color w:val="000000"/>
                  <w:sz w:val="20"/>
                  <w:u w:val="none"/>
                  <w:effect w:val="none"/>
                </w:rPr>
                <w:t>Income and Expenses</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882">
              <w:r>
                <w:rPr>
                  <w:rStyle w:val="InternetLink"/>
                  <w:rFonts w:ascii="Neue Haas Grotesk Display Pro 45 Light;serif" w:hAnsi="Neue Haas Grotesk Display Pro 45 Light;serif"/>
                  <w:b w:val="false"/>
                  <w:strike w:val="false"/>
                  <w:dstrike w:val="false"/>
                  <w:color w:val="000000"/>
                  <w:sz w:val="20"/>
                  <w:u w:val="none"/>
                  <w:effect w:val="none"/>
                </w:rPr>
                <w:t>10</w:t>
              </w:r>
            </w:hyperlink>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ind w:left="0" w:right="0" w:firstLine="283"/>
              <w:jc w:val="left"/>
              <w:rPr>
                <w:sz w:val="4"/>
                <w:szCs w:val="4"/>
              </w:rPr>
            </w:pPr>
            <w:r>
              <w:rPr>
                <w:sz w:val="4"/>
                <w:szCs w:val="4"/>
              </w:rPr>
            </w:r>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5</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484">
              <w:r>
                <w:rPr>
                  <w:rStyle w:val="InternetLink"/>
                  <w:rFonts w:ascii="Neue Haas Grotesk Display Pro 45 Light;serif" w:hAnsi="Neue Haas Grotesk Display Pro 45 Light;serif"/>
                  <w:b w:val="false"/>
                  <w:strike w:val="false"/>
                  <w:dstrike w:val="false"/>
                  <w:color w:val="000080"/>
                  <w:sz w:val="20"/>
                  <w:u w:val="single"/>
                  <w:effect w:val="none"/>
                </w:rPr>
                <w:t>I</w:t>
              </w:r>
            </w:hyperlink>
            <w:hyperlink w:anchor="i58ee89399d9d45f4ac20dcae213591ea_484">
              <w:r>
                <w:rPr>
                  <w:rStyle w:val="InternetLink"/>
                  <w:rFonts w:ascii="Neue Haas Grotesk Display Pro 45 Light;serif" w:hAnsi="Neue Haas Grotesk Display Pro 45 Light;serif"/>
                  <w:b w:val="false"/>
                  <w:strike w:val="false"/>
                  <w:dstrike w:val="false"/>
                  <w:color w:val="000080"/>
                  <w:sz w:val="20"/>
                  <w:u w:val="single"/>
                  <w:effect w:val="none"/>
                </w:rPr>
                <w:t>ncome Tax</w:t>
              </w:r>
            </w:hyperlink>
            <w:r>
              <w:rPr>
                <w:rFonts w:ascii="Neue Haas Grotesk Display Pro 45 Light;serif" w:hAnsi="Neue Haas Grotesk Display Pro 45 Light;serif"/>
                <w:b w:val="false"/>
                <w:color w:val="000000"/>
                <w:sz w:val="20"/>
              </w:rPr>
              <w:t>es</w:t>
            </w:r>
          </w:p>
        </w:tc>
        <w:tc>
          <w:tcPr>
            <w:tcW w:w="6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3"/>
              <w:jc w:val="left"/>
              <w:rPr/>
            </w:pPr>
            <w:hyperlink w:anchor="i58ee89399d9d45f4ac20dcae213591ea_484">
              <w:r>
                <w:rPr>
                  <w:rStyle w:val="InternetLink"/>
                  <w:rFonts w:ascii="Neue Haas Grotesk Display Pro 45 Light;serif" w:hAnsi="Neue Haas Grotesk Display Pro 45 Light;serif"/>
                  <w:b w:val="false"/>
                  <w:strike w:val="false"/>
                  <w:dstrike w:val="false"/>
                  <w:color w:val="000000"/>
                  <w:sz w:val="20"/>
                  <w:u w:val="none"/>
                  <w:effect w:val="none"/>
                </w:rPr>
                <w:t>12</w:t>
              </w:r>
            </w:hyperlink>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6</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Other Intangible Assets</w:t>
            </w:r>
          </w:p>
        </w:tc>
        <w:tc>
          <w:tcPr>
            <w:tcW w:w="6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3"/>
              <w:jc w:val="left"/>
              <w:rPr/>
            </w:pPr>
            <w:hyperlink w:anchor="i58ee89399d9d45f4ac20dcae213591ea_549755815327">
              <w:r>
                <w:rPr>
                  <w:rStyle w:val="InternetLink"/>
                  <w:rFonts w:ascii="Neue Haas Grotesk Display Pro 45 Light;serif" w:hAnsi="Neue Haas Grotesk Display Pro 45 Light;serif"/>
                  <w:b w:val="false"/>
                  <w:strike w:val="false"/>
                  <w:dstrike w:val="false"/>
                  <w:color w:val="000000"/>
                  <w:sz w:val="20"/>
                  <w:u w:val="none"/>
                  <w:effect w:val="none"/>
                </w:rPr>
                <w:t>13</w:t>
              </w:r>
            </w:hyperlink>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7</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Property, Plant and Equipment</w:t>
            </w:r>
          </w:p>
        </w:tc>
        <w:tc>
          <w:tcPr>
            <w:tcW w:w="6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3"/>
              <w:jc w:val="left"/>
              <w:rPr/>
            </w:pPr>
            <w:hyperlink w:anchor="i58ee89399d9d45f4ac20dcae213591ea_156680406961856">
              <w:r>
                <w:rPr>
                  <w:rStyle w:val="InternetLink"/>
                  <w:rFonts w:ascii="Neue Haas Grotesk Display Pro 45 Light;serif" w:hAnsi="Neue Haas Grotesk Display Pro 45 Light;serif"/>
                  <w:b w:val="false"/>
                  <w:strike w:val="false"/>
                  <w:dstrike w:val="false"/>
                  <w:color w:val="000000"/>
                  <w:sz w:val="20"/>
                  <w:u w:val="none"/>
                  <w:effect w:val="none"/>
                </w:rPr>
                <w:t>14</w:t>
              </w:r>
            </w:hyperlink>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8</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490">
              <w:r>
                <w:rPr>
                  <w:rStyle w:val="InternetLink"/>
                  <w:rFonts w:ascii="Neue Haas Grotesk Display Pro 45 Light;serif" w:hAnsi="Neue Haas Grotesk Display Pro 45 Light;serif"/>
                  <w:b w:val="false"/>
                  <w:strike w:val="false"/>
                  <w:dstrike w:val="false"/>
                  <w:color w:val="000000"/>
                  <w:sz w:val="20"/>
                  <w:u w:val="none"/>
                  <w:effect w:val="none"/>
                </w:rPr>
                <w:t>Financial Assets and Financial Liabilities</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490">
              <w:r>
                <w:rPr>
                  <w:rStyle w:val="InternetLink"/>
                  <w:rFonts w:ascii="Neue Haas Grotesk Display Pro 45 Light;serif" w:hAnsi="Neue Haas Grotesk Display Pro 45 Light;serif"/>
                  <w:b w:val="false"/>
                  <w:strike w:val="false"/>
                  <w:dstrike w:val="false"/>
                  <w:color w:val="000000"/>
                  <w:sz w:val="20"/>
                  <w:u w:val="none"/>
                  <w:effect w:val="none"/>
                </w:rPr>
                <w:t>14</w:t>
              </w:r>
            </w:hyperlink>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ind w:left="0" w:right="0" w:firstLine="283"/>
              <w:jc w:val="left"/>
              <w:rPr>
                <w:sz w:val="4"/>
                <w:szCs w:val="4"/>
              </w:rPr>
            </w:pPr>
            <w:r>
              <w:rPr>
                <w:sz w:val="4"/>
                <w:szCs w:val="4"/>
              </w:rPr>
            </w:r>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9</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738">
              <w:r>
                <w:rPr>
                  <w:rStyle w:val="InternetLink"/>
                  <w:rFonts w:ascii="Neue Haas Grotesk Display Pro 45 Light;serif" w:hAnsi="Neue Haas Grotesk Display Pro 45 Light;serif"/>
                  <w:b w:val="false"/>
                  <w:strike w:val="false"/>
                  <w:dstrike w:val="false"/>
                  <w:color w:val="000000"/>
                  <w:sz w:val="20"/>
                  <w:u w:val="none"/>
                  <w:effect w:val="none"/>
                </w:rPr>
                <w:t>Issued Capital and Reserves</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738">
              <w:r>
                <w:rPr>
                  <w:rStyle w:val="InternetLink"/>
                  <w:rFonts w:ascii="Neue Haas Grotesk Display Pro 45 Light;serif" w:hAnsi="Neue Haas Grotesk Display Pro 45 Light;serif"/>
                  <w:b w:val="false"/>
                  <w:strike w:val="false"/>
                  <w:dstrike w:val="false"/>
                  <w:color w:val="000000"/>
                  <w:sz w:val="20"/>
                  <w:u w:val="none"/>
                  <w:effect w:val="none"/>
                </w:rPr>
                <w:t>19</w:t>
              </w:r>
            </w:hyperlink>
          </w:p>
        </w:tc>
      </w:tr>
      <w:tr>
        <w:trPr/>
        <w:tc>
          <w:tcPr>
            <w:tcW w:w="4046"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ind w:left="0" w:right="0" w:firstLine="283"/>
              <w:jc w:val="left"/>
              <w:rPr>
                <w:sz w:val="4"/>
                <w:szCs w:val="4"/>
              </w:rPr>
            </w:pPr>
            <w:r>
              <w:rPr>
                <w:sz w:val="4"/>
                <w:szCs w:val="4"/>
              </w:rPr>
            </w:r>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10</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2599">
              <w:r>
                <w:rPr>
                  <w:rStyle w:val="InternetLink"/>
                  <w:rFonts w:ascii="Neue Haas Grotesk Display Pro 45 Light;serif" w:hAnsi="Neue Haas Grotesk Display Pro 45 Light;serif"/>
                  <w:b w:val="false"/>
                  <w:strike w:val="false"/>
                  <w:dstrike w:val="false"/>
                  <w:color w:val="000000"/>
                  <w:sz w:val="20"/>
                  <w:u w:val="none"/>
                  <w:effect w:val="none"/>
                </w:rPr>
                <w:t>Provisions</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3"/>
              <w:jc w:val="left"/>
              <w:rPr/>
            </w:pPr>
            <w:hyperlink w:anchor="i58ee89399d9d45f4ac20dcae213591ea_2599">
              <w:r>
                <w:rPr>
                  <w:rStyle w:val="InternetLink"/>
                  <w:rFonts w:ascii="Neue Haas Grotesk Display Pro 45 Light;serif" w:hAnsi="Neue Haas Grotesk Display Pro 45 Light;serif"/>
                  <w:b w:val="false"/>
                  <w:strike w:val="false"/>
                  <w:dstrike w:val="false"/>
                  <w:color w:val="000000"/>
                  <w:sz w:val="20"/>
                  <w:u w:val="none"/>
                  <w:effect w:val="none"/>
                </w:rPr>
                <w:t>19</w:t>
              </w:r>
            </w:hyperlink>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11</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530">
              <w:r>
                <w:rPr>
                  <w:rStyle w:val="InternetLink"/>
                  <w:rFonts w:ascii="Neue Haas Grotesk Display Pro 45 Light;serif" w:hAnsi="Neue Haas Grotesk Display Pro 45 Light;serif"/>
                  <w:b w:val="false"/>
                  <w:strike w:val="false"/>
                  <w:dstrike w:val="false"/>
                  <w:color w:val="000080"/>
                  <w:sz w:val="20"/>
                  <w:u w:val="single"/>
                  <w:effect w:val="none"/>
                </w:rPr>
                <w:t>Contingen</w:t>
              </w:r>
            </w:hyperlink>
            <w:hyperlink w:anchor="i58ee89399d9d45f4ac20dcae213591ea_530">
              <w:r>
                <w:rPr>
                  <w:rStyle w:val="InternetLink"/>
                  <w:rFonts w:ascii="Neue Haas Grotesk Display Pro 45 Light;serif" w:hAnsi="Neue Haas Grotesk Display Pro 45 Light;serif"/>
                  <w:b w:val="false"/>
                  <w:strike w:val="false"/>
                  <w:dstrike w:val="false"/>
                  <w:color w:val="000080"/>
                  <w:sz w:val="20"/>
                  <w:u w:val="single"/>
                  <w:effect w:val="none"/>
                </w:rPr>
                <w:t>t Liabilities</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3"/>
              <w:jc w:val="left"/>
              <w:rPr/>
            </w:pPr>
            <w:hyperlink w:anchor="i58ee89399d9d45f4ac20dcae213591ea_530">
              <w:r>
                <w:rPr>
                  <w:rStyle w:val="InternetLink"/>
                  <w:rFonts w:ascii="Neue Haas Grotesk Display Pro 45 Light;serif" w:hAnsi="Neue Haas Grotesk Display Pro 45 Light;serif"/>
                  <w:b w:val="false"/>
                  <w:strike w:val="false"/>
                  <w:dstrike w:val="false"/>
                  <w:color w:val="000000"/>
                  <w:sz w:val="20"/>
                  <w:u w:val="none"/>
                  <w:effect w:val="none"/>
                </w:rPr>
                <w:t>20</w:t>
              </w:r>
            </w:hyperlink>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12</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536">
              <w:r>
                <w:rPr>
                  <w:rStyle w:val="InternetLink"/>
                  <w:rFonts w:ascii="Neue Haas Grotesk Display Pro 45 Light;serif" w:hAnsi="Neue Haas Grotesk Display Pro 45 Light;serif"/>
                  <w:b w:val="false"/>
                  <w:strike w:val="false"/>
                  <w:dstrike w:val="false"/>
                  <w:color w:val="000000"/>
                  <w:sz w:val="20"/>
                  <w:u w:val="none"/>
                  <w:effect w:val="none"/>
                </w:rPr>
                <w:t>Related Party Disclosures</w:t>
              </w:r>
            </w:hyperlink>
          </w:p>
        </w:tc>
        <w:tc>
          <w:tcPr>
            <w:tcW w:w="6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3"/>
              <w:jc w:val="left"/>
              <w:rPr/>
            </w:pPr>
            <w:hyperlink w:anchor="i58ee89399d9d45f4ac20dcae213591ea_536">
              <w:r>
                <w:rPr>
                  <w:rStyle w:val="InternetLink"/>
                  <w:rFonts w:ascii="Neue Haas Grotesk Display Pro 45 Light;serif" w:hAnsi="Neue Haas Grotesk Display Pro 45 Light;serif"/>
                  <w:b w:val="false"/>
                  <w:strike w:val="false"/>
                  <w:dstrike w:val="false"/>
                  <w:color w:val="000000"/>
                  <w:sz w:val="20"/>
                  <w:u w:val="none"/>
                  <w:effect w:val="none"/>
                </w:rPr>
                <w:t>25</w:t>
              </w:r>
            </w:hyperlink>
          </w:p>
        </w:tc>
      </w:tr>
      <w:tr>
        <w:trPr/>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13</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Events after the Reporting Period</w:t>
            </w:r>
          </w:p>
        </w:tc>
        <w:tc>
          <w:tcPr>
            <w:tcW w:w="6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542">
              <w:r>
                <w:rPr>
                  <w:rStyle w:val="InternetLink"/>
                  <w:rFonts w:ascii="Neue Haas Grotesk Display Pro 45 Light;serif" w:hAnsi="Neue Haas Grotesk Display Pro 45 Light;serif"/>
                  <w:b w:val="false"/>
                  <w:strike w:val="false"/>
                  <w:dstrike w:val="false"/>
                  <w:color w:val="000000"/>
                  <w:sz w:val="20"/>
                  <w:u w:val="none"/>
                  <w:effect w:val="none"/>
                </w:rPr>
                <w:t>26</w:t>
              </w:r>
            </w:hyperlink>
          </w:p>
        </w:tc>
      </w:tr>
    </w:tbl>
    <w:p>
      <w:pPr>
        <w:pStyle w:val="TextBody"/>
        <w:bidi w:val="0"/>
        <w:spacing w:before="120" w:after="300"/>
        <w:jc w:val="center"/>
        <w:rPr/>
      </w:pPr>
      <w:r>
        <w:rPr/>
      </w:r>
    </w:p>
    <w:p>
      <w:pPr>
        <w:pStyle w:val="TextBody"/>
        <w:bidi w:val="0"/>
        <w:spacing w:lineRule="auto" w:line="288" w:before="0" w:after="1120"/>
        <w:jc w:val="left"/>
        <w:rPr>
          <w:rFonts w:ascii="Neue Haas Grotesk Display Pro 65 Medium;serif" w:hAnsi="Neue Haas Grotesk Display Pro 65 Medium;serif"/>
          <w:b/>
          <w:color w:val="107072"/>
          <w:sz w:val="40"/>
        </w:rPr>
      </w:pPr>
      <w:r>
        <w:rPr>
          <w:rFonts w:ascii="Neue Haas Grotesk Display Pro 65 Medium;serif" w:hAnsi="Neue Haas Grotesk Display Pro 65 Medium;serif"/>
          <w:b/>
          <w:color w:val="107072"/>
          <w:sz w:val="40"/>
        </w:rPr>
        <w:t xml:space="preserve">OPERATING AND FINANCIAL REVIEW </w:t>
        <w:br/>
        <w:t>AND PROSPECTS</w:t>
      </w:r>
    </w:p>
    <w:tbl>
      <w:tblPr>
        <w:tblW w:w="3585" w:type="dxa"/>
        <w:jc w:val="center"/>
        <w:tblInd w:w="0" w:type="dxa"/>
        <w:tblLayout w:type="fixed"/>
        <w:tblCellMar>
          <w:top w:w="28" w:type="dxa"/>
          <w:left w:w="28" w:type="dxa"/>
          <w:bottom w:w="28" w:type="dxa"/>
          <w:right w:w="28" w:type="dxa"/>
        </w:tblCellMar>
      </w:tblPr>
      <w:tblGrid>
        <w:gridCol w:w="1157"/>
        <w:gridCol w:w="1017"/>
        <w:gridCol w:w="1020"/>
        <w:gridCol w:w="114"/>
        <w:gridCol w:w="114"/>
        <w:gridCol w:w="163"/>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3705">
              <w:r>
                <w:rPr>
                  <w:rStyle w:val="InternetLink"/>
                  <w:rFonts w:ascii="Neue Haas Grotesk Display Pro 45 Light;serif" w:hAnsi="Neue Haas Grotesk Display Pro 45 Light;serif"/>
                  <w:b w:val="false"/>
                  <w:strike w:val="false"/>
                  <w:dstrike w:val="false"/>
                  <w:color w:val="000000"/>
                  <w:sz w:val="20"/>
                  <w:u w:val="none"/>
                  <w:effect w:val="none"/>
                </w:rPr>
                <w:t>Corporate Developments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3705">
              <w:r>
                <w:rPr>
                  <w:rStyle w:val="InternetLink"/>
                  <w:rFonts w:ascii="Neue Haas Grotesk Display Pro 45 Light;serif" w:hAnsi="Neue Haas Grotesk Display Pro 45 Light;serif"/>
                  <w:b w:val="false"/>
                  <w:strike w:val="false"/>
                  <w:dstrike w:val="false"/>
                  <w:color w:val="000000"/>
                  <w:sz w:val="20"/>
                  <w:u w:val="none"/>
                  <w:effect w:val="none"/>
                </w:rPr>
                <w:t>27</w:t>
              </w:r>
            </w:hyperlink>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547">
              <w:r>
                <w:rPr>
                  <w:rStyle w:val="InternetLink"/>
                  <w:rFonts w:ascii="Neue Haas Grotesk Display Pro 45 Light;serif" w:hAnsi="Neue Haas Grotesk Display Pro 45 Light;serif"/>
                  <w:b w:val="false"/>
                  <w:strike w:val="false"/>
                  <w:dstrike w:val="false"/>
                  <w:color w:val="000000"/>
                  <w:sz w:val="20"/>
                  <w:u w:val="none"/>
                  <w:effect w:val="none"/>
                </w:rPr>
                <w:t>Operating Results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547">
              <w:r>
                <w:rPr>
                  <w:rStyle w:val="InternetLink"/>
                  <w:rFonts w:ascii="Neue Haas Grotesk Display Pro 45 Light;serif" w:hAnsi="Neue Haas Grotesk Display Pro 45 Light;serif"/>
                  <w:b w:val="false"/>
                  <w:strike w:val="false"/>
                  <w:dstrike w:val="false"/>
                  <w:color w:val="000000"/>
                  <w:sz w:val="20"/>
                  <w:u w:val="none"/>
                  <w:effect w:val="none"/>
                </w:rPr>
                <w:t>28</w:t>
              </w:r>
            </w:hyperlink>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632">
              <w:r>
                <w:rPr>
                  <w:rStyle w:val="InternetLink"/>
                  <w:rFonts w:ascii="Neue Haas Grotesk Display Pro 45 Light;serif" w:hAnsi="Neue Haas Grotesk Display Pro 45 Light;serif"/>
                  <w:b w:val="false"/>
                  <w:strike w:val="false"/>
                  <w:dstrike w:val="false"/>
                  <w:color w:val="000000"/>
                  <w:sz w:val="20"/>
                  <w:u w:val="none"/>
                  <w:effect w:val="none"/>
                </w:rPr>
                <w:t>Liquidity and Capital Resources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632">
              <w:r>
                <w:rPr>
                  <w:rStyle w:val="InternetLink"/>
                  <w:rFonts w:ascii="Neue Haas Grotesk Display Pro 45 Light;serif" w:hAnsi="Neue Haas Grotesk Display Pro 45 Light;serif"/>
                  <w:b w:val="false"/>
                  <w:strike w:val="false"/>
                  <w:dstrike w:val="false"/>
                  <w:color w:val="000000"/>
                  <w:sz w:val="20"/>
                  <w:u w:val="none"/>
                  <w:effect w:val="none"/>
                </w:rPr>
                <w:t>58</w:t>
              </w:r>
            </w:hyperlink>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45 Light;serif" w:hAnsi="Neue Haas Grotesk Display Pro 45 Light;serif"/>
                <w:b w:val="false"/>
                <w:color w:val="000000"/>
                <w:sz w:val="20"/>
              </w:rPr>
            </w:pPr>
            <w:r>
              <w:rPr>
                <w:rFonts w:ascii="Neue Haas Grotesk Display Pro 45 Light;serif" w:hAnsi="Neue Haas Grotesk Display Pro 45 Light;serif"/>
                <w:b w:val="false"/>
                <w:color w:val="000000"/>
                <w:sz w:val="20"/>
              </w:rPr>
              <w:t>Risk Factors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e89399d9d45f4ac20dcae213591ea_549755815136">
              <w:r>
                <w:rPr>
                  <w:rStyle w:val="InternetLink"/>
                  <w:rFonts w:ascii="Neue Haas Grotesk Display Pro 45 Light;serif" w:hAnsi="Neue Haas Grotesk Display Pro 45 Light;serif"/>
                  <w:b w:val="false"/>
                  <w:strike w:val="false"/>
                  <w:dstrike w:val="false"/>
                  <w:color w:val="000000"/>
                  <w:sz w:val="20"/>
                  <w:u w:val="none"/>
                  <w:effect w:val="none"/>
                </w:rPr>
                <w:t>63</w:t>
              </w:r>
            </w:hyperlink>
          </w:p>
        </w:tc>
      </w:tr>
    </w:tbl>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3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both"/>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120"/>
        <w:jc w:val="left"/>
        <w:rPr>
          <w:rFonts w:ascii="Neue Haas Grotesk Display Pro 65 Medium;serif" w:hAnsi="Neue Haas Grotesk Display Pro 65 Medium;serif"/>
          <w:b/>
          <w:color w:val="107072"/>
          <w:sz w:val="40"/>
        </w:rPr>
      </w:pPr>
      <w:r>
        <w:rPr>
          <w:rFonts w:ascii="Neue Haas Grotesk Display Pro 65 Medium;serif" w:hAnsi="Neue Haas Grotesk Display Pro 65 Medium;serif"/>
          <w:b/>
          <w:color w:val="107072"/>
          <w:sz w:val="40"/>
        </w:rPr>
        <w:t>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Interim Condensed Consolidated Statements of Profit or Loss</w:t>
      </w:r>
    </w:p>
    <w:p>
      <w:pPr>
        <w:pStyle w:val="TextBody"/>
        <w:bidi w:val="0"/>
        <w:spacing w:before="0" w:after="300"/>
        <w:jc w:val="both"/>
        <w:rPr/>
      </w:pPr>
      <w:r>
        <w:rPr/>
      </w:r>
    </w:p>
    <w:tbl>
      <w:tblPr>
        <w:tblW w:w="10205" w:type="dxa"/>
        <w:jc w:val="left"/>
        <w:tblInd w:w="0" w:type="dxa"/>
        <w:tblLayout w:type="fixed"/>
        <w:tblCellMar>
          <w:top w:w="28" w:type="dxa"/>
          <w:left w:w="28" w:type="dxa"/>
          <w:bottom w:w="28" w:type="dxa"/>
          <w:right w:w="28" w:type="dxa"/>
        </w:tblCellMar>
      </w:tblPr>
      <w:tblGrid>
        <w:gridCol w:w="886"/>
        <w:gridCol w:w="493"/>
        <w:gridCol w:w="495"/>
        <w:gridCol w:w="109"/>
        <w:gridCol w:w="109"/>
        <w:gridCol w:w="109"/>
        <w:gridCol w:w="109"/>
        <w:gridCol w:w="109"/>
        <w:gridCol w:w="109"/>
        <w:gridCol w:w="180"/>
        <w:gridCol w:w="180"/>
        <w:gridCol w:w="181"/>
        <w:gridCol w:w="109"/>
        <w:gridCol w:w="109"/>
        <w:gridCol w:w="109"/>
        <w:gridCol w:w="109"/>
        <w:gridCol w:w="109"/>
        <w:gridCol w:w="109"/>
        <w:gridCol w:w="407"/>
        <w:gridCol w:w="407"/>
        <w:gridCol w:w="206"/>
        <w:gridCol w:w="144"/>
        <w:gridCol w:w="144"/>
        <w:gridCol w:w="144"/>
        <w:gridCol w:w="144"/>
        <w:gridCol w:w="144"/>
        <w:gridCol w:w="144"/>
        <w:gridCol w:w="407"/>
        <w:gridCol w:w="407"/>
        <w:gridCol w:w="206"/>
        <w:gridCol w:w="109"/>
        <w:gridCol w:w="109"/>
        <w:gridCol w:w="109"/>
        <w:gridCol w:w="109"/>
        <w:gridCol w:w="109"/>
        <w:gridCol w:w="109"/>
        <w:gridCol w:w="370"/>
        <w:gridCol w:w="370"/>
        <w:gridCol w:w="280"/>
        <w:gridCol w:w="137"/>
        <w:gridCol w:w="137"/>
        <w:gridCol w:w="137"/>
        <w:gridCol w:w="137"/>
        <w:gridCol w:w="137"/>
        <w:gridCol w:w="137"/>
        <w:gridCol w:w="359"/>
        <w:gridCol w:w="359"/>
        <w:gridCol w:w="364"/>
      </w:tblGrid>
      <w:tr>
        <w:trPr/>
        <w:tc>
          <w:tcPr>
            <w:tcW w:w="8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432"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411"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r>
      <w:tr>
        <w:trPr/>
        <w:tc>
          <w:tcPr>
            <w:tcW w:w="187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r>
      <w:tr>
        <w:trPr/>
        <w:tc>
          <w:tcPr>
            <w:tcW w:w="187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105.6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223.7</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443.6</w:t>
            </w:r>
          </w:p>
        </w:tc>
      </w:tr>
      <w:tr>
        <w:trPr/>
        <w:tc>
          <w:tcPr>
            <w:tcW w:w="187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(97.0)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(168.4)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(160.2)</w:t>
            </w:r>
          </w:p>
        </w:tc>
      </w:tr>
      <w:tr>
        <w:trPr/>
        <w:tc>
          <w:tcPr>
            <w:tcW w:w="187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(551.0)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(1,108.0)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(1,034.7)</w:t>
            </w:r>
          </w:p>
        </w:tc>
      </w:tr>
      <w:tr>
        <w:trPr/>
        <w:tc>
          <w:tcPr>
            <w:tcW w:w="187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Sales and marketing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(40.1)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(68.0)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(33.4)</w:t>
            </w:r>
          </w:p>
        </w:tc>
      </w:tr>
      <w:tr>
        <w:trPr/>
        <w:tc>
          <w:tcPr>
            <w:tcW w:w="187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(157.7)</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(280.6)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(224.6)</w:t>
            </w:r>
          </w:p>
        </w:tc>
      </w:tr>
      <w:tr>
        <w:trPr/>
        <w:tc>
          <w:tcPr>
            <w:tcW w:w="187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(248.1)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(281.3)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(165.7)</w:t>
            </w:r>
          </w:p>
        </w:tc>
      </w:tr>
      <w:tr>
        <w:trPr/>
        <w:tc>
          <w:tcPr>
            <w:tcW w:w="187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40.2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57.0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139.8</w:t>
            </w:r>
          </w:p>
        </w:tc>
      </w:tr>
      <w:tr>
        <w:trPr/>
        <w:tc>
          <w:tcPr>
            <w:tcW w:w="187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(948.1)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(501.1)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(1,625.6)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(1,035.2)</w:t>
            </w:r>
          </w:p>
        </w:tc>
      </w:tr>
      <w:tr>
        <w:trPr/>
        <w:tc>
          <w:tcPr>
            <w:tcW w:w="187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Finance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97.3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217.9</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228.0</w:t>
            </w:r>
          </w:p>
        </w:tc>
      </w:tr>
      <w:tr>
        <w:trPr/>
        <w:tc>
          <w:tcPr>
            <w:tcW w:w="187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Finance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(7.9)</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(19.1)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(40.9)</w:t>
            </w:r>
          </w:p>
        </w:tc>
      </w:tr>
      <w:tr>
        <w:trPr/>
        <w:tc>
          <w:tcPr>
            <w:tcW w:w="187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(858.7)</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(1,426.8)</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(848.1)</w:t>
            </w:r>
          </w:p>
        </w:tc>
      </w:tr>
      <w:tr>
        <w:trPr/>
        <w:tc>
          <w:tcPr>
            <w:tcW w:w="187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37.9</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74.1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45.7</w:t>
            </w:r>
          </w:p>
        </w:tc>
      </w:tr>
      <w:tr>
        <w:trPr/>
        <w:tc>
          <w:tcPr>
            <w:tcW w:w="187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(820.8)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(386.6)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(1,352.7)</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(802.4)</w:t>
            </w:r>
          </w:p>
        </w:tc>
      </w:tr>
      <w:tr>
        <w:trPr/>
        <w:tc>
          <w:tcPr>
            <w:tcW w:w="187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(3.24)</w:t>
            </w:r>
          </w:p>
        </w:tc>
        <w:tc>
          <w:tcPr>
            <w:tcW w:w="432"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(5.34)</w:t>
            </w:r>
          </w:p>
        </w:tc>
        <w:tc>
          <w:tcPr>
            <w:tcW w:w="411"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(3.33)</w:t>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center"/>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accompanying notes form an integral part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998220"/>
                <wp:effectExtent l="0" t="0" r="0" b="0"/>
                <wp:wrapNone/>
                <wp:docPr id="11" name="Frame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 xml:space="preserve">Interim Condensed Consolidated Statements of </w:t>
        <w:br/>
        <w:t>Comprehensive Income</w:t>
      </w:r>
    </w:p>
    <w:p>
      <w:pPr>
        <w:pStyle w:val="TextBody"/>
        <w:bidi w:val="0"/>
        <w:spacing w:before="0" w:after="300"/>
        <w:jc w:val="both"/>
        <w:rPr/>
      </w:pPr>
      <w:r>
        <w:rPr/>
      </w:r>
    </w:p>
    <w:tbl>
      <w:tblPr>
        <w:tblW w:w="10205" w:type="dxa"/>
        <w:jc w:val="left"/>
        <w:tblInd w:w="0" w:type="dxa"/>
        <w:tblLayout w:type="fixed"/>
        <w:tblCellMar>
          <w:top w:w="28" w:type="dxa"/>
          <w:left w:w="28" w:type="dxa"/>
          <w:bottom w:w="28" w:type="dxa"/>
          <w:right w:w="28" w:type="dxa"/>
        </w:tblCellMar>
      </w:tblPr>
      <w:tblGrid>
        <w:gridCol w:w="804"/>
        <w:gridCol w:w="696"/>
        <w:gridCol w:w="701"/>
        <w:gridCol w:w="109"/>
        <w:gridCol w:w="109"/>
        <w:gridCol w:w="109"/>
        <w:gridCol w:w="109"/>
        <w:gridCol w:w="109"/>
        <w:gridCol w:w="109"/>
        <w:gridCol w:w="180"/>
        <w:gridCol w:w="180"/>
        <w:gridCol w:w="181"/>
        <w:gridCol w:w="109"/>
        <w:gridCol w:w="109"/>
        <w:gridCol w:w="109"/>
        <w:gridCol w:w="109"/>
        <w:gridCol w:w="109"/>
        <w:gridCol w:w="109"/>
        <w:gridCol w:w="406"/>
        <w:gridCol w:w="406"/>
        <w:gridCol w:w="197"/>
        <w:gridCol w:w="118"/>
        <w:gridCol w:w="118"/>
        <w:gridCol w:w="118"/>
        <w:gridCol w:w="118"/>
        <w:gridCol w:w="118"/>
        <w:gridCol w:w="118"/>
        <w:gridCol w:w="406"/>
        <w:gridCol w:w="406"/>
        <w:gridCol w:w="197"/>
        <w:gridCol w:w="109"/>
        <w:gridCol w:w="109"/>
        <w:gridCol w:w="109"/>
        <w:gridCol w:w="109"/>
        <w:gridCol w:w="109"/>
        <w:gridCol w:w="109"/>
        <w:gridCol w:w="366"/>
        <w:gridCol w:w="366"/>
        <w:gridCol w:w="277"/>
        <w:gridCol w:w="116"/>
        <w:gridCol w:w="116"/>
        <w:gridCol w:w="116"/>
        <w:gridCol w:w="116"/>
        <w:gridCol w:w="116"/>
        <w:gridCol w:w="116"/>
        <w:gridCol w:w="355"/>
        <w:gridCol w:w="355"/>
        <w:gridCol w:w="360"/>
      </w:tblGrid>
      <w:tr>
        <w:trPr/>
        <w:tc>
          <w:tcPr>
            <w:tcW w:w="80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16" w:space="0" w:color="BECE33"/>
            </w:tcBorders>
            <w:tcMar>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Six months ended June 30,</w:t>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354"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348"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r>
      <w:tr>
        <w:trPr/>
        <w:tc>
          <w:tcPr>
            <w:tcW w:w="220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r>
      <w:tr>
        <w:trPr/>
        <w:tc>
          <w:tcPr>
            <w:tcW w:w="22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(820.8)</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(386.6)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(1,352.7)</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(802.4)</w:t>
            </w:r>
          </w:p>
        </w:tc>
      </w:tr>
      <w:tr>
        <w:trPr/>
        <w:tc>
          <w:tcPr>
            <w:tcW w:w="22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Other comprehensive income that may be reclassified to profit or loss in subsequent periods,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Exchange differences on translation of foreign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21.9</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(94.1)</w:t>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Net other comprehensive income / (loss) that may be reclassified to profit or loss in subsequent 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21.9</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(94.1)</w:t>
            </w:r>
          </w:p>
        </w:tc>
      </w:tr>
      <w:tr>
        <w:trPr/>
        <w:tc>
          <w:tcPr>
            <w:tcW w:w="22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Other comprehensive loss that will not be reclassified to profit or loss in subsequent periods,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Net gain / (loss) on equity instruments designated at fair value through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(20.9)</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(7.2)</w:t>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Net other comprehensive income / (loss) that will not be reclassified to profit or loss in subsequent 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(20.9)</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(7.2)</w:t>
            </w:r>
          </w:p>
        </w:tc>
      </w:tr>
      <w:tr>
        <w:trPr/>
        <w:tc>
          <w:tcPr>
            <w:tcW w:w="22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Other comprehensive income / (loss),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6.0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(38.4)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(101.3)</w:t>
            </w:r>
          </w:p>
        </w:tc>
      </w:tr>
      <w:tr>
        <w:trPr/>
        <w:tc>
          <w:tcPr>
            <w:tcW w:w="2201" w:type="dxa"/>
            <w:gridSpan w:val="3"/>
            <w:tcBorders>
              <w:top w:val="single" w:sz="8" w:space="0" w:color="005A64"/>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Comprehensive loss,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(814.8)</w:t>
            </w:r>
          </w:p>
        </w:tc>
        <w:tc>
          <w:tcPr>
            <w:tcW w:w="354"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5A64"/>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(1,351.7)</w:t>
            </w:r>
          </w:p>
        </w:tc>
        <w:tc>
          <w:tcPr>
            <w:tcW w:w="348"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5A64"/>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(903.7)</w:t>
            </w:r>
          </w:p>
        </w:tc>
      </w:tr>
    </w:tbl>
    <w:p>
      <w:pPr>
        <w:pStyle w:val="TextBody"/>
        <w:bidi w:val="0"/>
        <w:spacing w:lineRule="atLeast" w:line="300" w:before="60" w:after="200"/>
        <w:jc w:val="center"/>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accompanying notes form an integral part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998220"/>
                <wp:effectExtent l="0" t="0" r="0" b="0"/>
                <wp:wrapNone/>
                <wp:docPr id="14" name="Frame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Interim Condensed Consolidated Statements of Financial Position</w:t>
      </w:r>
    </w:p>
    <w:p>
      <w:pPr>
        <w:pStyle w:val="TextBody"/>
        <w:bidi w:val="0"/>
        <w:spacing w:before="0" w:after="0"/>
        <w:jc w:val="both"/>
        <w:rPr/>
      </w:pPr>
      <w:r>
        <w:rPr/>
      </w:r>
    </w:p>
    <w:tbl>
      <w:tblPr>
        <w:tblW w:w="8276" w:type="dxa"/>
        <w:jc w:val="left"/>
        <w:tblInd w:w="0" w:type="dxa"/>
        <w:tblLayout w:type="fixed"/>
        <w:tblCellMar>
          <w:top w:w="28" w:type="dxa"/>
          <w:left w:w="28" w:type="dxa"/>
          <w:bottom w:w="28" w:type="dxa"/>
          <w:right w:w="28" w:type="dxa"/>
        </w:tblCellMar>
      </w:tblPr>
      <w:tblGrid>
        <w:gridCol w:w="1187"/>
        <w:gridCol w:w="1043"/>
        <w:gridCol w:w="1054"/>
        <w:gridCol w:w="109"/>
        <w:gridCol w:w="109"/>
        <w:gridCol w:w="109"/>
        <w:gridCol w:w="109"/>
        <w:gridCol w:w="109"/>
        <w:gridCol w:w="109"/>
        <w:gridCol w:w="180"/>
        <w:gridCol w:w="180"/>
        <w:gridCol w:w="181"/>
        <w:gridCol w:w="109"/>
        <w:gridCol w:w="109"/>
        <w:gridCol w:w="109"/>
        <w:gridCol w:w="109"/>
        <w:gridCol w:w="109"/>
        <w:gridCol w:w="109"/>
        <w:gridCol w:w="445"/>
        <w:gridCol w:w="308"/>
        <w:gridCol w:w="312"/>
        <w:gridCol w:w="109"/>
        <w:gridCol w:w="109"/>
        <w:gridCol w:w="109"/>
        <w:gridCol w:w="109"/>
        <w:gridCol w:w="109"/>
        <w:gridCol w:w="109"/>
        <w:gridCol w:w="417"/>
        <w:gridCol w:w="417"/>
        <w:gridCol w:w="590"/>
      </w:tblGrid>
      <w:tr>
        <w:trPr/>
        <w:tc>
          <w:tcPr>
            <w:tcW w:w="118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June 30,</w:t>
            </w:r>
          </w:p>
        </w:tc>
        <w:tc>
          <w:tcPr>
            <w:tcW w:w="327"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December 31,</w:t>
            </w:r>
          </w:p>
        </w:tc>
      </w:tr>
      <w:tr>
        <w:trPr/>
        <w:tc>
          <w:tcPr>
            <w:tcW w:w="328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r>
      <w:tr>
        <w:trPr/>
        <w:tc>
          <w:tcPr>
            <w:tcW w:w="328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 xml:space="preserve">Non-current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373.3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367.9</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Other intangible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color w:val="005A64"/>
              </w:rPr>
            </w:pPr>
            <w:r>
              <w:rPr>
                <w:color w:val="005A64"/>
              </w:rPr>
              <w:t> </w:t>
            </w:r>
            <w:r>
              <w:rPr>
                <w:rFonts w:ascii="Neue Haas Grotesk Display Pro 55 Roman;serif" w:hAnsi="Neue Haas Grotesk Display Pro 55 Roman;serif"/>
                <w:b w:val="false"/>
                <w:color w:val="005A64"/>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1,606.0</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Property, plant and equipment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1,036.1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1,080.9</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210.2</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Contract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2.0</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2,006.1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2,554.2</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non-financial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7.3</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Deferred tax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13.5</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Total non-current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5,045.3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5,842.0</w:t>
            </w:r>
          </w:p>
        </w:tc>
      </w:tr>
      <w:tr>
        <w:trPr/>
        <w:tc>
          <w:tcPr>
            <w:tcW w:w="328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Inventories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110.7</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Trade and other receivables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924.2</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Contract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8.1</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Other financial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7,201.8</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non-financial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172.7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173.8</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Income tax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52.6</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9,741.0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7,675.4</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Total current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15,297.3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16,146.6</w:t>
            </w:r>
          </w:p>
        </w:tc>
      </w:tr>
      <w:tr>
        <w:trPr/>
        <w:tc>
          <w:tcPr>
            <w:tcW w:w="328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20,342.6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21,988.6</w:t>
            </w:r>
          </w:p>
        </w:tc>
      </w:tr>
      <w:tr>
        <w:trPr/>
        <w:tc>
          <w:tcPr>
            <w:tcW w:w="328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Equity and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259.0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259.0</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Capital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2,339.1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2,473.3</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(7.7)</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16,609.2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17,961.9</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Other reserves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(1,462.3)</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Total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17,757.5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19,224.2</w:t>
            </w:r>
          </w:p>
        </w:tc>
      </w:tr>
      <w:tr>
        <w:trPr/>
        <w:tc>
          <w:tcPr>
            <w:tcW w:w="328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 xml:space="preserve">Non-current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Lease liabilities, loans and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258.9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215.2</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Other financial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94.9</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35.5</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88.0</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non-financial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104.2</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84.3</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Total non-current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635.9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622.1</w:t>
            </w:r>
          </w:p>
        </w:tc>
      </w:tr>
      <w:tr>
        <w:trPr/>
        <w:tc>
          <w:tcPr>
            <w:tcW w:w="328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 xml:space="preserve">Current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Lease liabilities, loans and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52.2</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Trade payables and other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534.9</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Other financial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351.7</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Income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65.6</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145.3</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754.9</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non-financial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237.7</w:t>
            </w:r>
          </w:p>
        </w:tc>
      </w:tr>
      <w:tr>
        <w:trPr/>
        <w:tc>
          <w:tcPr>
            <w:tcW w:w="328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1,949.2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2,142.3</w:t>
            </w:r>
          </w:p>
        </w:tc>
      </w:tr>
      <w:tr>
        <w:trPr/>
        <w:tc>
          <w:tcPr>
            <w:tcW w:w="328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Total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2,585.1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2,764.4</w:t>
            </w:r>
          </w:p>
        </w:tc>
      </w:tr>
      <w:tr>
        <w:trPr/>
        <w:tc>
          <w:tcPr>
            <w:tcW w:w="3284" w:type="dxa"/>
            <w:gridSpan w:val="3"/>
            <w:tcBorders>
              <w:top w:val="single" w:sz="8" w:space="0" w:color="005A64"/>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Total equity and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A64"/>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5A64"/>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20,342.6</w:t>
            </w:r>
          </w:p>
        </w:tc>
        <w:tc>
          <w:tcPr>
            <w:tcW w:w="327"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5A64"/>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21,988.6</w:t>
            </w:r>
          </w:p>
        </w:tc>
      </w:tr>
    </w:tbl>
    <w:p>
      <w:pPr>
        <w:pStyle w:val="TextBody"/>
        <w:bidi w:val="0"/>
        <w:spacing w:lineRule="atLeast" w:line="300" w:before="0" w:after="300"/>
        <w:jc w:val="center"/>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accompanying notes form an integral part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998220"/>
                <wp:effectExtent l="0" t="0" r="0" b="0"/>
                <wp:wrapNone/>
                <wp:docPr id="17" name="Frame1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Interim Condensed Consolidated Statements of Changes in Stockholders’ Equity</w:t>
      </w:r>
    </w:p>
    <w:p>
      <w:pPr>
        <w:pStyle w:val="TextBody"/>
        <w:bidi w:val="0"/>
        <w:spacing w:before="0" w:after="300"/>
        <w:jc w:val="both"/>
        <w:rPr/>
      </w:pPr>
      <w:r>
        <w:rPr/>
      </w:r>
    </w:p>
    <w:tbl>
      <w:tblPr>
        <w:tblW w:w="10205" w:type="dxa"/>
        <w:jc w:val="left"/>
        <w:tblInd w:w="0" w:type="dxa"/>
        <w:tblLayout w:type="fixed"/>
        <w:tblCellMar>
          <w:top w:w="28" w:type="dxa"/>
          <w:left w:w="28" w:type="dxa"/>
          <w:bottom w:w="28" w:type="dxa"/>
          <w:right w:w="28" w:type="dxa"/>
        </w:tblCellMar>
      </w:tblPr>
      <w:tblGrid>
        <w:gridCol w:w="722"/>
        <w:gridCol w:w="496"/>
        <w:gridCol w:w="354"/>
        <w:gridCol w:w="109"/>
        <w:gridCol w:w="109"/>
        <w:gridCol w:w="109"/>
        <w:gridCol w:w="109"/>
        <w:gridCol w:w="109"/>
        <w:gridCol w:w="109"/>
        <w:gridCol w:w="155"/>
        <w:gridCol w:w="155"/>
        <w:gridCol w:w="156"/>
        <w:gridCol w:w="109"/>
        <w:gridCol w:w="109"/>
        <w:gridCol w:w="109"/>
        <w:gridCol w:w="221"/>
        <w:gridCol w:w="221"/>
        <w:gridCol w:w="222"/>
        <w:gridCol w:w="116"/>
        <w:gridCol w:w="116"/>
        <w:gridCol w:w="116"/>
        <w:gridCol w:w="246"/>
        <w:gridCol w:w="246"/>
        <w:gridCol w:w="247"/>
        <w:gridCol w:w="116"/>
        <w:gridCol w:w="116"/>
        <w:gridCol w:w="116"/>
        <w:gridCol w:w="274"/>
        <w:gridCol w:w="274"/>
        <w:gridCol w:w="275"/>
        <w:gridCol w:w="116"/>
        <w:gridCol w:w="116"/>
        <w:gridCol w:w="116"/>
        <w:gridCol w:w="285"/>
        <w:gridCol w:w="285"/>
        <w:gridCol w:w="287"/>
        <w:gridCol w:w="116"/>
        <w:gridCol w:w="116"/>
        <w:gridCol w:w="109"/>
        <w:gridCol w:w="109"/>
        <w:gridCol w:w="109"/>
        <w:gridCol w:w="266"/>
        <w:gridCol w:w="266"/>
        <w:gridCol w:w="267"/>
        <w:gridCol w:w="109"/>
        <w:gridCol w:w="109"/>
        <w:gridCol w:w="109"/>
        <w:gridCol w:w="109"/>
        <w:gridCol w:w="109"/>
        <w:gridCol w:w="329"/>
        <w:gridCol w:w="231"/>
        <w:gridCol w:w="210"/>
        <w:gridCol w:w="109"/>
        <w:gridCol w:w="109"/>
        <w:gridCol w:w="168"/>
      </w:tblGrid>
      <w:tr>
        <w:trPr/>
        <w:tc>
          <w:tcPr>
            <w:tcW w:w="7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9" w:type="dxa"/>
            <w:gridSpan w:val="23"/>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Equity attributable to equity holders of the parent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9"/>
            <w:tcBorders/>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Share capital</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Capital reserve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Treasury shares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Retained earnings</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Other reserves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Total equity</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As of 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248.6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1,398.6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19,098.0</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(1,325.5)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19,411.1</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(802.4)</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(802.4)</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(101.3)</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Total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(802.4)</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(903.7)</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Share-based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49.3</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(2.3)</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248.6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1,447.9</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18,295.6</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(1,478.8)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18,505.1</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As of 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259.0</w:t>
            </w:r>
          </w:p>
        </w:tc>
        <w:tc>
          <w:tcPr>
            <w:tcW w:w="348"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2,473.3</w:t>
            </w:r>
          </w:p>
        </w:tc>
        <w:tc>
          <w:tcPr>
            <w:tcW w:w="348"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(7.7)</w:t>
            </w:r>
          </w:p>
        </w:tc>
        <w:tc>
          <w:tcPr>
            <w:tcW w:w="348"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17,961.9</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(1,462.3)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19,224.2</w:t>
            </w:r>
          </w:p>
        </w:tc>
        <w:tc>
          <w:tcPr>
            <w:tcW w:w="386" w:type="dxa"/>
            <w:gridSpan w:val="3"/>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(1,352.7)</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(1,352.7)</w:t>
            </w:r>
          </w:p>
        </w:tc>
        <w:tc>
          <w:tcPr>
            <w:tcW w:w="386"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comprehensive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w:t>
            </w:r>
          </w:p>
        </w:tc>
        <w:tc>
          <w:tcPr>
            <w:tcW w:w="386"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Total comprehensive profit /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(1,352.7)</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(1,351.7)</w:t>
            </w:r>
          </w:p>
        </w:tc>
        <w:tc>
          <w:tcPr>
            <w:tcW w:w="386"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Issuance of share capital, net of transaction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127.0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128.6</w:t>
            </w:r>
          </w:p>
        </w:tc>
        <w:tc>
          <w:tcPr>
            <w:tcW w:w="386"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Obligation to issue 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(132.6)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(132.6)</w:t>
            </w:r>
          </w:p>
        </w:tc>
        <w:tc>
          <w:tcPr>
            <w:tcW w:w="386"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Share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(130.1)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(1.7)</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(131.8)</w:t>
            </w:r>
          </w:p>
        </w:tc>
        <w:tc>
          <w:tcPr>
            <w:tcW w:w="386"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Share-based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20.8</w:t>
            </w:r>
          </w:p>
        </w:tc>
        <w:tc>
          <w:tcPr>
            <w:tcW w:w="386"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A8C7CA"/>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2" w:space="0" w:color="A8C7CA"/>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259.0</w:t>
            </w:r>
          </w:p>
        </w:tc>
        <w:tc>
          <w:tcPr>
            <w:tcW w:w="348"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2" w:space="0" w:color="A8C7CA"/>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2,339.1</w:t>
            </w:r>
          </w:p>
        </w:tc>
        <w:tc>
          <w:tcPr>
            <w:tcW w:w="348"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2" w:space="0" w:color="A8C7CA"/>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(7.8)</w:t>
            </w:r>
          </w:p>
        </w:tc>
        <w:tc>
          <w:tcPr>
            <w:tcW w:w="348"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A8C7CA"/>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16,609.2</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A8C7CA"/>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(1,442.0)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2" w:space="0" w:color="A8C7CA"/>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17,757.5</w:t>
            </w:r>
          </w:p>
        </w:tc>
        <w:tc>
          <w:tcPr>
            <w:tcW w:w="386" w:type="dxa"/>
            <w:gridSpan w:val="3"/>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center"/>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accompanying notes form an integral part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998220"/>
                <wp:effectExtent l="0" t="0" r="0" b="0"/>
                <wp:wrapNone/>
                <wp:docPr id="20" name="Frame1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Interim Condensed Consolidated Statements of Cash Flows</w:t>
      </w:r>
    </w:p>
    <w:p>
      <w:pPr>
        <w:pStyle w:val="TextBody"/>
        <w:bidi w:val="0"/>
        <w:spacing w:before="120" w:after="60"/>
        <w:jc w:val="both"/>
        <w:rPr/>
      </w:pPr>
      <w:r>
        <w:rPr/>
      </w:r>
    </w:p>
    <w:tbl>
      <w:tblPr>
        <w:tblW w:w="10205" w:type="dxa"/>
        <w:jc w:val="left"/>
        <w:tblInd w:w="0" w:type="dxa"/>
        <w:tblLayout w:type="fixed"/>
        <w:tblCellMar>
          <w:top w:w="28" w:type="dxa"/>
          <w:left w:w="28" w:type="dxa"/>
          <w:bottom w:w="28" w:type="dxa"/>
          <w:right w:w="28" w:type="dxa"/>
        </w:tblCellMar>
      </w:tblPr>
      <w:tblGrid>
        <w:gridCol w:w="1243"/>
        <w:gridCol w:w="849"/>
        <w:gridCol w:w="833"/>
        <w:gridCol w:w="109"/>
        <w:gridCol w:w="109"/>
        <w:gridCol w:w="109"/>
        <w:gridCol w:w="155"/>
        <w:gridCol w:w="155"/>
        <w:gridCol w:w="156"/>
        <w:gridCol w:w="109"/>
        <w:gridCol w:w="109"/>
        <w:gridCol w:w="109"/>
        <w:gridCol w:w="109"/>
        <w:gridCol w:w="109"/>
        <w:gridCol w:w="109"/>
        <w:gridCol w:w="363"/>
        <w:gridCol w:w="334"/>
        <w:gridCol w:w="214"/>
        <w:gridCol w:w="125"/>
        <w:gridCol w:w="125"/>
        <w:gridCol w:w="125"/>
        <w:gridCol w:w="125"/>
        <w:gridCol w:w="125"/>
        <w:gridCol w:w="125"/>
        <w:gridCol w:w="363"/>
        <w:gridCol w:w="334"/>
        <w:gridCol w:w="214"/>
        <w:gridCol w:w="109"/>
        <w:gridCol w:w="109"/>
        <w:gridCol w:w="109"/>
        <w:gridCol w:w="109"/>
        <w:gridCol w:w="109"/>
        <w:gridCol w:w="109"/>
        <w:gridCol w:w="328"/>
        <w:gridCol w:w="328"/>
        <w:gridCol w:w="256"/>
        <w:gridCol w:w="121"/>
        <w:gridCol w:w="121"/>
        <w:gridCol w:w="121"/>
        <w:gridCol w:w="121"/>
        <w:gridCol w:w="121"/>
        <w:gridCol w:w="121"/>
        <w:gridCol w:w="314"/>
        <w:gridCol w:w="314"/>
        <w:gridCol w:w="341"/>
      </w:tblGrid>
      <w:tr>
        <w:trPr/>
        <w:tc>
          <w:tcPr>
            <w:tcW w:w="12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Six months ended June 30,</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2026</w:t>
            </w:r>
          </w:p>
        </w:tc>
        <w:tc>
          <w:tcPr>
            <w:tcW w:w="375"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2026</w:t>
            </w:r>
          </w:p>
        </w:tc>
        <w:tc>
          <w:tcPr>
            <w:tcW w:w="363"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2025</w:t>
            </w:r>
          </w:p>
        </w:tc>
      </w:tr>
      <w:tr>
        <w:trPr/>
        <w:tc>
          <w:tcPr>
            <w:tcW w:w="2925"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r>
      <w:tr>
        <w:trPr/>
        <w:tc>
          <w:tcPr>
            <w:tcW w:w="292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(820.8)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(1,352.7)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(802.4)</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(37.9)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(74.1)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(45.7)</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(858.7)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(1,426.8)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(848.1)</w:t>
            </w:r>
          </w:p>
        </w:tc>
      </w:tr>
      <w:tr>
        <w:trPr/>
        <w:tc>
          <w:tcPr>
            <w:tcW w:w="292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 xml:space="preserve">Adjustments to reconcile loss before tax to net cash flows: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Depreciation, amortization and impairment of property, plant, equipment, intangible assets and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266.1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387.4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93.8</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Share-based payment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20.9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43.7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54.2</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Net foreign exchange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17.3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17.7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60.5</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Gain on disposal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(0.4)</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Finance income excluding foreign exchange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(94.6)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(205.6)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(228.0)</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Finance expense excluding foreign exchange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19.1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14.5</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Government and similar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(14.5)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(32.1)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(33.0)</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non-cash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(15.0)</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Working capital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Decrease / (Increase) in trade and other receivables, contract assets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366.0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797.1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108.4</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Decrease in 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56.6</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(Decrease) / Increase in trade payables, other financial liabilities, other liabilities, contract liabilities, refund liabilities and 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224.7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(147.2)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(72.4)</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Interest received and realized gains from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70.8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157.4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191.7</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Interest paid and realized losses from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(5.8)</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Income tax paid,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(16.1)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(57.7)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(27.1)</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Share-based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(15.1)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(15.1)</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Government and similar grants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33.7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48.0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31.0</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Net cash flows from /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(410.5)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(634.2)</w:t>
            </w:r>
          </w:p>
        </w:tc>
      </w:tr>
      <w:tr>
        <w:trPr/>
        <w:tc>
          <w:tcPr>
            <w:tcW w:w="292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Purchase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(54.6)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(111.4)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(76.0)</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Proceeds from sale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Purchase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(22.9)</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(572.3)</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Acquisition of subsidiaries and businesses,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(78.5)</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Investment in other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(2,055.9)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(1,670.0)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(3,606.1)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(4,177.7)</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Proceeds from maturity of other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2,007.8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1,635.3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6,285.9</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6,085.9</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Net cash flows from /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2,550.5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1,182.4</w:t>
            </w:r>
          </w:p>
        </w:tc>
      </w:tr>
      <w:tr>
        <w:trPr/>
        <w:tc>
          <w:tcPr>
            <w:tcW w:w="292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Proceeds from loans and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37.8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76.2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Repayment of loans and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(5.9)</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(8.2)</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Payments related to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(23.2)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(18.9)</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Share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(129.2)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(129.2)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Net cash flows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(108.5)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(82.1)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(27.1)</w:t>
            </w:r>
          </w:p>
        </w:tc>
      </w:tr>
      <w:tr>
        <w:trPr/>
        <w:tc>
          <w:tcPr>
            <w:tcW w:w="292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Net increase / (decrease)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(198.1)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2,057.9</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521.1</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Change in cash and cash equivalents resulting from exchange rate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(6.9)</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Change in cash and cash equivalents resulting from other valuation effects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14.4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(6.6)</w:t>
            </w:r>
          </w:p>
        </w:tc>
      </w:tr>
      <w:tr>
        <w:trPr/>
        <w:tc>
          <w:tcPr>
            <w:tcW w:w="292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Cash and cash equivalents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9,939.4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10,184.9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7,675.4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9,761.9</w:t>
            </w:r>
          </w:p>
        </w:tc>
      </w:tr>
      <w:tr>
        <w:trPr/>
        <w:tc>
          <w:tcPr>
            <w:tcW w:w="2925"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Cash and cash equivalents 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9,741.0</w:t>
            </w:r>
          </w:p>
        </w:tc>
        <w:tc>
          <w:tcPr>
            <w:tcW w:w="375"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10,269.5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9,741.0</w:t>
            </w:r>
          </w:p>
        </w:tc>
        <w:tc>
          <w:tcPr>
            <w:tcW w:w="363"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10,269.5</w:t>
            </w:r>
          </w:p>
        </w:tc>
      </w:tr>
    </w:tbl>
    <w:p>
      <w:pPr>
        <w:pStyle w:val="TextBody"/>
        <w:bidi w:val="0"/>
        <w:spacing w:lineRule="auto" w:line="288" w:before="0" w:after="320"/>
        <w:ind w:left="0" w:right="0" w:hanging="198"/>
        <w:jc w:val="both"/>
        <w:rPr>
          <w:rFonts w:ascii="Neue Haas Grotesk Display Pro 55 Roman;serif" w:hAnsi="Neue Haas Grotesk Display Pro 55 Roman;serif"/>
          <w:b w:val="false"/>
          <w:color w:val="107072"/>
          <w:sz w:val="15"/>
        </w:rPr>
      </w:pPr>
      <w:r>
        <w:rPr>
          <w:rFonts w:ascii="Neue Haas Grotesk Display Pro 55 Roman;serif" w:hAnsi="Neue Haas Grotesk Display Pro 55 Roman;serif"/>
          <w:b w:val="false"/>
          <w:color w:val="107072"/>
          <w:sz w:val="15"/>
        </w:rPr>
        <w:t>Certain prior period lines were aggregated to conform to current period presentation and to improve readability.</w:t>
      </w:r>
    </w:p>
    <w:p>
      <w:pPr>
        <w:pStyle w:val="TextBody"/>
        <w:bidi w:val="0"/>
        <w:spacing w:lineRule="atLeast" w:line="300" w:before="60" w:after="300"/>
        <w:jc w:val="center"/>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accompanying notes form an integral part of these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998220"/>
                <wp:effectExtent l="0" t="0" r="0" b="0"/>
                <wp:wrapNone/>
                <wp:docPr id="23" name="Frame1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120"/>
        <w:jc w:val="left"/>
        <w:rPr>
          <w:rFonts w:ascii="Neue Haas Grotesk Display Pro 65 Medium;serif" w:hAnsi="Neue Haas Grotesk Display Pro 65 Medium;serif"/>
          <w:b/>
          <w:color w:val="107072"/>
          <w:sz w:val="40"/>
        </w:rPr>
      </w:pPr>
      <w:r>
        <w:rPr>
          <w:rFonts w:ascii="Neue Haas Grotesk Display Pro 65 Medium;serif" w:hAnsi="Neue Haas Grotesk Display Pro 65 Medium;serif"/>
          <w:b/>
          <w:color w:val="107072"/>
          <w:sz w:val="40"/>
        </w:rPr>
        <w:t>Selected Explanatory Notes to the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1. Corporate Information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BioNTech SE is a limited company incorporated and domiciled in Germany. The registered office is located in Mainz, Germany (An der Goldgrube 12, 55131 Mainz). The accompanying unaudited interim condensed consolidated financial statements present the financial position and the results of operation of BioNTech SE and its subsidiaries and have been prepared on a going concern basis in accordance with the IFRS Accounting Standards as issued by the International Accounting Standards Board and as endorsed by the European Union. References to the “Company”, “BioNTech”, “Group”, “we”, “us” and “our” refer to BioNTech SE and its consolidated subsidiaries.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are a global next-generation immunotherapy company aiming to pioneer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have built a broad toolkit across multiple technology platforms, including a diverse range of potentially first-in-class therapeutic approaches. This includes investigational messenger ribonucleic acid, or mRNA immunotherapies and protein-based therapeutics (including targeted antibodies such as monoclonal, bispecific and antibody-drug conjugates, or ADCs).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multi-technology combination of platforms and product candidates aims to position us as pioneers in the field of individualized, patient-centric therapeutic approaches in oncology and infectious diseases. We believe that by combining complementary treatment modalities, we can leverage the potential of each technology to provide precise and personalized treatments to patients. Such treatments, if approved, could both increase the likelihood of therapeutic success and reduce the risk of therapeutic resistance.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our strategy. To augment anti-tumor activity and to counteract resistance mechanisms, we seek to combine compounds with non-overlapping, potentially synergistic mechanisms of action.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998220"/>
                <wp:effectExtent l="0" t="0" r="0" b="0"/>
                <wp:wrapNone/>
                <wp:docPr id="26" name="Frame1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infectious diseases, our goal is to develop vaccines and therapeutics caused by respiratory viruses, latent viruses, bacteria and parasites. We believe our scientific approach and our mRNA technology have the potential to significantly contribute to the fight against global health threats caused by infectious diseases. We have pursued both strategic partnerships and corporate collaborations to partially fund our infectious disease global health programs and aim to continue to do so. Our infectious disease programs aim to contribute to equitable access to innovative vaccines for high medical need indications.</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Our approach has generated a robust and diversified product candidate pipeline across a range of technologies in oncology and infectious disease, and has led to the approval of our first marketed pharmaceutical product, </w:t>
      </w:r>
      <w:r>
        <w:rPr>
          <w:rFonts w:ascii="Neue Haas Grotesk Display Pro 45 Light;serif" w:hAnsi="Neue Haas Grotesk Display Pro 45 Light;serif"/>
          <w:b w:val="false"/>
          <w:i/>
          <w:color w:val="080509"/>
          <w:sz w:val="20"/>
        </w:rPr>
        <w:t>Comirnaty</w:t>
      </w:r>
      <w:r>
        <w:rPr>
          <w:rFonts w:ascii="Neue Haas Grotesk Display Pro 45 Light;serif" w:hAnsi="Neue Haas Grotesk Display Pro 45 Light;serif"/>
          <w:b w:val="false"/>
          <w:color w:val="080509"/>
          <w:sz w:val="20"/>
        </w:rPr>
        <w:t>. Innovation is at the core of our company, and we see potential for our technologies to expand beyond oncology and infectious diseases.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unaudited interim condensed consolidated financial statements as of and for the three and six months ended June 30, 2026 were authorized for issuance in accordance with a resolution of the Audit Committee of our Supervisory Board on August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 xml:space="preserve">2. Basis of Preparation, Significant Accounting Policies </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Basis of Preparation and Principles of Consolidation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accompanying unaudited interim condensed consolidated financial statements as of and for the three and six months ended June 30, 2026 have been prepared in accordance with IAS 34 Interim Financial Reporting.</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unaudited interim condensed consolidated financial statements do not include all the information and disclosures required in the audited consolidated financial statements, and should be read in conjunction with our audited consolidated financial statements and accompanying notes included in our Annual Report on Form 20-F as of and for the year ended December 31, 2025, as amended.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prepare and present our unaudited interim condensed consolidated financial statements in Euros and round numbers to millions of Euros.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unaudited interim condensed consolidated financial statements as of and for the three and six months ended June 30, 2026, include BioNTech SE and its subsidiaries. All intercompany transactions and balances have been eliminated in consolidation.</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Significant Accounting Judgments, Estimates and Assumptions and Accounting Policies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preparation of the unaudited interim condensed consolidated financial statements requires our management to make judgments, estimates and assumptions that affect the reported amounts of revenues, expenses, assets, liabilities and contingent liabilities and the accompanying disclosures.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significant accounting judgments, estimates and assumptions applied in the preparation of the unaudited interim condensed consolidated financial statements are consistent with those described in Note 3 and applied in the preparation of our audited consolidated financial statements as of and for the year ended December 31, 2025. Significant changes compared to the year ended December 31, 2025 are described below.</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998220"/>
                <wp:effectExtent l="0" t="0" r="0" b="0"/>
                <wp:wrapNone/>
                <wp:docPr id="29" name="Frame1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Judgment is required including, but not limited to, when accounting for the amortization of intangible assets. Generally, the straight-line method is used unless the expected consumption of the economic benefits is better reflected by applying, for example, the diminishing balance (degressive) method. Intangible assets are amortized over their useful lives. A summary of the useful lives applied to the Group’s intangible assets is as follows:</w:t>
      </w:r>
    </w:p>
    <w:tbl>
      <w:tblPr>
        <w:tblW w:w="4481" w:type="dxa"/>
        <w:jc w:val="left"/>
        <w:tblInd w:w="0" w:type="dxa"/>
        <w:tblLayout w:type="fixed"/>
        <w:tblCellMar>
          <w:top w:w="28" w:type="dxa"/>
          <w:left w:w="28" w:type="dxa"/>
          <w:bottom w:w="28" w:type="dxa"/>
          <w:right w:w="28" w:type="dxa"/>
        </w:tblCellMar>
      </w:tblPr>
      <w:tblGrid>
        <w:gridCol w:w="847"/>
        <w:gridCol w:w="744"/>
        <w:gridCol w:w="749"/>
        <w:gridCol w:w="109"/>
        <w:gridCol w:w="109"/>
        <w:gridCol w:w="109"/>
        <w:gridCol w:w="531"/>
        <w:gridCol w:w="531"/>
        <w:gridCol w:w="752"/>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Useful life (years)</w:t>
            </w:r>
          </w:p>
        </w:tc>
      </w:tr>
      <w:tr>
        <w:trPr/>
        <w:tc>
          <w:tcPr>
            <w:tcW w:w="234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Intellectual property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8-42</w:t>
            </w:r>
          </w:p>
        </w:tc>
      </w:tr>
      <w:tr>
        <w:trPr/>
        <w:tc>
          <w:tcPr>
            <w:tcW w:w="234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3-20</w:t>
            </w:r>
          </w:p>
        </w:tc>
      </w:tr>
      <w:tr>
        <w:trPr/>
        <w:tc>
          <w:tcPr>
            <w:tcW w:w="2340"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3-8</w:t>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Management bases its judgments and estimates on information available at the time when the unaudited interim condensed consolidated financial statements were prepared. Existing circumstances and assumptions about future developments, however, may change due to market changes or circumstances arising that are beyond our control. Such changes are reflected in the assumptions when they occur.</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Judgment is also required in evaluating the potential application of IFRS 5 to certain non-current assets (or disposal groups). This includes assessing whether the criteria for classification as held for sale are met, including whether the non-current assets are available for immediate sale in their present condition and whether a sale is highly probable. Additionally, judgment is required in assessing if a component of the group could qualify as a discontinued operation. These assessments are based on the relevant facts and circumstances, such as the status of disposal plans and the expected manner and timing of disposal.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Management also exercises judgment on an ongoing basis in the identification of objective evidence of impairment indicators or their reversal for property, plant and equipment and, where relevant, in estimating recoverable amounts in accordance with IAS 36. These estimates include management’s assumptions, including expected future cash flows and disposal values. Future cash flows can be affected by a variety of factors, including, but not limited to changes in expected utilization including impacts from approved and ongoing restructuring activities. Disposal values are based on available data from similar transactions or observable market prices less incremental costs of disposing of an asset.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Assumptions and estimates are required in determining and reviewing the appropriate useful life in order to calculate the amount of depreciation on property, plant and equipment. In making these estimates, management considers the useful lives of the property, plant and equipment derived among other things, from past experience and ongoing and approved restructuring activities.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accounting policies adopted in the preparation of the unaudited interim condensed consolidated financial statements are consistent with those followed in the preparation of our audited consolidated financial statements as of and for the year ended December 31, 2025, except for income taxes, which are accounted for using the expected annual tax rate in our unaudited interim condensed consolidated financial statements (see Note 5).</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998220"/>
                <wp:effectExtent l="0" t="0" r="0" b="0"/>
                <wp:wrapNone/>
                <wp:docPr id="32" name="Frame1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Standards Applied for the First Time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IFRS Accounting Standards that were applied for the first time as of January 1, 2026, as disclosed in the notes to the audited consolidated financial statements as of and for the year ended December 31, 2025, had no impact on our unaudited interim condensed consolidated financial statements as of and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3. Revenues from Contracts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Disaggregated Information on Revenues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Set forth below is the disaggregation of our revenues from contracts with customers:</w:t>
      </w:r>
    </w:p>
    <w:tbl>
      <w:tblPr>
        <w:tblW w:w="9299" w:type="dxa"/>
        <w:jc w:val="left"/>
        <w:tblInd w:w="0" w:type="dxa"/>
        <w:tblLayout w:type="fixed"/>
        <w:tblCellMar>
          <w:top w:w="28" w:type="dxa"/>
          <w:left w:w="28" w:type="dxa"/>
          <w:bottom w:w="28" w:type="dxa"/>
          <w:right w:w="28" w:type="dxa"/>
        </w:tblCellMar>
      </w:tblPr>
      <w:tblGrid>
        <w:gridCol w:w="890"/>
        <w:gridCol w:w="784"/>
        <w:gridCol w:w="786"/>
        <w:gridCol w:w="109"/>
        <w:gridCol w:w="109"/>
        <w:gridCol w:w="109"/>
        <w:gridCol w:w="109"/>
        <w:gridCol w:w="109"/>
        <w:gridCol w:w="109"/>
        <w:gridCol w:w="237"/>
        <w:gridCol w:w="237"/>
        <w:gridCol w:w="237"/>
        <w:gridCol w:w="237"/>
        <w:gridCol w:w="237"/>
        <w:gridCol w:w="237"/>
        <w:gridCol w:w="237"/>
        <w:gridCol w:w="237"/>
        <w:gridCol w:w="237"/>
        <w:gridCol w:w="237"/>
        <w:gridCol w:w="237"/>
        <w:gridCol w:w="237"/>
        <w:gridCol w:w="109"/>
        <w:gridCol w:w="109"/>
        <w:gridCol w:w="109"/>
        <w:gridCol w:w="109"/>
        <w:gridCol w:w="109"/>
        <w:gridCol w:w="109"/>
        <w:gridCol w:w="234"/>
        <w:gridCol w:w="234"/>
        <w:gridCol w:w="213"/>
        <w:gridCol w:w="213"/>
        <w:gridCol w:w="213"/>
        <w:gridCol w:w="213"/>
        <w:gridCol w:w="213"/>
        <w:gridCol w:w="213"/>
        <w:gridCol w:w="213"/>
        <w:gridCol w:w="213"/>
        <w:gridCol w:w="213"/>
        <w:gridCol w:w="302"/>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711"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639"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r>
      <w:tr>
        <w:trPr/>
        <w:tc>
          <w:tcPr>
            <w:tcW w:w="246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COVID-19 vaccine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51.9</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118.8</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286.3</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53.7</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104.9</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157.3</w:t>
            </w:r>
          </w:p>
        </w:tc>
      </w:tr>
      <w:tr>
        <w:trPr/>
        <w:tc>
          <w:tcPr>
            <w:tcW w:w="246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105.6</w:t>
            </w:r>
          </w:p>
        </w:tc>
        <w:tc>
          <w:tcPr>
            <w:tcW w:w="711"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223.7</w:t>
            </w:r>
          </w:p>
        </w:tc>
        <w:tc>
          <w:tcPr>
            <w:tcW w:w="639"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443.6</w:t>
            </w:r>
          </w:p>
        </w:tc>
      </w:tr>
    </w:tbl>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COVID-19 Vaccine Revenues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COVID-19 vaccine revenues were recognized from the supply and sales of our COVID-19 vaccine worldwide during the three and six months ended June 30, 2026 and 2025, mainly comprising our share of the collaboration partner’s gross profit derived from sales in the collaboration partner’s territory. Overall, our COVID-19 vaccine revenues amounted to €51.9 million and €118.8 million during the three and six months ended June 30, 2026, respectively, compared to €153.3 million and €286.3 million in the same periods in the prior year, respectively. The decreases for the three and six months ended June 30, 2026, each compared with the corresponding prior</w:t>
        <w:noBreakHyphen/>
        <w:t xml:space="preserve">year period, were mainly driven by a lower volume of doses sold during the three and six months ended June 30, 2026. Our COVID-19 vaccine revenues are subject to seasonal effects in the fall and winter of the northern hemisphere. </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Other Revenues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remaining other revenues were mainly derived from a pandemic preparedness contract with the German government, during the three and six months ended June 30, 2026 and 2025.</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Revenues from contracts with customers were recognized as follows:</w:t>
      </w:r>
    </w:p>
    <w:tbl>
      <w:tblPr>
        <w:tblW w:w="10205" w:type="dxa"/>
        <w:jc w:val="left"/>
        <w:tblInd w:w="0" w:type="dxa"/>
        <w:tblLayout w:type="fixed"/>
        <w:tblCellMar>
          <w:top w:w="28" w:type="dxa"/>
          <w:left w:w="28" w:type="dxa"/>
          <w:bottom w:w="28" w:type="dxa"/>
          <w:right w:w="28" w:type="dxa"/>
        </w:tblCellMar>
      </w:tblPr>
      <w:tblGrid>
        <w:gridCol w:w="1692"/>
        <w:gridCol w:w="1490"/>
        <w:gridCol w:w="1478"/>
        <w:gridCol w:w="109"/>
        <w:gridCol w:w="109"/>
        <w:gridCol w:w="109"/>
        <w:gridCol w:w="109"/>
        <w:gridCol w:w="109"/>
        <w:gridCol w:w="109"/>
        <w:gridCol w:w="214"/>
        <w:gridCol w:w="214"/>
        <w:gridCol w:w="218"/>
        <w:gridCol w:w="138"/>
        <w:gridCol w:w="138"/>
        <w:gridCol w:w="138"/>
        <w:gridCol w:w="138"/>
        <w:gridCol w:w="138"/>
        <w:gridCol w:w="138"/>
        <w:gridCol w:w="214"/>
        <w:gridCol w:w="214"/>
        <w:gridCol w:w="218"/>
        <w:gridCol w:w="109"/>
        <w:gridCol w:w="109"/>
        <w:gridCol w:w="109"/>
        <w:gridCol w:w="109"/>
        <w:gridCol w:w="109"/>
        <w:gridCol w:w="109"/>
        <w:gridCol w:w="214"/>
        <w:gridCol w:w="214"/>
        <w:gridCol w:w="218"/>
        <w:gridCol w:w="129"/>
        <w:gridCol w:w="129"/>
        <w:gridCol w:w="129"/>
        <w:gridCol w:w="129"/>
        <w:gridCol w:w="129"/>
        <w:gridCol w:w="129"/>
        <w:gridCol w:w="201"/>
        <w:gridCol w:w="201"/>
        <w:gridCol w:w="295"/>
      </w:tblGrid>
      <w:tr>
        <w:trPr/>
        <w:tc>
          <w:tcPr>
            <w:tcW w:w="169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66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BECD32"/>
            </w:tcBorders>
            <w:tcMar>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Six months ended </w:t>
              <w:br/>
              <w:t>June 30,</w:t>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414"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38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r>
      <w:tr>
        <w:trPr/>
        <w:tc>
          <w:tcPr>
            <w:tcW w:w="466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Timing of revenue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Goods and services transferred at a point in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24.8</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137.0</w:t>
            </w:r>
          </w:p>
        </w:tc>
      </w:tr>
      <w:tr>
        <w:trPr/>
        <w:tc>
          <w:tcPr>
            <w:tcW w:w="466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Goods and services transferred over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47.0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93.9</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148.6</w:t>
            </w:r>
          </w:p>
        </w:tc>
      </w:tr>
      <w:tr>
        <w:trPr/>
        <w:tc>
          <w:tcPr>
            <w:tcW w:w="466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6"/>
              </w:rPr>
              <w:t xml:space="preserve">Revenue recognition applying the sales-based or usage-based royalty recognition constraint model </w:t>
            </w:r>
            <w:r>
              <w:rPr>
                <w:rFonts w:ascii="Neue Haas Grotesk Display Pro 55 Roman;serif" w:hAnsi="Neue Haas Grotesk Display Pro 55 Roman;serif"/>
                <w:b w:val="false"/>
                <w:color w:val="005A64"/>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42.2</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105.0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158.0</w:t>
            </w:r>
          </w:p>
        </w:tc>
      </w:tr>
      <w:tr>
        <w:trPr/>
        <w:tc>
          <w:tcPr>
            <w:tcW w:w="466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105.6</w:t>
            </w:r>
          </w:p>
        </w:tc>
        <w:tc>
          <w:tcPr>
            <w:tcW w:w="414"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223.7</w:t>
            </w:r>
          </w:p>
        </w:tc>
        <w:tc>
          <w:tcPr>
            <w:tcW w:w="38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443.6</w:t>
            </w:r>
          </w:p>
        </w:tc>
      </w:tr>
    </w:tbl>
    <w:p>
      <w:pPr>
        <w:pStyle w:val="TextBody"/>
        <w:bidi w:val="0"/>
        <w:spacing w:lineRule="auto" w:line="288" w:before="0" w:after="320"/>
        <w:ind w:left="0" w:right="0" w:hanging="198"/>
        <w:jc w:val="both"/>
        <w:rPr/>
      </w:pPr>
      <w:r>
        <w:rPr>
          <w:rFonts w:ascii="Neue Haas Grotesk Display Pro 55 Roman;serif" w:hAnsi="Neue Haas Grotesk Display Pro 55 Roman;serif"/>
          <w:b w:val="false"/>
          <w:color w:val="107072"/>
          <w:sz w:val="10"/>
        </w:rPr>
        <w:t>(1)</w:t>
      </w:r>
      <w:r>
        <w:rPr>
          <w:color w:val="107072"/>
        </w:rPr>
        <w:t>    </w:t>
      </w:r>
      <w:r>
        <w:rPr>
          <w:rFonts w:ascii="Neue Haas Grotesk Display Pro 55 Roman;serif" w:hAnsi="Neue Haas Grotesk Display Pro 55 Roman;serif"/>
          <w:b w:val="false"/>
          <w:color w:val="107072"/>
          <w:sz w:val="15"/>
        </w:rPr>
        <w:t>Represents sales based on the share of the collaboration partners’ gross profit.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998220"/>
                <wp:effectExtent l="0" t="0" r="0" b="0"/>
                <wp:wrapNone/>
                <wp:docPr id="35" name="Frame1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343"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4. Income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4.1 General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Cost of Sales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cost of sales increased by €20.6 million, or 27%, from €76.4 million during the three months ended June 30, 2025 to €97.0 million during the three months ended June 30, 2026 and increased by €8.2 million, or 5%, from €160.2 million during the six months ended June 30, 2025 to €168.4 million during the six months ended June 30, 2026. The increases for the three and six months ended June 30, 2026, each compared with the corresponding prior</w:t>
        <w:noBreakHyphen/>
        <w:t>year period, were mainly driven by the inclusion of degressive amortization charges related to assets acquired in connection with the acquisition of CureVac N.V., or CureVac, partially offset by lower expenses arising from inventory write-downs to net realizable value due to inventories expected to be unsellable, not fulfilling the specification defined by our quality standards, shelf-life expiry or destruction of inventory.</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Research and Development Expenses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research and development expenses increased by €41.9 million, or 8%, from €509.1 million during the three months ended June 30, 2025 to €551.0 million during the three months ended June 30, 2026 and increased by €73.3 million, or 7%, from €1,034.7 million during the six months ended June 30, 2025 to €1,108.0 million during the six months ended June 30, 2026. The increases for the three and six months ended June 30, 2026, each compared with the corresponding prior</w:t>
        <w:noBreakHyphen/>
        <w:t xml:space="preserve">year period, were mainly driven by higher expenses for our immuno-oncology, or IO, and antibody-drug conjugate, or ADC, programs, in particular pumitamig and gotistobart, by impairments related to early clinical-stage product candidates recorded in June 2026 (see Note 6) as well as research and development costs from the inclusion of operations from CureVac, which was acquired in late 2025. The year-to-date period was also impacted by an impairment related to BNT331 recorded in March 2026 (see Note 6). The quarterly and year-to-date increases were partially offset by lower costs on non-focus programs and positive effects from cost shares with our collaboration partners. We do not track research and development expenses by product candidate and the costs that are directly attributable to individual product candidates represent only a portion of our research and development expenses, while almost half of our current research and development expenses consist of costs that support multiple programs. </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Sales and Marketing Expenses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sales and marketing expenses increased by €20.4 million, or 104%, from €19.7 million during the three months ended June 30, 2025 to €40.1 million during the three months ended June 30, 2026 and increased by €34.6 million, or 104%, from €33.4 million during the six months ended June 30, 2025 to €68.0 million during the six months ended June 30, 2026. The increases for the three and six months ended June 30, 2026, each compared with the corresponding prior</w:t>
        <w:noBreakHyphen/>
        <w:t>year period, were mainly driven by pre</w:t>
        <w:noBreakHyphen/>
        <w:t>launch activities for late-stage programs as well as our ongoing commercial build</w:t>
        <w:noBreakHyphen/>
        <w:t>up, particularly in the United States.</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General and Administrative Expenses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general and administrative expenses increased by €40.0 million, or 34%, from €117.7 million during the three months ended June 30, 2025 to €157.7 million during the three months ended June 30, 2026 and increased by €56.0 million, or 25%, from €224.6 million during the six months ended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998220"/>
                <wp:effectExtent l="0" t="0" r="0" b="0"/>
                <wp:wrapNone/>
                <wp:docPr id="38" name="Frame1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June 30, 2025 to €280.6 million during the six months ended June 30, 2026. The increases for the three and six months ended June 30, 2026, each compared with the corresponding prior</w:t>
        <w:noBreakHyphen/>
        <w:t xml:space="preserve">year period, were primarily driven by the inclusion of CureVac operations acquired in late 2025, as well as expenses associated with BioNTech’s global initiative on scaling processes and ERP infrastructure to strengthen operational execution. This was partly offset by cost reductions resulting from the execution of initiatives related to our pipeline prioritization and increased cost discipline.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4.2 Other Operating Result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other operating results recognized during the three and six months ended June 30, 2026 and 2025 are shown in the following table:</w:t>
      </w:r>
    </w:p>
    <w:tbl>
      <w:tblPr>
        <w:tblW w:w="10205" w:type="dxa"/>
        <w:jc w:val="left"/>
        <w:tblInd w:w="0" w:type="dxa"/>
        <w:tblLayout w:type="fixed"/>
        <w:tblCellMar>
          <w:top w:w="28" w:type="dxa"/>
          <w:left w:w="28" w:type="dxa"/>
          <w:bottom w:w="28" w:type="dxa"/>
          <w:right w:w="28" w:type="dxa"/>
        </w:tblCellMar>
      </w:tblPr>
      <w:tblGrid>
        <w:gridCol w:w="1637"/>
        <w:gridCol w:w="1327"/>
        <w:gridCol w:w="1282"/>
        <w:gridCol w:w="109"/>
        <w:gridCol w:w="109"/>
        <w:gridCol w:w="109"/>
        <w:gridCol w:w="109"/>
        <w:gridCol w:w="109"/>
        <w:gridCol w:w="109"/>
        <w:gridCol w:w="249"/>
        <w:gridCol w:w="249"/>
        <w:gridCol w:w="254"/>
        <w:gridCol w:w="137"/>
        <w:gridCol w:w="137"/>
        <w:gridCol w:w="137"/>
        <w:gridCol w:w="137"/>
        <w:gridCol w:w="137"/>
        <w:gridCol w:w="137"/>
        <w:gridCol w:w="249"/>
        <w:gridCol w:w="249"/>
        <w:gridCol w:w="254"/>
        <w:gridCol w:w="109"/>
        <w:gridCol w:w="109"/>
        <w:gridCol w:w="109"/>
        <w:gridCol w:w="109"/>
        <w:gridCol w:w="109"/>
        <w:gridCol w:w="109"/>
        <w:gridCol w:w="249"/>
        <w:gridCol w:w="249"/>
        <w:gridCol w:w="254"/>
        <w:gridCol w:w="127"/>
        <w:gridCol w:w="127"/>
        <w:gridCol w:w="127"/>
        <w:gridCol w:w="127"/>
        <w:gridCol w:w="127"/>
        <w:gridCol w:w="127"/>
        <w:gridCol w:w="231"/>
        <w:gridCol w:w="231"/>
        <w:gridCol w:w="349"/>
      </w:tblGrid>
      <w:tr>
        <w:trPr/>
        <w:tc>
          <w:tcPr>
            <w:tcW w:w="163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Six months ended </w:t>
              <w:br/>
              <w:t>June 30,</w:t>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411"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381"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r>
      <w:tr>
        <w:trPr/>
        <w:tc>
          <w:tcPr>
            <w:tcW w:w="424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Other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40.2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78.2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57.0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139.8</w:t>
            </w:r>
          </w:p>
        </w:tc>
      </w:tr>
      <w:tr>
        <w:trPr/>
        <w:tc>
          <w:tcPr>
            <w:tcW w:w="42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Government and similar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32.9</w:t>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Gain on derivative instruments at fair value through profit or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13.0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68.0</w:t>
            </w:r>
          </w:p>
        </w:tc>
      </w:tr>
      <w:tr>
        <w:trPr/>
        <w:tc>
          <w:tcPr>
            <w:tcW w:w="42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Bargain 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15.0</w:t>
            </w:r>
          </w:p>
        </w:tc>
      </w:tr>
      <w:tr>
        <w:trPr/>
        <w:tc>
          <w:tcPr>
            <w:tcW w:w="42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21.6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23.9</w:t>
            </w:r>
          </w:p>
        </w:tc>
      </w:tr>
      <w:tr>
        <w:trPr/>
        <w:tc>
          <w:tcPr>
            <w:tcW w:w="42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(248.1)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(117.2)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(281.3)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(165.7)</w:t>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Pipeline prioritization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(221.5)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(240.2)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(43.6)</w:t>
            </w:r>
          </w:p>
        </w:tc>
      </w:tr>
      <w:tr>
        <w:trPr/>
        <w:tc>
          <w:tcPr>
            <w:tcW w:w="42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External legal advice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(20.1)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(49.3)</w:t>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Foreign exchange differences,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(54.8)</w:t>
            </w:r>
          </w:p>
        </w:tc>
      </w:tr>
      <w:tr>
        <w:trPr/>
        <w:tc>
          <w:tcPr>
            <w:tcW w:w="42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Impairment losses and reversals of impairment losses on financial assets (operating result),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(0.3)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(6.5)</w:t>
            </w:r>
          </w:p>
        </w:tc>
      </w:tr>
      <w:tr>
        <w:trPr/>
        <w:tc>
          <w:tcPr>
            <w:tcW w:w="42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(11.5)</w:t>
            </w:r>
          </w:p>
        </w:tc>
      </w:tr>
      <w:tr>
        <w:trPr/>
        <w:tc>
          <w:tcPr>
            <w:tcW w:w="4246"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 other operating result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(207.9)</w:t>
            </w:r>
          </w:p>
        </w:tc>
        <w:tc>
          <w:tcPr>
            <w:tcW w:w="411"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(224.3)</w:t>
            </w:r>
          </w:p>
        </w:tc>
        <w:tc>
          <w:tcPr>
            <w:tcW w:w="381"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(25.9)</w:t>
            </w:r>
          </w:p>
        </w:tc>
      </w:tr>
    </w:tbl>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Our total other operating result decreased by €168.9 million from a negative result of €39.0 million during the three months ended June 30, 2025 to a negative result of €207.9 million during the three months ended June 30, 2026 and decreased by €198.4 million from a negative result of €25.9 million during the six months ended June 30, 2025 to a negative result of €224.3 million during the six months ended June 30, 2026.</w:t>
      </w:r>
      <w:r>
        <w:rPr>
          <w:color w:val="080509"/>
          <w:shd w:fill="FFFFFF" w:val="clear"/>
        </w:rPr>
        <w:t xml:space="preserve"> </w:t>
      </w:r>
      <w:r>
        <w:rPr>
          <w:rFonts w:ascii="Neue Haas Grotesk Display Pro 45 Light;serif" w:hAnsi="Neue Haas Grotesk Display Pro 45 Light;serif"/>
          <w:b w:val="false"/>
          <w:color w:val="080509"/>
          <w:sz w:val="20"/>
          <w:shd w:fill="FFFFFF" w:val="clear"/>
        </w:rPr>
        <w:t xml:space="preserve">Our expenses in connection with our pipeline prioritization included during the three months ended June 30, 2026 employee-related restructuring costs of €97.6 million and impairment losses on property, plant and equipment as well as on other intangible assets </w:t>
      </w:r>
      <w:r>
        <w:rPr>
          <w:rFonts w:ascii="Neue Haas Grotesk Display Pro 45 Light;serif" w:hAnsi="Neue Haas Grotesk Display Pro 45 Light;serif"/>
          <w:b w:val="false"/>
          <w:color w:val="080509"/>
          <w:sz w:val="20"/>
        </w:rPr>
        <w:t xml:space="preserve">of €96.1 million, </w:t>
      </w:r>
      <w:r>
        <w:rPr>
          <w:rFonts w:ascii="Neue Haas Grotesk Display Pro 45 Light;serif" w:hAnsi="Neue Haas Grotesk Display Pro 45 Light;serif"/>
          <w:b w:val="false"/>
          <w:color w:val="080509"/>
          <w:sz w:val="20"/>
          <w:shd w:fill="FFFFFF" w:val="clear"/>
        </w:rPr>
        <w:t xml:space="preserve">of which €87.0 million related to the sites in Marburg and Idar-Oberstein (see Note 7), compared to employee-related restructuring costs of €27.8 million and impairment losses on property, plant and equipment outside of Europe of €10.0 million, respectively, during the prior year quarter. Year-to-date, our pipeline prioritization costs included mainly employee-related restructuring costs of €105.0 million and impairment losses </w:t>
      </w:r>
      <w:r>
        <w:rPr>
          <w:rFonts w:ascii="Neue Haas Grotesk Display Pro 45 Light;serif" w:hAnsi="Neue Haas Grotesk Display Pro 45 Light;serif"/>
          <w:b w:val="false"/>
          <w:color w:val="080509"/>
          <w:sz w:val="20"/>
        </w:rPr>
        <w:t xml:space="preserve">of €96.1 million, </w:t>
      </w:r>
      <w:r>
        <w:rPr>
          <w:rFonts w:ascii="Neue Haas Grotesk Display Pro 45 Light;serif" w:hAnsi="Neue Haas Grotesk Display Pro 45 Light;serif"/>
          <w:b w:val="false"/>
          <w:color w:val="080509"/>
          <w:sz w:val="20"/>
          <w:shd w:fill="FFFFFF" w:val="clear"/>
        </w:rPr>
        <w:t xml:space="preserve">with €87.0 million related to the sites in Marburg and Idar-Oberstein. Employee-related restructuring costs and impairment losses for the six months ended June 30, 2025 were the same as for the three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998220"/>
                <wp:effectExtent l="0" t="0" r="0" b="0"/>
                <wp:wrapNone/>
                <wp:docPr id="41" name="Frame1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25"/>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26"/>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4.3 Finance Result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finance results recognized during the three and six months ended June 30, 2026 and 2025, are shown in the following table: </w:t>
      </w:r>
    </w:p>
    <w:tbl>
      <w:tblPr>
        <w:tblW w:w="10205" w:type="dxa"/>
        <w:jc w:val="left"/>
        <w:tblInd w:w="0" w:type="dxa"/>
        <w:tblLayout w:type="fixed"/>
        <w:tblCellMar>
          <w:top w:w="28" w:type="dxa"/>
          <w:left w:w="28" w:type="dxa"/>
          <w:bottom w:w="28" w:type="dxa"/>
          <w:right w:w="28" w:type="dxa"/>
        </w:tblCellMar>
      </w:tblPr>
      <w:tblGrid>
        <w:gridCol w:w="1658"/>
        <w:gridCol w:w="1159"/>
        <w:gridCol w:w="1162"/>
        <w:gridCol w:w="109"/>
        <w:gridCol w:w="109"/>
        <w:gridCol w:w="109"/>
        <w:gridCol w:w="109"/>
        <w:gridCol w:w="109"/>
        <w:gridCol w:w="109"/>
        <w:gridCol w:w="195"/>
        <w:gridCol w:w="195"/>
        <w:gridCol w:w="196"/>
        <w:gridCol w:w="127"/>
        <w:gridCol w:w="127"/>
        <w:gridCol w:w="127"/>
        <w:gridCol w:w="127"/>
        <w:gridCol w:w="127"/>
        <w:gridCol w:w="127"/>
        <w:gridCol w:w="214"/>
        <w:gridCol w:w="214"/>
        <w:gridCol w:w="218"/>
        <w:gridCol w:w="109"/>
        <w:gridCol w:w="109"/>
        <w:gridCol w:w="109"/>
        <w:gridCol w:w="109"/>
        <w:gridCol w:w="109"/>
        <w:gridCol w:w="109"/>
        <w:gridCol w:w="216"/>
        <w:gridCol w:w="216"/>
        <w:gridCol w:w="220"/>
        <w:gridCol w:w="130"/>
        <w:gridCol w:w="130"/>
        <w:gridCol w:w="130"/>
        <w:gridCol w:w="130"/>
        <w:gridCol w:w="130"/>
        <w:gridCol w:w="130"/>
        <w:gridCol w:w="130"/>
        <w:gridCol w:w="109"/>
        <w:gridCol w:w="109"/>
        <w:gridCol w:w="109"/>
        <w:gridCol w:w="216"/>
        <w:gridCol w:w="216"/>
        <w:gridCol w:w="220"/>
        <w:gridCol w:w="109"/>
        <w:gridCol w:w="109"/>
        <w:gridCol w:w="165"/>
      </w:tblGrid>
      <w:tr>
        <w:trPr/>
        <w:tc>
          <w:tcPr>
            <w:tcW w:w="165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98"/>
              <w:jc w:val="left"/>
              <w:rPr>
                <w:sz w:val="4"/>
                <w:szCs w:val="4"/>
              </w:rPr>
            </w:pPr>
            <w:r>
              <w:rPr>
                <w:sz w:val="4"/>
                <w:szCs w:val="4"/>
              </w:rPr>
            </w:r>
          </w:p>
        </w:tc>
      </w:tr>
      <w:tr>
        <w:trPr/>
        <w:tc>
          <w:tcPr>
            <w:tcW w:w="3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10"/>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7"/>
            <w:tcBorders/>
          </w:tcPr>
          <w:p>
            <w:pPr>
              <w:pStyle w:val="TableContents"/>
              <w:bidi w:val="0"/>
              <w:spacing w:before="0" w:after="283"/>
              <w:jc w:val="left"/>
              <w:rPr>
                <w:sz w:val="4"/>
                <w:szCs w:val="4"/>
              </w:rPr>
            </w:pPr>
            <w:r>
              <w:rPr>
                <w:sz w:val="4"/>
                <w:szCs w:val="4"/>
              </w:rPr>
            </w:r>
          </w:p>
        </w:tc>
      </w:tr>
      <w:tr>
        <w:trPr/>
        <w:tc>
          <w:tcPr>
            <w:tcW w:w="3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381"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390"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 finance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97.3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217.9</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228.0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Interest income from effective interest method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66.4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128.1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28.2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77.5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Gains from financial assets or financial liabilities that are mandatorily measured at fair value through profit or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26.4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74.6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gains from financial assets subsequently measured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2.9</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Foreign exchange differences,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2.7</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12.3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 finance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(7.9)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(19.1)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Interest expenses from effective interest method and other interest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Foreign exchange differences,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Losses from financial assets or financial liabilities that are mandatorily measured at fair value through profit or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(10.7)</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Fee expense from financial assets and financial liabilities that are not subsequently measured at fair value through profit or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(0.2)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(0.9)</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79"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 finance result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89.4</w:t>
            </w:r>
          </w:p>
        </w:tc>
        <w:tc>
          <w:tcPr>
            <w:tcW w:w="381"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98.4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198.8</w:t>
            </w:r>
          </w:p>
        </w:tc>
        <w:tc>
          <w:tcPr>
            <w:tcW w:w="390"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187.1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Our finance result during the three and six months ended June 30, 2026 and 2025 was mainly derived from returns, such as interest, resulting from our security investments as well as fair value adjustments of our money market funds. Our total finance result decreased by </w:t>
      </w:r>
      <w:r>
        <w:rPr>
          <w:color w:val="080509"/>
          <w:shd w:fill="FFFFFF" w:val="clear"/>
        </w:rPr>
        <w:t>€</w:t>
      </w:r>
      <w:r>
        <w:rPr>
          <w:rFonts w:ascii="Neue Haas Grotesk Display Pro 45 Light;serif" w:hAnsi="Neue Haas Grotesk Display Pro 45 Light;serif"/>
          <w:b w:val="false"/>
          <w:color w:val="080509"/>
          <w:sz w:val="20"/>
          <w:shd w:fill="FFFFFF" w:val="clear"/>
        </w:rPr>
        <w:t>9.0 million</w:t>
      </w:r>
      <w:r>
        <w:rPr>
          <w:color w:val="080509"/>
        </w:rPr>
        <w:t xml:space="preserve"> </w:t>
      </w:r>
      <w:r>
        <w:rPr>
          <w:rFonts w:ascii="Neue Haas Grotesk Display Pro 45 Light;serif" w:hAnsi="Neue Haas Grotesk Display Pro 45 Light;serif"/>
          <w:b w:val="false"/>
          <w:color w:val="080509"/>
          <w:sz w:val="20"/>
        </w:rPr>
        <w:t xml:space="preserve">from a positive finance result of </w:t>
      </w:r>
      <w:r>
        <w:rPr>
          <w:color w:val="080509"/>
          <w:shd w:fill="FFFFFF" w:val="clear"/>
        </w:rPr>
        <w:t>€</w:t>
      </w:r>
      <w:r>
        <w:rPr>
          <w:rFonts w:ascii="Neue Haas Grotesk Display Pro 45 Light;serif" w:hAnsi="Neue Haas Grotesk Display Pro 45 Light;serif"/>
          <w:b w:val="false"/>
          <w:color w:val="080509"/>
          <w:sz w:val="20"/>
          <w:shd w:fill="FFFFFF" w:val="clear"/>
        </w:rPr>
        <w:t>98.4 million</w:t>
      </w:r>
      <w:r>
        <w:rPr>
          <w:color w:val="080509"/>
        </w:rPr>
        <w:t xml:space="preserve"> </w:t>
      </w:r>
      <w:r>
        <w:rPr>
          <w:rFonts w:ascii="Neue Haas Grotesk Display Pro 45 Light;serif" w:hAnsi="Neue Haas Grotesk Display Pro 45 Light;serif"/>
          <w:b w:val="false"/>
          <w:color w:val="080509"/>
          <w:sz w:val="20"/>
        </w:rPr>
        <w:t xml:space="preserve">during the three months ended June 30, 2025 to a positive finance result of </w:t>
      </w:r>
      <w:r>
        <w:rPr>
          <w:color w:val="080509"/>
          <w:shd w:fill="FFFFFF" w:val="clear"/>
        </w:rPr>
        <w:t>€</w:t>
      </w:r>
      <w:r>
        <w:rPr>
          <w:rFonts w:ascii="Neue Haas Grotesk Display Pro 45 Light;serif" w:hAnsi="Neue Haas Grotesk Display Pro 45 Light;serif"/>
          <w:b w:val="false"/>
          <w:color w:val="080509"/>
          <w:sz w:val="20"/>
          <w:shd w:fill="FFFFFF" w:val="clear"/>
        </w:rPr>
        <w:t>89.4 million</w:t>
      </w:r>
      <w:r>
        <w:rPr>
          <w:color w:val="080509"/>
        </w:rPr>
        <w:t xml:space="preserve"> </w:t>
      </w:r>
      <w:r>
        <w:rPr>
          <w:rFonts w:ascii="Neue Haas Grotesk Display Pro 45 Light;serif" w:hAnsi="Neue Haas Grotesk Display Pro 45 Light;serif"/>
          <w:b w:val="false"/>
          <w:color w:val="080509"/>
          <w:sz w:val="20"/>
        </w:rPr>
        <w:t xml:space="preserve">during the three months ended June 30, 2026 and increased by </w:t>
      </w:r>
      <w:r>
        <w:rPr>
          <w:color w:val="080509"/>
          <w:shd w:fill="FFFFFF" w:val="clear"/>
        </w:rPr>
        <w:t>€</w:t>
      </w:r>
      <w:r>
        <w:rPr>
          <w:rFonts w:ascii="Neue Haas Grotesk Display Pro 45 Light;serif" w:hAnsi="Neue Haas Grotesk Display Pro 45 Light;serif"/>
          <w:b w:val="false"/>
          <w:color w:val="080509"/>
          <w:sz w:val="20"/>
          <w:shd w:fill="FFFFFF" w:val="clear"/>
        </w:rPr>
        <w:t>11.7 million</w:t>
      </w:r>
      <w:r>
        <w:rPr>
          <w:color w:val="080509"/>
        </w:rPr>
        <w:t xml:space="preserve"> </w:t>
      </w:r>
      <w:r>
        <w:rPr>
          <w:rFonts w:ascii="Neue Haas Grotesk Display Pro 45 Light;serif" w:hAnsi="Neue Haas Grotesk Display Pro 45 Light;serif"/>
          <w:b w:val="false"/>
          <w:color w:val="080509"/>
          <w:sz w:val="20"/>
        </w:rPr>
        <w:t xml:space="preserve">from a positive finance result of </w:t>
      </w:r>
      <w:r>
        <w:rPr>
          <w:color w:val="080509"/>
          <w:shd w:fill="FFFFFF" w:val="clear"/>
        </w:rPr>
        <w:t>€</w:t>
      </w:r>
      <w:r>
        <w:rPr>
          <w:rFonts w:ascii="Neue Haas Grotesk Display Pro 45 Light;serif" w:hAnsi="Neue Haas Grotesk Display Pro 45 Light;serif"/>
          <w:b w:val="false"/>
          <w:color w:val="080509"/>
          <w:sz w:val="20"/>
          <w:shd w:fill="FFFFFF" w:val="clear"/>
        </w:rPr>
        <w:t>187.1 million</w:t>
      </w:r>
      <w:r>
        <w:rPr>
          <w:color w:val="080509"/>
        </w:rPr>
        <w:t xml:space="preserve"> </w:t>
      </w:r>
      <w:r>
        <w:rPr>
          <w:rFonts w:ascii="Neue Haas Grotesk Display Pro 45 Light;serif" w:hAnsi="Neue Haas Grotesk Display Pro 45 Light;serif"/>
          <w:b w:val="false"/>
          <w:color w:val="080509"/>
          <w:sz w:val="20"/>
        </w:rPr>
        <w:t xml:space="preserve">during the six months ended June 30, 2025 to a positive finance result of </w:t>
      </w:r>
      <w:r>
        <w:rPr>
          <w:color w:val="080509"/>
          <w:shd w:fill="FFFFFF" w:val="clear"/>
        </w:rPr>
        <w:t>€</w:t>
      </w:r>
      <w:r>
        <w:rPr>
          <w:rFonts w:ascii="Neue Haas Grotesk Display Pro 45 Light;serif" w:hAnsi="Neue Haas Grotesk Display Pro 45 Light;serif"/>
          <w:b w:val="false"/>
          <w:color w:val="080509"/>
          <w:sz w:val="20"/>
          <w:shd w:fill="FFFFFF" w:val="clear"/>
        </w:rPr>
        <w:t>198.8 million</w:t>
      </w:r>
      <w:r>
        <w:rPr>
          <w:color w:val="080509"/>
        </w:rPr>
        <w:t xml:space="preserve"> </w:t>
      </w:r>
      <w:r>
        <w:rPr>
          <w:rFonts w:ascii="Neue Haas Grotesk Display Pro 45 Light;serif" w:hAnsi="Neue Haas Grotesk Display Pro 45 Light;serif"/>
          <w:b w:val="false"/>
          <w:color w:val="080509"/>
          <w:sz w:val="20"/>
        </w:rPr>
        <w:t>during the six months ended June 30, 2026. The quarterly decrease was primarily driven by lower positive fair value effects of our money market funds, while the year-to-date increase was mainly due to positive impacts from foreign exchange differences, primarily derived from our security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5. Income Taxes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During the three and six months ended June 30, 2026 and 2025, income taxes were calculated based on the best estimate of the weighted average annual income tax rates expected for the full financial years (estimated annual effective income tax rates) on ordinary income before tax adjusted by the tax effect of any discrete items. During the six months ended June 30, 2026, our effective income tax rate was approximately 5.2%. During the six months ended June 30, 2025, our effective income tax rate was approximately 5.4%.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998220"/>
                <wp:effectExtent l="0" t="0" r="0" b="0"/>
                <wp:wrapNone/>
                <wp:docPr id="44" name="Frame1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4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7" descr=""/>
                          <pic:cNvPicPr>
                            <a:picLocks noChangeAspect="1" noChangeArrowheads="1"/>
                          </pic:cNvPicPr>
                        </pic:nvPicPr>
                        <pic:blipFill>
                          <a:blip r:embed="rId28"/>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effective income tax rate was mainly driven by the expected negative result for 2026 and management’s assessment of the requirements in International Accounting Standards, or IAS, 12, including on the character and amounts of taxable future profits, the periods in which those profits are expected to occur, and the availability of tax planning opportunities. Thus, in countries where the requirements of IAS 12 were not fulfilled, no deferred tax asset was recognized. Such assessment takes into account the fact that there is an inherent risk of failure in pharmaceutical development and uncertainty of approvals that depend on external regulatory agencies’ opinions.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apply the mandatory exception to recognizing and disclosing information about deferred tax assets and liabilities arising from Pillar Two income taxes. Furthermore, we reviewed the corporate structure with regard to the Pillar Two Model Rules in various jurisdictions. Since the Group’s relevant effective tax rate for Pillar Two purposes is expected mainly above 15% in all jurisdictions in which it operates, it has been determined that the Group is not materially subject to Pillar Two “top-up” taxes. Therefore, the consolidated financial statements for the three and six months ended June 30, 2026 do not include further information otherwise required by paragraphs 88B and 88C of IAS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income taxes recognized during the three and six months ended June 30, 2026 and 2025 are shown in the following table: </w:t>
      </w:r>
    </w:p>
    <w:tbl>
      <w:tblPr>
        <w:tblW w:w="8918" w:type="dxa"/>
        <w:jc w:val="left"/>
        <w:tblInd w:w="0" w:type="dxa"/>
        <w:tblLayout w:type="fixed"/>
        <w:tblCellMar>
          <w:top w:w="28" w:type="dxa"/>
          <w:left w:w="28" w:type="dxa"/>
          <w:bottom w:w="28" w:type="dxa"/>
          <w:right w:w="28" w:type="dxa"/>
        </w:tblCellMar>
      </w:tblPr>
      <w:tblGrid>
        <w:gridCol w:w="754"/>
        <w:gridCol w:w="665"/>
        <w:gridCol w:w="666"/>
        <w:gridCol w:w="109"/>
        <w:gridCol w:w="109"/>
        <w:gridCol w:w="109"/>
        <w:gridCol w:w="109"/>
        <w:gridCol w:w="109"/>
        <w:gridCol w:w="109"/>
        <w:gridCol w:w="237"/>
        <w:gridCol w:w="237"/>
        <w:gridCol w:w="237"/>
        <w:gridCol w:w="237"/>
        <w:gridCol w:w="237"/>
        <w:gridCol w:w="237"/>
        <w:gridCol w:w="237"/>
        <w:gridCol w:w="237"/>
        <w:gridCol w:w="237"/>
        <w:gridCol w:w="237"/>
        <w:gridCol w:w="237"/>
        <w:gridCol w:w="237"/>
        <w:gridCol w:w="109"/>
        <w:gridCol w:w="109"/>
        <w:gridCol w:w="109"/>
        <w:gridCol w:w="109"/>
        <w:gridCol w:w="109"/>
        <w:gridCol w:w="109"/>
        <w:gridCol w:w="225"/>
        <w:gridCol w:w="225"/>
        <w:gridCol w:w="225"/>
        <w:gridCol w:w="213"/>
        <w:gridCol w:w="213"/>
        <w:gridCol w:w="213"/>
        <w:gridCol w:w="213"/>
        <w:gridCol w:w="213"/>
        <w:gridCol w:w="213"/>
        <w:gridCol w:w="213"/>
        <w:gridCol w:w="213"/>
        <w:gridCol w:w="302"/>
      </w:tblGrid>
      <w:tr>
        <w:trPr/>
        <w:tc>
          <w:tcPr>
            <w:tcW w:w="75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16" w:space="0" w:color="BECD32"/>
            </w:tcBorders>
            <w:tcMar>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Six months ended June 30,</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711"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639"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r>
      <w:tr>
        <w:trPr/>
        <w:tc>
          <w:tcPr>
            <w:tcW w:w="208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Current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(7.5)</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(5.3)</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6.7</w:t>
            </w:r>
          </w:p>
        </w:tc>
      </w:tr>
      <w:tr>
        <w:trPr/>
        <w:tc>
          <w:tcPr>
            <w:tcW w:w="208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Deferred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(30.4)</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(68.8)</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(52.4)</w:t>
            </w:r>
          </w:p>
        </w:tc>
      </w:tr>
      <w:tr>
        <w:trPr/>
        <w:tc>
          <w:tcPr>
            <w:tcW w:w="2085"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Income taxes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(37.9)</w:t>
            </w:r>
          </w:p>
        </w:tc>
        <w:tc>
          <w:tcPr>
            <w:tcW w:w="711"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(74.1)</w:t>
            </w:r>
          </w:p>
        </w:tc>
        <w:tc>
          <w:tcPr>
            <w:tcW w:w="639"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(45.7)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6. Other Intangible Assets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identify indications of impairment of other intangible assets using various factors from external and internal information sources, including deviations from sales forecasts and the analysis of changes in medium-term planning.</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During the six months ended June 30, 2026, we recognized impairment losses related to other intangible assets of €126.9 million, mainly recognized as research and development expenses in our unaudited interim condensed consolidated statements of profit or loss. Of this amount, €103.8 million resulted from BNT331 and other early clinical-stage product candidates, which are outside our focus programs. The impairment loss related to BNT331 of €29.9 million was identified following management’s decision to pause the program due to strategic considerations during the three months ended March 31, 2026. During the three months ended June 30, 2026, impairment losses of €73.9 million related to non-focus in-process R&amp;D assets were identified since the likelihood of finalizing out-licensing agreements for these product candidates was considered unlikely and internal development is not foreseen as of June 30, 2026. The in-process R&amp;D assets were classified as intangible assets not yet available for use and, accordingly, were not designated useful lives and not amortized. In contrast, the intangible asset related to BNT331 was classified as an intangible asset with a definite useful life. The recoverable amounts of the intangible assets, calculated as their value in use, were determined to be zero and therefore the assets’ carrying amounts were fully impaired as of June 30, 2026.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998220"/>
                <wp:effectExtent l="0" t="0" r="0" b="0"/>
                <wp:wrapNone/>
                <wp:docPr id="47" name="Frame2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29"/>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0"/>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remaining impairment losses during the six months ended June 30, 2026 in the amount of €23.1 million related to in-process R&amp;D, intellectual property rights, licenses, software and similar rights, and were made due to strategic considerations and reflected full impairments of the assets’ carrying amounts. The corresponding recoverable amounts were mainly calculated as value in use and determined to be zero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7. Property, Plant and Equipment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During the six months ended June 30, 2026, we recognized impairment losses related to property, plant and equipment of €96.1 million, mainly recognized as other operating expenses in our unaudited interim condensed consolidated statements of profit or loss. These losses mainly related to our ongoing pipeline prioritization following our decision on our manufacturing footprint consolidation, in particular, to exit operations at several manufacturing sites.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For the affected sites in Marburg and Idar-Oberstein, impairment losses of €68.9 million were recorded related to the impairments of equipments, tools and installations as well as leasehold improvements. The recoverable amounts of the affected assets, based on their value in use, was determined to be zero and therefore the assets’ were fully impaired as of June 30, 2026. In addition, an impairment loss of €14.5 million was recorded related to the impairment of land and buildings. The recoverable amount of the affected asset, based on their fair value less cost of disposal, which was measured applying a multiple valuation method based on estimated annual market rents and therefore classified as a level 3 fair value measurement within the fair value hierarchy, was determined to be €6.8 million. Following recognition of the impairment loss, the carrying amount of the asset was reduced to its recoverable amount.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For the other affected sites, impairment losses of €12.7 million were recorded mainly related to the impairment of construction in progress and advance payments.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8. Financial Assets and Financial Liabilities</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Financial Assets and Liabilities at Amortized Cost and at Fair Value through OCI and Profit or Loss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Set out below is an overview of financial assets and liabilities at amortized cost and at fair value through OCI and profit or loss, as of the dates indicated. Security investments are debt instruments under our asset management policy that generate a return individually and independently of our core operating activities.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998220"/>
                <wp:effectExtent l="0" t="0" r="0" b="0"/>
                <wp:wrapNone/>
                <wp:docPr id="50" name="Frame2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5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0" descr=""/>
                          <pic:cNvPicPr>
                            <a:picLocks noChangeAspect="1" noChangeArrowheads="1"/>
                          </pic:cNvPicPr>
                        </pic:nvPicPr>
                        <pic:blipFill>
                          <a:blip r:embed="rId31"/>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1" descr=""/>
                          <pic:cNvPicPr>
                            <a:picLocks noChangeAspect="1" noChangeArrowheads="1"/>
                          </pic:cNvPicPr>
                        </pic:nvPicPr>
                        <pic:blipFill>
                          <a:blip r:embed="rId32"/>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077" w:type="dxa"/>
        <w:jc w:val="left"/>
        <w:tblInd w:w="0" w:type="dxa"/>
        <w:tblLayout w:type="fixed"/>
        <w:tblCellMar>
          <w:top w:w="28" w:type="dxa"/>
          <w:left w:w="28" w:type="dxa"/>
          <w:bottom w:w="28" w:type="dxa"/>
          <w:right w:w="28" w:type="dxa"/>
        </w:tblCellMar>
      </w:tblPr>
      <w:tblGrid>
        <w:gridCol w:w="670"/>
        <w:gridCol w:w="220"/>
        <w:gridCol w:w="221"/>
        <w:gridCol w:w="109"/>
        <w:gridCol w:w="109"/>
        <w:gridCol w:w="109"/>
        <w:gridCol w:w="310"/>
        <w:gridCol w:w="310"/>
        <w:gridCol w:w="311"/>
        <w:gridCol w:w="109"/>
        <w:gridCol w:w="109"/>
        <w:gridCol w:w="109"/>
        <w:gridCol w:w="260"/>
        <w:gridCol w:w="260"/>
        <w:gridCol w:w="261"/>
        <w:gridCol w:w="109"/>
        <w:gridCol w:w="109"/>
        <w:gridCol w:w="109"/>
        <w:gridCol w:w="109"/>
        <w:gridCol w:w="109"/>
        <w:gridCol w:w="109"/>
        <w:gridCol w:w="220"/>
        <w:gridCol w:w="220"/>
        <w:gridCol w:w="221"/>
        <w:gridCol w:w="109"/>
        <w:gridCol w:w="109"/>
        <w:gridCol w:w="109"/>
        <w:gridCol w:w="330"/>
        <w:gridCol w:w="330"/>
        <w:gridCol w:w="331"/>
        <w:gridCol w:w="109"/>
        <w:gridCol w:w="109"/>
        <w:gridCol w:w="109"/>
        <w:gridCol w:w="213"/>
        <w:gridCol w:w="213"/>
        <w:gridCol w:w="220"/>
        <w:gridCol w:w="109"/>
        <w:gridCol w:w="109"/>
        <w:gridCol w:w="109"/>
        <w:gridCol w:w="214"/>
        <w:gridCol w:w="214"/>
        <w:gridCol w:w="218"/>
        <w:gridCol w:w="109"/>
        <w:gridCol w:w="109"/>
        <w:gridCol w:w="109"/>
        <w:gridCol w:w="170"/>
        <w:gridCol w:w="170"/>
        <w:gridCol w:w="171"/>
        <w:gridCol w:w="109"/>
        <w:gridCol w:w="109"/>
        <w:gridCol w:w="109"/>
        <w:gridCol w:w="170"/>
        <w:gridCol w:w="170"/>
        <w:gridCol w:w="171"/>
        <w:gridCol w:w="109"/>
        <w:gridCol w:w="109"/>
        <w:gridCol w:w="109"/>
        <w:gridCol w:w="213"/>
        <w:gridCol w:w="213"/>
        <w:gridCol w:w="220"/>
        <w:gridCol w:w="109"/>
        <w:gridCol w:w="109"/>
        <w:gridCol w:w="154"/>
      </w:tblGrid>
      <w:tr>
        <w:trPr/>
        <w:tc>
          <w:tcPr>
            <w:tcW w:w="6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6" w:type="dxa"/>
            <w:gridSpan w:val="42"/>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June 30, 2026</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Carrying amount</w:t>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21"/>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Fair value</w:t>
            </w:r>
          </w:p>
        </w:tc>
        <w:tc>
          <w:tcPr>
            <w:tcW w:w="372" w:type="dxa"/>
            <w:gridSpan w:val="3"/>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Security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IFRS 9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Current</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Non-current</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Level 1</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Level 2</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Level 3</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Total</w:t>
            </w:r>
          </w:p>
        </w:tc>
        <w:tc>
          <w:tcPr>
            <w:tcW w:w="372"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0.6</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199.9</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667.9</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Commercial Paper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447.9</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2,762.5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1,700.6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4,463.1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4,446.7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4,446.7</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Repos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1,114.4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1,114.4</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Non-listed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0.6</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Listed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61.3</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 xml:space="preserve">Trade and other receivables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163.9</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24.8</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63.4</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2,006.1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7,207.8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4,508.0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7,191.4</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6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Cash at banks and on hand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546.7</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4,804.3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4,804.3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4,804.3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4,804.3</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Deposits, Commercial Paper, Repos (&lt; 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4,390.0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4,390.0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4,390.0</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9,741.0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9,741.0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4,804.3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9,741.0</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6.5</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116.4</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Loans and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112.9</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Trade payables and other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646.7</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45.4</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203.2</w:t>
            </w:r>
          </w:p>
        </w:tc>
        <w:tc>
          <w:tcPr>
            <w:tcW w:w="372" w:type="dxa"/>
            <w:gridSpan w:val="3"/>
            <w:tcBorders>
              <w:right w:val="single" w:sz="8" w:space="0" w:color="BECD3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782.2</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348.9</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1,131.1</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6.5</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116.4</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1,131.1</w:t>
            </w:r>
          </w:p>
        </w:tc>
        <w:tc>
          <w:tcPr>
            <w:tcW w:w="372" w:type="dxa"/>
            <w:gridSpan w:val="3"/>
            <w:tcBorders>
              <w:bottom w:val="single" w:sz="8" w:space="0" w:color="BECE33"/>
              <w:right w:val="single" w:sz="8" w:space="0" w:color="BECD32"/>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ind w:left="0" w:right="0" w:hanging="198"/>
        <w:jc w:val="both"/>
        <w:rPr/>
      </w:pPr>
      <w:r>
        <w:rPr>
          <w:rFonts w:ascii="Neue Haas Grotesk Display Pro 55 Roman;serif" w:hAnsi="Neue Haas Grotesk Display Pro 55 Roman;serif"/>
          <w:b w:val="false"/>
          <w:color w:val="107072"/>
          <w:sz w:val="10"/>
        </w:rPr>
        <w:t>(1)</w:t>
      </w:r>
      <w:r>
        <w:rPr>
          <w:color w:val="107072"/>
        </w:rPr>
        <w:t>    </w:t>
      </w:r>
      <w:r>
        <w:rPr>
          <w:rFonts w:ascii="Neue Haas Grotesk Display Pro 55 Roman;serif" w:hAnsi="Neue Haas Grotesk Display Pro 55 Roman;serif"/>
          <w:b w:val="false"/>
          <w:color w:val="107072"/>
          <w:sz w:val="15"/>
        </w:rPr>
        <w:t xml:space="preserve">Fair values for financial assets and liabilities at amortized costs are not disclosed when the book values represent a reasonable approximation. </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shd w:fill="FFFFFF" w:val="clear"/>
        </w:rPr>
        <w:t xml:space="preserve">Additional developments in our financial assets during the six months ended June 30, 2026 mainly resulted from a reallocation of existing capital and spending for our operations as disclosed in our </w:t>
      </w:r>
      <w:r>
        <w:rPr>
          <w:rFonts w:ascii="Neue Haas Grotesk Display Pro 45 Light;serif" w:hAnsi="Neue Haas Grotesk Display Pro 45 Light;serif"/>
          <w:b w:val="false"/>
          <w:color w:val="080509"/>
          <w:sz w:val="20"/>
        </w:rPr>
        <w:t xml:space="preserve">unaudited interim condensed consolidated </w:t>
      </w:r>
      <w:r>
        <w:rPr>
          <w:rFonts w:ascii="Neue Haas Grotesk Display Pro 45 Light;serif" w:hAnsi="Neue Haas Grotesk Display Pro 45 Light;serif"/>
          <w:b w:val="false"/>
          <w:color w:val="080509"/>
          <w:sz w:val="20"/>
          <w:shd w:fill="FFFFFF" w:val="clear"/>
        </w:rPr>
        <w:t>statements of cash flows.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As of June 30, 2026, we had cash and cash equivalents of €9,741.0 million, current security investments disclosed as financial assets of €5,035.1 million and non-current security investments disclosed as financial assets of €1,858.1 million totaling €16,634.2 million in cash, cash equivalents and security investments, a decrease of €601.4 million compared to December 31, 2025. </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Our other financial liabilities decreased by €280.2 million during the </w:t>
      </w:r>
      <w:r>
        <w:rPr>
          <w:rFonts w:ascii="Neue Haas Grotesk Display Pro 45 Light;serif" w:hAnsi="Neue Haas Grotesk Display Pro 45 Light;serif"/>
          <w:b w:val="false"/>
          <w:color w:val="080509"/>
          <w:sz w:val="20"/>
          <w:shd w:fill="FFFFFF" w:val="clear"/>
        </w:rPr>
        <w:t>six months ended June 30, 2026</w:t>
      </w:r>
      <w:r>
        <w:rPr>
          <w:color w:val="080509"/>
        </w:rPr>
        <w:t xml:space="preserve"> </w:t>
      </w:r>
      <w:r>
        <w:rPr>
          <w:rFonts w:ascii="Neue Haas Grotesk Display Pro 45 Light;serif" w:hAnsi="Neue Haas Grotesk Display Pro 45 Light;serif"/>
          <w:b w:val="false"/>
          <w:color w:val="080509"/>
          <w:sz w:val="20"/>
        </w:rPr>
        <w:t>. The decrease mainly resulted from payments to our licensors resulting from our COVID-19 vaccine business.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998220"/>
                <wp:effectExtent l="0" t="0" r="0" b="0"/>
                <wp:wrapNone/>
                <wp:docPr id="53" name="Frame2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2" descr=""/>
                          <pic:cNvPicPr>
                            <a:picLocks noChangeAspect="1" noChangeArrowheads="1"/>
                          </pic:cNvPicPr>
                        </pic:nvPicPr>
                        <pic:blipFill>
                          <a:blip r:embed="rId33"/>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5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3" descr=""/>
                          <pic:cNvPicPr>
                            <a:picLocks noChangeAspect="1" noChangeArrowheads="1"/>
                          </pic:cNvPicPr>
                        </pic:nvPicPr>
                        <pic:blipFill>
                          <a:blip r:embed="rId34"/>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753" w:type="dxa"/>
        <w:jc w:val="left"/>
        <w:tblInd w:w="0" w:type="dxa"/>
        <w:tblLayout w:type="fixed"/>
        <w:tblCellMar>
          <w:top w:w="28" w:type="dxa"/>
          <w:left w:w="28" w:type="dxa"/>
          <w:bottom w:w="28" w:type="dxa"/>
          <w:right w:w="28" w:type="dxa"/>
        </w:tblCellMar>
      </w:tblPr>
      <w:tblGrid>
        <w:gridCol w:w="715"/>
        <w:gridCol w:w="272"/>
        <w:gridCol w:w="274"/>
        <w:gridCol w:w="109"/>
        <w:gridCol w:w="109"/>
        <w:gridCol w:w="109"/>
        <w:gridCol w:w="310"/>
        <w:gridCol w:w="310"/>
        <w:gridCol w:w="311"/>
        <w:gridCol w:w="109"/>
        <w:gridCol w:w="109"/>
        <w:gridCol w:w="109"/>
        <w:gridCol w:w="260"/>
        <w:gridCol w:w="260"/>
        <w:gridCol w:w="261"/>
        <w:gridCol w:w="109"/>
        <w:gridCol w:w="109"/>
        <w:gridCol w:w="109"/>
        <w:gridCol w:w="220"/>
        <w:gridCol w:w="220"/>
        <w:gridCol w:w="221"/>
        <w:gridCol w:w="109"/>
        <w:gridCol w:w="109"/>
        <w:gridCol w:w="109"/>
        <w:gridCol w:w="330"/>
        <w:gridCol w:w="330"/>
        <w:gridCol w:w="331"/>
        <w:gridCol w:w="109"/>
        <w:gridCol w:w="109"/>
        <w:gridCol w:w="109"/>
        <w:gridCol w:w="242"/>
        <w:gridCol w:w="242"/>
        <w:gridCol w:w="252"/>
        <w:gridCol w:w="109"/>
        <w:gridCol w:w="109"/>
        <w:gridCol w:w="109"/>
        <w:gridCol w:w="214"/>
        <w:gridCol w:w="214"/>
        <w:gridCol w:w="218"/>
        <w:gridCol w:w="109"/>
        <w:gridCol w:w="109"/>
        <w:gridCol w:w="109"/>
        <w:gridCol w:w="170"/>
        <w:gridCol w:w="170"/>
        <w:gridCol w:w="171"/>
        <w:gridCol w:w="109"/>
        <w:gridCol w:w="109"/>
        <w:gridCol w:w="109"/>
        <w:gridCol w:w="170"/>
        <w:gridCol w:w="170"/>
        <w:gridCol w:w="171"/>
        <w:gridCol w:w="109"/>
        <w:gridCol w:w="109"/>
        <w:gridCol w:w="109"/>
        <w:gridCol w:w="227"/>
        <w:gridCol w:w="227"/>
        <w:gridCol w:w="327"/>
      </w:tblGrid>
      <w:tr>
        <w:trPr/>
        <w:tc>
          <w:tcPr>
            <w:tcW w:w="7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21"/>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Fair value</w:t>
            </w:r>
          </w:p>
        </w:tc>
      </w:tr>
      <w:tr>
        <w:trPr/>
        <w:tc>
          <w:tcPr>
            <w:tcW w:w="126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Security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IFRS 9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Current</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Non-current</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Level 1</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Level 2</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Level 3</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Total</w:t>
            </w:r>
          </w:p>
        </w:tc>
      </w:tr>
      <w:tr>
        <w:trPr/>
        <w:tc>
          <w:tcPr>
            <w:tcW w:w="12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6.3</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199.9</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3,358.5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3,458.5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3,458.5</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Commercial Paper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570.2</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2,135.7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2,301.7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4,437.4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4,437.4</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Repos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894.2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894.2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894.2</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Non-listed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0.6</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Listed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82.2</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Trade and 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924.2</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Reimbursement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36.2</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23.9</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46.6</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8,126.0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2,554.2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10,680.2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10,680.2</w:t>
            </w:r>
          </w:p>
        </w:tc>
      </w:tr>
      <w:tr>
        <w:trPr/>
        <w:tc>
          <w:tcPr>
            <w:tcW w:w="12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Cash at banks and on hand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827.2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827.2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827.2</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5,063.3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5,063.3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5,063.3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5,063.3</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Deposits, Commercial Paper, Repos (&lt; 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1,784.9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1,784.9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1,784.9</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7,675.4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7,675.4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5,063.3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7,675.4</w:t>
            </w:r>
          </w:p>
        </w:tc>
      </w:tr>
      <w:tr>
        <w:trPr/>
        <w:tc>
          <w:tcPr>
            <w:tcW w:w="12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0.4</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FVTPL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120.6</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Loans and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37.1</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Trade payables and other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534.9</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3"/>
              </w:rPr>
              <w:t>AC</w:t>
            </w:r>
            <w:r>
              <w:rPr>
                <w:rFonts w:ascii="Neue Haas Grotesk Display Pro 55 Roman;serif" w:hAnsi="Neue Haas Grotesk Display Pro 55 Roman;serif"/>
                <w:b w:val="false"/>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325.6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325.6</w:t>
            </w:r>
          </w:p>
        </w:tc>
      </w:tr>
      <w:tr>
        <w:trPr/>
        <w:tc>
          <w:tcPr>
            <w:tcW w:w="12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185.3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230.3</w:t>
            </w:r>
          </w:p>
        </w:tc>
      </w:tr>
      <w:tr>
        <w:trPr/>
        <w:tc>
          <w:tcPr>
            <w:tcW w:w="126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1,248.9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1,248.9</w:t>
            </w:r>
          </w:p>
        </w:tc>
      </w:tr>
    </w:tbl>
    <w:p>
      <w:pPr>
        <w:pStyle w:val="TextBody"/>
        <w:bidi w:val="0"/>
        <w:spacing w:lineRule="auto" w:line="288" w:before="0" w:after="320"/>
        <w:ind w:left="0" w:right="0" w:hanging="198"/>
        <w:jc w:val="both"/>
        <w:rPr/>
      </w:pPr>
      <w:r>
        <w:rPr>
          <w:rFonts w:ascii="Neue Haas Grotesk Display Pro 55 Roman;serif" w:hAnsi="Neue Haas Grotesk Display Pro 55 Roman;serif"/>
          <w:b w:val="false"/>
          <w:color w:val="107072"/>
          <w:sz w:val="10"/>
        </w:rPr>
        <w:t>(1)    </w:t>
      </w:r>
      <w:r>
        <w:rPr>
          <w:rFonts w:ascii="Neue Haas Grotesk Display Pro 55 Roman;serif" w:hAnsi="Neue Haas Grotesk Display Pro 55 Roman;serif"/>
          <w:b w:val="false"/>
          <w:color w:val="107072"/>
          <w:sz w:val="15"/>
        </w:rPr>
        <w:t>Fair values for financial assets and liabilities at amortized costs are not disclosed when the book values represent a reasonable approximation.</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Equity Investments Designated at Fair Value through OCI</w:t>
      </w:r>
    </w:p>
    <w:tbl>
      <w:tblPr>
        <w:tblW w:w="10205" w:type="dxa"/>
        <w:jc w:val="left"/>
        <w:tblInd w:w="0" w:type="dxa"/>
        <w:tblLayout w:type="fixed"/>
        <w:tblCellMar>
          <w:top w:w="28" w:type="dxa"/>
          <w:left w:w="28" w:type="dxa"/>
          <w:bottom w:w="28" w:type="dxa"/>
          <w:right w:w="28" w:type="dxa"/>
        </w:tblCellMar>
      </w:tblPr>
      <w:tblGrid>
        <w:gridCol w:w="1057"/>
        <w:gridCol w:w="932"/>
        <w:gridCol w:w="931"/>
        <w:gridCol w:w="109"/>
        <w:gridCol w:w="109"/>
        <w:gridCol w:w="109"/>
        <w:gridCol w:w="109"/>
        <w:gridCol w:w="109"/>
        <w:gridCol w:w="109"/>
        <w:gridCol w:w="830"/>
        <w:gridCol w:w="830"/>
        <w:gridCol w:w="832"/>
        <w:gridCol w:w="109"/>
        <w:gridCol w:w="109"/>
        <w:gridCol w:w="109"/>
        <w:gridCol w:w="109"/>
        <w:gridCol w:w="109"/>
        <w:gridCol w:w="109"/>
        <w:gridCol w:w="1000"/>
        <w:gridCol w:w="1000"/>
        <w:gridCol w:w="1001"/>
        <w:gridCol w:w="109"/>
        <w:gridCol w:w="109"/>
        <w:gridCol w:w="109"/>
        <w:gridCol w:w="157"/>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80"/>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Fair value as of June 30, 2026</w:t>
            </w:r>
          </w:p>
        </w:tc>
        <w:tc>
          <w:tcPr>
            <w:tcW w:w="327"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lineRule="auto" w:line="336" w:before="0" w:after="80"/>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Fair value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Investment in Autolus Therapeutics plc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Investment in Ryvu Therapeutics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Investment in Duality Biologics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Other investments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61.9</w:t>
            </w:r>
          </w:p>
        </w:tc>
        <w:tc>
          <w:tcPr>
            <w:tcW w:w="327"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998220"/>
                <wp:effectExtent l="0" t="0" r="0" b="0"/>
                <wp:wrapNone/>
                <wp:docPr id="56" name="Frame2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5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4" descr=""/>
                          <pic:cNvPicPr>
                            <a:picLocks noChangeAspect="1" noChangeArrowheads="1"/>
                          </pic:cNvPicPr>
                        </pic:nvPicPr>
                        <pic:blipFill>
                          <a:blip r:embed="rId35"/>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5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5" descr=""/>
                          <pic:cNvPicPr>
                            <a:picLocks noChangeAspect="1" noChangeArrowheads="1"/>
                          </pic:cNvPicPr>
                        </pic:nvPicPr>
                        <pic:blipFill>
                          <a:blip r:embed="rId36"/>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Financial investments in equity instruments measured at fair value through other comprehensive income comprise the following effects:</w:t>
      </w:r>
    </w:p>
    <w:tbl>
      <w:tblPr>
        <w:tblW w:w="10205" w:type="dxa"/>
        <w:jc w:val="left"/>
        <w:tblInd w:w="0" w:type="dxa"/>
        <w:tblLayout w:type="fixed"/>
        <w:tblCellMar>
          <w:top w:w="28" w:type="dxa"/>
          <w:left w:w="28" w:type="dxa"/>
          <w:bottom w:w="28" w:type="dxa"/>
          <w:right w:w="28" w:type="dxa"/>
        </w:tblCellMar>
      </w:tblPr>
      <w:tblGrid>
        <w:gridCol w:w="1748"/>
        <w:gridCol w:w="1541"/>
        <w:gridCol w:w="1551"/>
        <w:gridCol w:w="109"/>
        <w:gridCol w:w="109"/>
        <w:gridCol w:w="109"/>
        <w:gridCol w:w="109"/>
        <w:gridCol w:w="109"/>
        <w:gridCol w:w="109"/>
        <w:gridCol w:w="195"/>
        <w:gridCol w:w="195"/>
        <w:gridCol w:w="196"/>
        <w:gridCol w:w="139"/>
        <w:gridCol w:w="139"/>
        <w:gridCol w:w="139"/>
        <w:gridCol w:w="139"/>
        <w:gridCol w:w="139"/>
        <w:gridCol w:w="139"/>
        <w:gridCol w:w="195"/>
        <w:gridCol w:w="195"/>
        <w:gridCol w:w="196"/>
        <w:gridCol w:w="109"/>
        <w:gridCol w:w="109"/>
        <w:gridCol w:w="109"/>
        <w:gridCol w:w="109"/>
        <w:gridCol w:w="109"/>
        <w:gridCol w:w="109"/>
        <w:gridCol w:w="210"/>
        <w:gridCol w:w="210"/>
        <w:gridCol w:w="215"/>
        <w:gridCol w:w="129"/>
        <w:gridCol w:w="129"/>
        <w:gridCol w:w="129"/>
        <w:gridCol w:w="129"/>
        <w:gridCol w:w="129"/>
        <w:gridCol w:w="129"/>
        <w:gridCol w:w="184"/>
        <w:gridCol w:w="184"/>
        <w:gridCol w:w="274"/>
      </w:tblGrid>
      <w:tr>
        <w:trPr/>
        <w:tc>
          <w:tcPr>
            <w:tcW w:w="174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Six months ended </w:t>
              <w:br/>
              <w:t>June 30,</w:t>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417"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387"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r>
      <w:tr>
        <w:trPr/>
        <w:tc>
          <w:tcPr>
            <w:tcW w:w="484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Net gain / (loss) on equity instruments designated at fair value through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(2.3)</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5A64"/>
            </w:tcBorders>
            <w:shd w:fill="FFFFFF" w:val="clear"/>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(20.9)</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(7.2)</w:t>
            </w:r>
          </w:p>
        </w:tc>
      </w:tr>
      <w:tr>
        <w:trPr/>
        <w:tc>
          <w:tcPr>
            <w:tcW w:w="484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(2.3)</w:t>
            </w:r>
          </w:p>
        </w:tc>
        <w:tc>
          <w:tcPr>
            <w:tcW w:w="417"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2" w:space="0" w:color="7FACB1"/>
              <w:bottom w:val="single" w:sz="8" w:space="0" w:color="BECD32"/>
            </w:tcBorders>
            <w:shd w:fill="FFFFFF" w:val="clear"/>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(20.9)</w:t>
            </w:r>
          </w:p>
        </w:tc>
        <w:tc>
          <w:tcPr>
            <w:tcW w:w="387"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(7.2)</w:t>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Measurement of Fair Values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following table shows the valuation techniques used in measuring fair values for financial instruments in our unaudited interim condensed consolidated statements of financial position, as well as the significant unobservable inputs used. </w:t>
      </w:r>
    </w:p>
    <w:tbl>
      <w:tblPr>
        <w:tblW w:w="10205" w:type="dxa"/>
        <w:jc w:val="left"/>
        <w:tblInd w:w="0" w:type="dxa"/>
        <w:tblLayout w:type="fixed"/>
        <w:tblCellMar>
          <w:top w:w="28" w:type="dxa"/>
          <w:left w:w="28" w:type="dxa"/>
          <w:bottom w:w="28" w:type="dxa"/>
          <w:right w:w="28" w:type="dxa"/>
        </w:tblCellMar>
      </w:tblPr>
      <w:tblGrid>
        <w:gridCol w:w="714"/>
        <w:gridCol w:w="404"/>
        <w:gridCol w:w="412"/>
        <w:gridCol w:w="109"/>
        <w:gridCol w:w="109"/>
        <w:gridCol w:w="109"/>
        <w:gridCol w:w="1714"/>
        <w:gridCol w:w="1546"/>
        <w:gridCol w:w="1551"/>
        <w:gridCol w:w="109"/>
        <w:gridCol w:w="109"/>
        <w:gridCol w:w="109"/>
        <w:gridCol w:w="1087"/>
        <w:gridCol w:w="876"/>
        <w:gridCol w:w="1247"/>
      </w:tblGrid>
      <w:tr>
        <w:trPr/>
        <w:tc>
          <w:tcPr>
            <w:tcW w:w="71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Significant unobservable inputs</w:t>
            </w:r>
          </w:p>
        </w:tc>
      </w:tr>
      <w:tr>
        <w:trPr/>
        <w:tc>
          <w:tcPr>
            <w:tcW w:w="153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Forward exchange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Discounted cash flow using par method. Expected future cash flows based on foreign exchange forwards discounted over the respective remaining term of the contracts using the respective deposit interest rates and spot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n/a</w:t>
            </w:r>
          </w:p>
        </w:tc>
      </w:tr>
      <w:tr>
        <w:trPr/>
        <w:tc>
          <w:tcPr>
            <w:tcW w:w="153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Non-listed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Quantitative and qualitative factors such as actual and forecasted results, cash position and financing round valuations.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80"/>
              <w:ind w:left="0" w:right="0" w:hanging="142"/>
              <w:jc w:val="left"/>
              <w:rPr/>
            </w:pPr>
            <w:r>
              <w:rPr>
                <w:color w:val="BECE33"/>
              </w:rPr>
              <w:t>–</w:t>
            </w:r>
            <w:r>
              <w:rPr>
                <w:rFonts w:ascii="Neue Haas Grotesk Display Pro 55 Roman;serif" w:hAnsi="Neue Haas Grotesk Display Pro 55 Roman;serif"/>
                <w:b w:val="false"/>
                <w:color w:val="005A64"/>
                <w:sz w:val="16"/>
              </w:rPr>
              <w:t>Actual and forecasted results</w:t>
            </w:r>
          </w:p>
          <w:p>
            <w:pPr>
              <w:pStyle w:val="TableContents"/>
              <w:bidi w:val="0"/>
              <w:spacing w:lineRule="auto" w:line="336" w:before="0" w:after="80"/>
              <w:ind w:left="0" w:right="0" w:hanging="142"/>
              <w:jc w:val="left"/>
              <w:rPr/>
            </w:pPr>
            <w:r>
              <w:rPr>
                <w:color w:val="BECE33"/>
              </w:rPr>
              <w:t>–</w:t>
            </w:r>
            <w:r>
              <w:rPr>
                <w:rFonts w:ascii="Neue Haas Grotesk Display Pro 55 Roman;serif" w:hAnsi="Neue Haas Grotesk Display Pro 55 Roman;serif"/>
                <w:b w:val="false"/>
                <w:color w:val="005A64"/>
                <w:sz w:val="16"/>
              </w:rPr>
              <w:t>Net asset value</w:t>
            </w:r>
          </w:p>
          <w:p>
            <w:pPr>
              <w:pStyle w:val="TableContents"/>
              <w:bidi w:val="0"/>
              <w:spacing w:lineRule="auto" w:line="336" w:before="0" w:after="80"/>
              <w:ind w:left="0" w:right="0" w:hanging="142"/>
              <w:jc w:val="left"/>
              <w:rPr/>
            </w:pPr>
            <w:r>
              <w:rPr>
                <w:color w:val="BECE33"/>
              </w:rPr>
              <w:t>–</w:t>
            </w:r>
            <w:r>
              <w:rPr>
                <w:rFonts w:ascii="Neue Haas Grotesk Display Pro 55 Roman;serif" w:hAnsi="Neue Haas Grotesk Display Pro 55 Roman;serif"/>
                <w:b w:val="false"/>
                <w:color w:val="005A64"/>
                <w:sz w:val="16"/>
              </w:rPr>
              <w:t>Cash position</w:t>
            </w:r>
          </w:p>
          <w:p>
            <w:pPr>
              <w:pStyle w:val="TableContents"/>
              <w:bidi w:val="0"/>
              <w:spacing w:lineRule="auto" w:line="336" w:before="0" w:after="80"/>
              <w:ind w:left="0" w:right="0" w:hanging="142"/>
              <w:jc w:val="left"/>
              <w:rPr/>
            </w:pPr>
            <w:r>
              <w:rPr>
                <w:color w:val="BECE33"/>
              </w:rPr>
              <w:t>–</w:t>
            </w:r>
            <w:r>
              <w:rPr>
                <w:rFonts w:ascii="Neue Haas Grotesk Display Pro 55 Roman;serif" w:hAnsi="Neue Haas Grotesk Display Pro 55 Roman;serif"/>
                <w:b w:val="false"/>
                <w:color w:val="005A64"/>
                <w:sz w:val="16"/>
              </w:rPr>
              <w:t>Nature and pricing indication of latest financing round</w:t>
            </w:r>
          </w:p>
        </w:tc>
      </w:tr>
      <w:tr>
        <w:trPr/>
        <w:tc>
          <w:tcPr>
            <w:tcW w:w="153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Listed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Stock prices of the listed companies and applicable exchange rates, if the listing is in a 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n/a</w:t>
            </w:r>
          </w:p>
        </w:tc>
      </w:tr>
      <w:tr>
        <w:trPr/>
        <w:tc>
          <w:tcPr>
            <w:tcW w:w="153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80"/>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Quoted prices on an active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n/a</w:t>
            </w:r>
          </w:p>
        </w:tc>
      </w:tr>
      <w:tr>
        <w:trPr/>
        <w:tc>
          <w:tcPr>
            <w:tcW w:w="153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80"/>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80"/>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Quoted prices for OTC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80"/>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n/a</w:t>
            </w:r>
          </w:p>
        </w:tc>
      </w:tr>
      <w:tr>
        <w:trPr/>
        <w:tc>
          <w:tcPr>
            <w:tcW w:w="153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 xml:space="preserve">Present value of expected future payments and reflecting changes in expected achievement of underlying performance parameters and compounding effects.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80"/>
              <w:ind w:left="0" w:right="0" w:hanging="142"/>
              <w:jc w:val="left"/>
              <w:rPr/>
            </w:pPr>
            <w:r>
              <w:rPr>
                <w:color w:val="BECE33"/>
              </w:rPr>
              <w:t>–</w:t>
            </w:r>
            <w:r>
              <w:rPr>
                <w:rFonts w:ascii="Neue Haas Grotesk Display Pro 55 Roman;serif" w:hAnsi="Neue Haas Grotesk Display Pro 55 Roman;serif"/>
                <w:b w:val="false"/>
                <w:color w:val="005A64"/>
                <w:sz w:val="16"/>
              </w:rPr>
              <w:t>Expected future payments based on performance-based contingent payments (upper limit of €268.9 million)</w:t>
            </w:r>
          </w:p>
          <w:p>
            <w:pPr>
              <w:pStyle w:val="TableContents"/>
              <w:bidi w:val="0"/>
              <w:spacing w:lineRule="auto" w:line="336" w:before="0" w:after="80"/>
              <w:ind w:left="0" w:right="0" w:hanging="142"/>
              <w:jc w:val="left"/>
              <w:rPr/>
            </w:pPr>
            <w:r>
              <w:rPr>
                <w:color w:val="BECE33"/>
              </w:rPr>
              <w:t>–</w:t>
            </w:r>
            <w:r>
              <w:rPr>
                <w:rFonts w:ascii="Neue Haas Grotesk Display Pro 55 Roman;serif" w:hAnsi="Neue Haas Grotesk Display Pro 55 Roman;serif"/>
                <w:b w:val="false"/>
                <w:color w:val="005A64"/>
                <w:sz w:val="16"/>
              </w:rPr>
              <w:t>Applied cost of capital</w:t>
            </w:r>
          </w:p>
        </w:tc>
      </w:tr>
      <w:tr>
        <w:trPr/>
        <w:tc>
          <w:tcPr>
            <w:tcW w:w="1530"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Royalty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Present value of expected future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80"/>
              <w:ind w:left="0" w:right="0" w:hanging="142"/>
              <w:jc w:val="left"/>
              <w:rPr/>
            </w:pPr>
            <w:r>
              <w:rPr>
                <w:color w:val="BECE33"/>
              </w:rPr>
              <w:t>–</w:t>
            </w:r>
            <w:r>
              <w:rPr>
                <w:rFonts w:ascii="Neue Haas Grotesk Display Pro 55 Roman;serif" w:hAnsi="Neue Haas Grotesk Display Pro 55 Roman;serif"/>
                <w:b w:val="false"/>
                <w:color w:val="005A64"/>
                <w:sz w:val="16"/>
              </w:rPr>
              <w:t xml:space="preserve">Expected future cash flows based on a low-to-mid one-digit royalty rate on net sales. </w:t>
            </w:r>
          </w:p>
          <w:p>
            <w:pPr>
              <w:pStyle w:val="TableContents"/>
              <w:bidi w:val="0"/>
              <w:spacing w:lineRule="auto" w:line="336" w:before="0" w:after="80"/>
              <w:ind w:left="0" w:right="0" w:hanging="142"/>
              <w:jc w:val="left"/>
              <w:rPr/>
            </w:pPr>
            <w:r>
              <w:rPr>
                <w:color w:val="BECE33"/>
              </w:rPr>
              <w:t>–</w:t>
            </w:r>
            <w:r>
              <w:rPr>
                <w:rFonts w:ascii="Neue Haas Grotesk Display Pro 55 Roman;serif" w:hAnsi="Neue Haas Grotesk Display Pro 55 Roman;serif"/>
                <w:b w:val="false"/>
                <w:color w:val="005A64"/>
                <w:sz w:val="16"/>
              </w:rPr>
              <w:t>Applied cost of capital</w:t>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Recurring Fair Values (Level 3)</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following table shows the recurring fair value measurement of contingent consideration and royalty assets included in other financial assets subsequently measured at fair value through profit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998220"/>
                <wp:effectExtent l="0" t="0" r="0" b="0"/>
                <wp:wrapNone/>
                <wp:docPr id="59" name="Frame2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6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6" descr=""/>
                          <pic:cNvPicPr>
                            <a:picLocks noChangeAspect="1" noChangeArrowheads="1"/>
                          </pic:cNvPicPr>
                        </pic:nvPicPr>
                        <pic:blipFill>
                          <a:blip r:embed="rId37"/>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6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7" descr=""/>
                          <pic:cNvPicPr>
                            <a:picLocks noChangeAspect="1" noChangeArrowheads="1"/>
                          </pic:cNvPicPr>
                        </pic:nvPicPr>
                        <pic:blipFill>
                          <a:blip r:embed="rId38"/>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loss as well as the effect of the measurements on our unaudited interim condensed consolidated statements of profit or loss for the current period.</w:t>
      </w:r>
    </w:p>
    <w:tbl>
      <w:tblPr>
        <w:tblW w:w="10205" w:type="dxa"/>
        <w:jc w:val="left"/>
        <w:tblInd w:w="0" w:type="dxa"/>
        <w:tblLayout w:type="fixed"/>
        <w:tblCellMar>
          <w:top w:w="28" w:type="dxa"/>
          <w:left w:w="28" w:type="dxa"/>
          <w:bottom w:w="28" w:type="dxa"/>
          <w:right w:w="28" w:type="dxa"/>
        </w:tblCellMar>
      </w:tblPr>
      <w:tblGrid>
        <w:gridCol w:w="1854"/>
        <w:gridCol w:w="1427"/>
        <w:gridCol w:w="1431"/>
        <w:gridCol w:w="109"/>
        <w:gridCol w:w="109"/>
        <w:gridCol w:w="109"/>
        <w:gridCol w:w="109"/>
        <w:gridCol w:w="109"/>
        <w:gridCol w:w="109"/>
        <w:gridCol w:w="570"/>
        <w:gridCol w:w="570"/>
        <w:gridCol w:w="572"/>
        <w:gridCol w:w="109"/>
        <w:gridCol w:w="109"/>
        <w:gridCol w:w="109"/>
        <w:gridCol w:w="109"/>
        <w:gridCol w:w="109"/>
        <w:gridCol w:w="109"/>
        <w:gridCol w:w="768"/>
        <w:gridCol w:w="670"/>
        <w:gridCol w:w="658"/>
        <w:gridCol w:w="109"/>
        <w:gridCol w:w="109"/>
        <w:gridCol w:w="159"/>
      </w:tblGrid>
      <w:tr>
        <w:trPr/>
        <w:tc>
          <w:tcPr>
            <w:tcW w:w="185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Financial liabilities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Other financial assets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Contingent consideration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As of 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39.6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(47.8)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(79.6)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Net effect on profit or loss – Other operating income /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Net change in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Net effect on profit or loss – Finance income /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Net change in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Net effect on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Net change in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0.1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(129.4)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8" w:space="0" w:color="005A64"/>
            </w:tcBorders>
            <w:tcMar>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As of 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46.6</w:t>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(120.6)</w:t>
            </w:r>
          </w:p>
        </w:tc>
        <w:tc>
          <w:tcPr>
            <w:tcW w:w="377" w:type="dxa"/>
            <w:gridSpan w:val="3"/>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Net effect on profit or loss – Other operating income /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Net change in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left w:w="303"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10.0</w:t>
            </w:r>
          </w:p>
        </w:tc>
        <w:tc>
          <w:tcPr>
            <w:tcW w:w="377"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Net effect on profit or loss – Finance income /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Net change in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left w:w="303"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(5.8)</w:t>
            </w:r>
          </w:p>
        </w:tc>
        <w:tc>
          <w:tcPr>
            <w:tcW w:w="377"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2" w:space="0" w:color="A8C7CA"/>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63.4</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2" w:space="0" w:color="A8C7CA"/>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(116.4)</w:t>
            </w:r>
          </w:p>
        </w:tc>
        <w:tc>
          <w:tcPr>
            <w:tcW w:w="377" w:type="dxa"/>
            <w:gridSpan w:val="3"/>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sensitivity of the fair values of royalty assets to the significant, unobservable, variable input factors, with all other factors remaining constant, is shown in the following table:</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Other Financial Assets</w:t>
      </w:r>
    </w:p>
    <w:tbl>
      <w:tblPr>
        <w:tblW w:w="10205" w:type="dxa"/>
        <w:jc w:val="left"/>
        <w:tblInd w:w="0" w:type="dxa"/>
        <w:tblLayout w:type="fixed"/>
        <w:tblCellMar>
          <w:top w:w="28" w:type="dxa"/>
          <w:left w:w="28" w:type="dxa"/>
          <w:bottom w:w="28" w:type="dxa"/>
          <w:right w:w="28" w:type="dxa"/>
        </w:tblCellMar>
      </w:tblPr>
      <w:tblGrid>
        <w:gridCol w:w="548"/>
        <w:gridCol w:w="482"/>
        <w:gridCol w:w="383"/>
        <w:gridCol w:w="109"/>
        <w:gridCol w:w="109"/>
        <w:gridCol w:w="109"/>
        <w:gridCol w:w="109"/>
        <w:gridCol w:w="109"/>
        <w:gridCol w:w="109"/>
        <w:gridCol w:w="369"/>
        <w:gridCol w:w="369"/>
        <w:gridCol w:w="873"/>
        <w:gridCol w:w="109"/>
        <w:gridCol w:w="109"/>
        <w:gridCol w:w="109"/>
        <w:gridCol w:w="109"/>
        <w:gridCol w:w="109"/>
        <w:gridCol w:w="109"/>
        <w:gridCol w:w="834"/>
        <w:gridCol w:w="834"/>
        <w:gridCol w:w="837"/>
        <w:gridCol w:w="109"/>
        <w:gridCol w:w="109"/>
        <w:gridCol w:w="109"/>
        <w:gridCol w:w="109"/>
        <w:gridCol w:w="109"/>
        <w:gridCol w:w="109"/>
        <w:gridCol w:w="793"/>
        <w:gridCol w:w="793"/>
        <w:gridCol w:w="112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336" w:before="0" w:after="283"/>
              <w:ind w:left="0" w:right="0" w:hanging="198"/>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Input factor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Change in assumptions</w:t>
            </w:r>
          </w:p>
        </w:tc>
        <w:tc>
          <w:tcPr>
            <w:tcW w:w="327" w:type="dxa"/>
            <w:gridSpan w:val="3"/>
            <w:tcBorders>
              <w:top w:val="single" w:sz="8" w:space="0" w:color="BECD32"/>
            </w:tcBorders>
            <w:tcMar>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Change in fair value with increasing input factor </w:t>
              <w:br/>
              <w:t>(in millions €)</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Change in fair value with decreasing input factor </w:t>
              <w:br/>
              <w:t>(in millions €)</w:t>
            </w:r>
          </w:p>
        </w:tc>
      </w:tr>
      <w:tr>
        <w:trPr/>
        <w:tc>
          <w:tcPr>
            <w:tcW w:w="14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Cash flow projections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w:t>
            </w:r>
          </w:p>
        </w:tc>
        <w:tc>
          <w:tcPr>
            <w:tcW w:w="873" w:type="dxa"/>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7.2</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(7.2)</w:t>
            </w:r>
          </w:p>
        </w:tc>
      </w:tr>
      <w:tr>
        <w:trPr/>
        <w:tc>
          <w:tcPr>
            <w:tcW w:w="1413"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2" w:space="0" w:color="A8C7CA"/>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w:t>
            </w:r>
          </w:p>
        </w:tc>
        <w:tc>
          <w:tcPr>
            <w:tcW w:w="873" w:type="dxa"/>
            <w:tcBorders>
              <w:top w:val="single" w:sz="2" w:space="0" w:color="A8C7CA"/>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c>
          <w:tcPr>
            <w:tcW w:w="327"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ind w:left="0" w:right="0" w:hanging="198"/>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(5.3)</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5.8</w:t>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sensitivity of the fair values of contingent consideration to the significant, unobservable, variable input factors, with all other factors remaining constant, is shown in the following table:</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Contingent Consideration</w:t>
      </w:r>
    </w:p>
    <w:tbl>
      <w:tblPr>
        <w:tblW w:w="10205" w:type="dxa"/>
        <w:jc w:val="left"/>
        <w:tblInd w:w="0" w:type="dxa"/>
        <w:tblLayout w:type="fixed"/>
        <w:tblCellMar>
          <w:top w:w="28" w:type="dxa"/>
          <w:left w:w="28" w:type="dxa"/>
          <w:bottom w:w="28" w:type="dxa"/>
          <w:right w:w="28" w:type="dxa"/>
        </w:tblCellMar>
      </w:tblPr>
      <w:tblGrid>
        <w:gridCol w:w="548"/>
        <w:gridCol w:w="482"/>
        <w:gridCol w:w="383"/>
        <w:gridCol w:w="109"/>
        <w:gridCol w:w="109"/>
        <w:gridCol w:w="109"/>
        <w:gridCol w:w="109"/>
        <w:gridCol w:w="109"/>
        <w:gridCol w:w="109"/>
        <w:gridCol w:w="369"/>
        <w:gridCol w:w="369"/>
        <w:gridCol w:w="873"/>
        <w:gridCol w:w="109"/>
        <w:gridCol w:w="109"/>
        <w:gridCol w:w="109"/>
        <w:gridCol w:w="109"/>
        <w:gridCol w:w="109"/>
        <w:gridCol w:w="109"/>
        <w:gridCol w:w="834"/>
        <w:gridCol w:w="834"/>
        <w:gridCol w:w="837"/>
        <w:gridCol w:w="109"/>
        <w:gridCol w:w="109"/>
        <w:gridCol w:w="109"/>
        <w:gridCol w:w="109"/>
        <w:gridCol w:w="109"/>
        <w:gridCol w:w="109"/>
        <w:gridCol w:w="793"/>
        <w:gridCol w:w="793"/>
        <w:gridCol w:w="112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336" w:before="0" w:after="283"/>
              <w:ind w:left="0" w:right="0" w:hanging="198"/>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Input factor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Change in assumptions</w:t>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Change in fair value with increasing input factor </w:t>
              <w:br/>
              <w:t>(in millions €)</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 xml:space="preserve">Change in fair value with decreasing input factor </w:t>
              <w:br/>
              <w:t>(in millions €)</w:t>
            </w:r>
          </w:p>
        </w:tc>
      </w:tr>
      <w:tr>
        <w:trPr/>
        <w:tc>
          <w:tcPr>
            <w:tcW w:w="14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Cash flow projections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w:t>
            </w:r>
          </w:p>
        </w:tc>
        <w:tc>
          <w:tcPr>
            <w:tcW w:w="873" w:type="dxa"/>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11.0</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(11.0)</w:t>
            </w:r>
          </w:p>
        </w:tc>
      </w:tr>
      <w:tr>
        <w:trPr/>
        <w:tc>
          <w:tcPr>
            <w:tcW w:w="1413"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2" w:space="0" w:color="A8C7CA"/>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w:t>
            </w:r>
          </w:p>
        </w:tc>
        <w:tc>
          <w:tcPr>
            <w:tcW w:w="873" w:type="dxa"/>
            <w:tcBorders>
              <w:top w:val="single" w:sz="2" w:space="0" w:color="A8C7CA"/>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ind w:left="0" w:right="0" w:hanging="198"/>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(2.6)</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2.7</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998220"/>
                <wp:effectExtent l="0" t="0" r="0" b="0"/>
                <wp:wrapNone/>
                <wp:docPr id="62" name="Frame2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6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8" descr=""/>
                          <pic:cNvPicPr>
                            <a:picLocks noChangeAspect="1" noChangeArrowheads="1"/>
                          </pic:cNvPicPr>
                        </pic:nvPicPr>
                        <pic:blipFill>
                          <a:blip r:embed="rId39"/>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6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9" descr=""/>
                          <pic:cNvPicPr>
                            <a:picLocks noChangeAspect="1" noChangeArrowheads="1"/>
                          </pic:cNvPicPr>
                        </pic:nvPicPr>
                        <pic:blipFill>
                          <a:blip r:embed="rId40"/>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Risk Management Activities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No changes have occurred regarding our risk management activities as disclosed in the notes to our audited consolidated financial statements included in our Annual Report on Form 20-F as of and for the year ended December 31, 2025, as amended.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9. Issued Capital and Reserves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of June 30, 2026, the number of shares outstanding was 251,204,366, with a notional value of €1 per share. This amount excludes 7,823,121 shares held in treasury. As of December 31, 2025, the number of shares outstanding was 251,325,340, excluding 7,702,147 shares held in treasury. As described in Note 5 to our audited consolidated financial statements included in our Annual Report on Form 20-F as of and for the year ended December 31, 2025, as amended, we completed the acquisition of the remaining CureVac shares at the beginning of January 2026 as part of the previously announced post-offer reorganization (back-end measures), resulting in a transfer within share capital as disclosed in our unaudited interim condensed consolidated statements of changes in stockholders’ equity.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On May 7, 2026, our Management Board and Supervisory Board authorized a new share repurchase program pursuant to which we may purchase American Depositary Shares, or ADSs, each representing one ordinary share, in the amount of up to $1.0 billion until and including May 6, 2027. During the three and six months ended June 30, 2026, we repurchased 1,693,056 ADSs under the program at an average price of $89.50 (€77.85), for a total consideration of $151.6 million (€131.8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10. Provisions</w:t>
      </w:r>
    </w:p>
    <w:tbl>
      <w:tblPr>
        <w:tblW w:w="7758" w:type="dxa"/>
        <w:jc w:val="left"/>
        <w:tblInd w:w="0" w:type="dxa"/>
        <w:tblLayout w:type="fixed"/>
        <w:tblCellMar>
          <w:top w:w="28" w:type="dxa"/>
          <w:left w:w="28" w:type="dxa"/>
          <w:bottom w:w="28" w:type="dxa"/>
          <w:right w:w="28" w:type="dxa"/>
        </w:tblCellMar>
      </w:tblPr>
      <w:tblGrid>
        <w:gridCol w:w="1112"/>
        <w:gridCol w:w="978"/>
        <w:gridCol w:w="985"/>
        <w:gridCol w:w="109"/>
        <w:gridCol w:w="109"/>
        <w:gridCol w:w="109"/>
        <w:gridCol w:w="109"/>
        <w:gridCol w:w="109"/>
        <w:gridCol w:w="109"/>
        <w:gridCol w:w="469"/>
        <w:gridCol w:w="469"/>
        <w:gridCol w:w="472"/>
        <w:gridCol w:w="109"/>
        <w:gridCol w:w="109"/>
        <w:gridCol w:w="109"/>
        <w:gridCol w:w="109"/>
        <w:gridCol w:w="109"/>
        <w:gridCol w:w="109"/>
        <w:gridCol w:w="575"/>
        <w:gridCol w:w="575"/>
        <w:gridCol w:w="815"/>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June 30, 2026</w:t>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December 31, 2025</w:t>
            </w:r>
          </w:p>
        </w:tc>
      </w:tr>
      <w:tr>
        <w:trPr/>
        <w:tc>
          <w:tcPr>
            <w:tcW w:w="307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39.1</w:t>
            </w:r>
          </w:p>
        </w:tc>
      </w:tr>
      <w:tr>
        <w:trPr/>
        <w:tc>
          <w:tcPr>
            <w:tcW w:w="307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Contractual disputes /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58.6</w:t>
            </w:r>
          </w:p>
        </w:tc>
      </w:tr>
      <w:tr>
        <w:trPr/>
        <w:tc>
          <w:tcPr>
            <w:tcW w:w="307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Obligations from onerous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51.8</w:t>
            </w:r>
          </w:p>
        </w:tc>
      </w:tr>
      <w:tr>
        <w:trPr/>
        <w:tc>
          <w:tcPr>
            <w:tcW w:w="307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31.3</w:t>
            </w:r>
          </w:p>
        </w:tc>
      </w:tr>
      <w:tr>
        <w:trPr/>
        <w:tc>
          <w:tcPr>
            <w:tcW w:w="307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293.5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180.8</w:t>
            </w:r>
          </w:p>
        </w:tc>
      </w:tr>
      <w:tr>
        <w:trPr/>
        <w:tc>
          <w:tcPr>
            <w:tcW w:w="307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Total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145.3</w:t>
            </w:r>
          </w:p>
        </w:tc>
      </w:tr>
      <w:tr>
        <w:trPr/>
        <w:tc>
          <w:tcPr>
            <w:tcW w:w="3075"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Total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58.6</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35.5</w:t>
            </w:r>
          </w:p>
        </w:tc>
      </w:tr>
    </w:tbl>
    <w:p>
      <w:pPr>
        <w:pStyle w:val="TextBody"/>
        <w:bidi w:val="0"/>
        <w:spacing w:lineRule="atLeast" w:line="300" w:before="30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of June 30, 2026, our provisions included €133.3 million of obligations from restructuring due to pipeline prioritization, of which €95.6 million are classified as current and €37.7 million as non-current. Compared to December 31, 2025, the additions (see Note 4.2) exceed the usage of the provisions.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of June 30, 2026, our current provisions included €58.6 million in contractual disputes mainly relating to collaborators regarding, among other things, the interpretation of each party’s obligations or the amounts payable under the respective agreements. There were no changes compared to December 31, 2025.</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As of June 30, 2026, our current provisions included €63.4 million of obligations from onerous contracts, mainly relating to production capacities derived from contracts with contract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998220"/>
                <wp:effectExtent l="0" t="0" r="0" b="0"/>
                <wp:wrapNone/>
                <wp:docPr id="65" name="Frame2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6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0" descr=""/>
                          <pic:cNvPicPr>
                            <a:picLocks noChangeAspect="1" noChangeArrowheads="1"/>
                          </pic:cNvPicPr>
                        </pic:nvPicPr>
                        <pic:blipFill>
                          <a:blip r:embed="rId41"/>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6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1" descr=""/>
                          <pic:cNvPicPr>
                            <a:picLocks noChangeAspect="1" noChangeArrowheads="1"/>
                          </pic:cNvPicPr>
                        </pic:nvPicPr>
                        <pic:blipFill>
                          <a:blip r:embed="rId42"/>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manufacturing organizations, or CMOs, that became redundant. The changes compared to December 31, 2025 relate to additions from contracts that became onerous related to restructuring.</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of June 30, 2026, our current and non-current provisions included €38.2 million in other obligations mainly comprising employee-related obligations such as social security costs related to share-based payment programs as well as inventor remunerations and obligations for dismantling/removing. The change compared to December 31, 2025, related mainly to additions.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11. Contingent Liabilities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contingent liabilities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From time to time, in the normal course and conduct of our business, we may be involved in proceedings with third parties, including proceedings regarding, for example, the use and/or remuneration for use of such third party’s intellectual property. As of June 30, 2026, none of the intellectual property-related considerations outlined below, of which we have either been notified, or for which potential claims could be brought against us or our subsidiaries in the future, fulfill the criteria for recording a provision.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are subject to an increasing number of product-related disputes. Our product liability claims often involve highly complex issues related to medical causation, correctness and completeness of product information (Summary of Product Characteristics/package leaflet) as well as label warnings and reliance thereon, scientific evidence and findings, actual and provable defectiveness and injury, and other matters. These complexities vary from matter to matter. As of June 30, 2026, none of these claims fulfill the criteria for recording a provision.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Substantially all of our contingent liabilities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Certain pending matters to which we are a party are discussed below.</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998220"/>
                <wp:effectExtent l="0" t="0" r="0" b="0"/>
                <wp:wrapNone/>
                <wp:docPr id="68" name="Frame2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6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2" descr=""/>
                          <pic:cNvPicPr>
                            <a:picLocks noChangeAspect="1" noChangeArrowheads="1"/>
                          </pic:cNvPicPr>
                        </pic:nvPicPr>
                        <pic:blipFill>
                          <a:blip r:embed="rId43"/>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7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3" descr=""/>
                          <pic:cNvPicPr>
                            <a:picLocks noChangeAspect="1" noChangeArrowheads="1"/>
                          </pic:cNvPicPr>
                        </pic:nvPicPr>
                        <pic:blipFill>
                          <a:blip r:embed="rId44"/>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Moderna Proceedings</w:t>
      </w:r>
    </w:p>
    <w:p>
      <w:pPr>
        <w:pStyle w:val="TextBody"/>
        <w:bidi w:val="0"/>
        <w:spacing w:lineRule="auto" w:line="264" w:before="240" w:after="160"/>
        <w:jc w:val="left"/>
        <w:rPr/>
      </w:pPr>
      <w:r>
        <w:rPr>
          <w:rFonts w:ascii="Neue Haas Grotesk Display Pro 55 Roman;serif" w:hAnsi="Neue Haas Grotesk Display Pro 55 Roman;serif"/>
          <w:b w:val="false"/>
          <w:color w:val="005A64"/>
          <w:sz w:val="22"/>
        </w:rPr>
        <w:t>Germany</w:t>
      </w:r>
      <w:r>
        <w:rPr>
          <w:color w:val="005A64"/>
        </w:rPr>
        <w:t xml:space="preserve"> </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Infringement Proceedings – EP’949 and EP’565</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Comirnaty’s infringement of two European patents, 3590949B1, or EP’949, and 3718565B1, or EP’565. With respect to EP’565, on November 7, 2023, the Opposition Division of the EPO revoked EP’565 after a one-day oral hearing held in the co-pending opposition proceeding, and on December 7, 2023, it issued the written decision for revoking EP’565. On February 7, 2024, Moderna appealed the Opposition Division’s revocation decision on EP’565. On September 17, 2025, the EPO Technical Board of Appeal issued a preliminary opinion noting that it believes EP’565 is likely invalid. An oral hearing took place on January 27, 2026, at the conclusion of which the Technical Board of Appeal affirmed the revocation of EP’565. On April 29, 2026, the EPO Technical Board of Appeal issued a written decision finally revoking EP’565. On May 7, 2026, Moderna withdrew its infringement proceedings with respect to EP’565. On May 22, 2026, Pfizer and BioNTech consented to the withdrawal and the proceedings were dismissed.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With respect to EP’949,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The Düsseldorf Regional Court held an infringement hearing on January 21, 2025, and on March 5, 2025, it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On May 29, 2026, the EPO Technical Board of Appeal issued a preliminary opinion noting that it believes EP’949 is likely invalid. An oral hearing in this appeal has been scheduled for September 8-10, 2026. Moderna has not yet taken steps to enforce the Düsseldorf Regional Court’s first-instance decision on infringement. </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United Kingdom</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August 2022, Moderna filed a lawsuit asserting Comirnaty’s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998220"/>
                <wp:effectExtent l="0" t="0" r="0" b="0"/>
                <wp:wrapNone/>
                <wp:docPr id="71" name="Frame2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7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4" descr=""/>
                          <pic:cNvPicPr>
                            <a:picLocks noChangeAspect="1" noChangeArrowheads="1"/>
                          </pic:cNvPicPr>
                        </pic:nvPicPr>
                        <pic:blipFill>
                          <a:blip r:embed="rId45"/>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7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5" descr=""/>
                          <pic:cNvPicPr>
                            <a:picLocks noChangeAspect="1" noChangeArrowheads="1"/>
                          </pic:cNvPicPr>
                        </pic:nvPicPr>
                        <pic:blipFill>
                          <a:blip r:embed="rId46"/>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UK High Court held a hearing on September 25, 2024, during which the Court granted Pfizer and BioNTech permission to appeal its judgment regarding the validity of EP’949, and declined Moderna’s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UK Court of Appeal held an oral hearing on the appeal of EP’949 on July 10-11, 2025. On August 1, 2025, the UK Court of Appeal issued a judgment agreeing with the UK High Court that EP‘949 is valid, and dismissed our appeal. We applied for permission to appeal this decision to the UK Supreme Court, and on December 8, 2025, the UK Supreme Court denied permission to appeal. Accordingly, the UK designation of EP‘949 is valid and infringed. However, Moderna has not yet taken steps to enforce this final judgment on infringement. Additionally, EP‘949 is currently subject to opposition proceedings at the EPO. The Opposition Division initially issued a preliminary opinion noting that EP‘949 is invalid, but in May 2024, issued a first-instance decision finding EP‘949 valid. BioNTech and Pfizer appealed this first-instance decision. On May 29, 2026, the EPO Technical Board of Appeal issued a preliminary opinion noting that it believes EP’949 is likely invalid. The oral hearing in this appeal is scheduled for September 8-10, 2026. </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United States</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 xml:space="preserve">U.S. District Court Litigation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August 2022, Moderna filed a lawsuit in the U.S. District Court for the District of Massachusetts against us and our wholly owned subsidiaries BioNTech Manufacturing GmbH and BioNTech US Inc. and Pfizer Inc. alleging Comirnaty’s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Inter Partes Review</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appealed this decision, and the appeal is pending.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998220"/>
                <wp:effectExtent l="0" t="0" r="0" b="0"/>
                <wp:wrapNone/>
                <wp:docPr id="74" name="Frame2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7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6" descr=""/>
                          <pic:cNvPicPr>
                            <a:picLocks noChangeAspect="1" noChangeArrowheads="1"/>
                          </pic:cNvPicPr>
                        </pic:nvPicPr>
                        <pic:blipFill>
                          <a:blip r:embed="rId47"/>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7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7" descr=""/>
                          <pic:cNvPicPr>
                            <a:picLocks noChangeAspect="1" noChangeArrowheads="1"/>
                          </pic:cNvPicPr>
                        </pic:nvPicPr>
                        <pic:blipFill>
                          <a:blip r:embed="rId48"/>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Netherlands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September 2022, Moderna filed a lawsuit against us and our wholly owned subsidiary BioNTech Manufacturing GmbH and Pfizer B.V., Pfizer Export B.V., C.P. Pharmaceuticals International C.V. and Pfizer Inc. in the District Court of The Hague alleging Comirnaty’s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occurred on September 22, 2025, with a decision expected around September 2026. The infringement proceedings with respect to EP’565 have been withdrawn and therefore dismissed, following the EPO’s final revocation of EP’565 in January 2026.</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 xml:space="preserve">Ireland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May 2023, Moderna filed a lawsuit against us and our wholly owned subsidiary BioNTech Manufacturing GmbH, Pfizer Inc., Pfizer Healthcare Ireland, Pfizer Ireland Pharmaceuticals, and C.P. Pharmaceuticals International C.V. alleging Comirnaty’s infringement of EP’949 and EP’565 in the High Court of Ireland. On February 26, 2024, the High Court of Ireland stayed the lawsuit pending the final determination of the EPO opposition proceedings for EP’949 and EP’565 (in each case including any appeals). </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Belgium</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May 2023, Moderna filed a lawsuit against us, our wholly owned subsidiary BioNTech Manufacturing GmbH, Pfizer Inc. and Pfizer Manufacturing Belgium alleging Comirnaty’s infringement of EP’949 and EP’565 in the Brussels Dutch-speaking Enterprise Court. On May 29, 2024, the parties filed a joint request to stay the proceedings, which was entered by the Court. On June 30, 2026, the Brussels Court confirmed the withdrawal of Moderna’s infringement proceedings with respect to EP’565 following Moderna’s request to withdraw these proceedings.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Arbutus and Genevant Proceedings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Comirnaty, and seeking monetary relief. This proceeding is currently pending.</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believe we have strong defenses against the allegations claimed relative to each of the patents and intend to vigorously defend ourselves in the lawsuit mentioned above. However, our analysis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998220"/>
                <wp:effectExtent l="0" t="0" r="0" b="0"/>
                <wp:wrapNone/>
                <wp:docPr id="77" name="Frame3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7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8" descr=""/>
                          <pic:cNvPicPr>
                            <a:picLocks noChangeAspect="1" noChangeArrowheads="1"/>
                          </pic:cNvPicPr>
                        </pic:nvPicPr>
                        <pic:blipFill>
                          <a:blip r:embed="rId49"/>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7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9" descr=""/>
                          <pic:cNvPicPr>
                            <a:picLocks noChangeAspect="1" noChangeArrowheads="1"/>
                          </pic:cNvPicPr>
                        </pic:nvPicPr>
                        <pic:blipFill>
                          <a:blip r:embed="rId50"/>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GlaxoSmithKline Proceedings</w:t>
      </w:r>
    </w:p>
    <w:p>
      <w:pPr>
        <w:pStyle w:val="TextBody"/>
        <w:bidi w:val="0"/>
        <w:spacing w:lineRule="auto" w:line="264" w:before="240" w:after="30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United States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Comirnaty infringes U.S. Patent Nos. 11,638,693; 11,638,694; 11,666,534; 11,766,401; and 11,786,467; and seeking monetary relief. On August 14, 2024, GSK filed an amended complaint to assert infringement of three additional patents, U.S. Patent Nos. 11,759,422; 11,655,475; and 11,851,660. A trial is scheduled to occur in June 2027. This proceeding is currently pending.</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Ireland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July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 </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Unified Patent Court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July 2025, GlaxoSmithKline Biologicals SA filed two lawsuits against BioNTech SE, BioNTech Europe GmbH, BioNTech Manufacturing GmbH, and BioNTech Manufacturing Marburg GmbH, as well as 26 Pfizer entities, in the Unified Patent Court (Hague Division). In the first lawsuit, GSK alleges Comirnaty’s infringement of European Patent No. 2,590,626, or EP’626, and in the second lawsuit, GSK alleges Comirnaty’s infringement of European Patent Nos. 4,066,856, or EP’856, and 4,226,941, or EP’941. Oral hearings wherein the UPC will hear the parties’ arguments regarding infringement and invalidity of EP’626, EP’856, and EP’941 have been scheduled for September 3, 2026 and September 30-October 3, 2026. These proceedings are currently pending. </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United Kingdom</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September 2025, we and Pfizer filed a revocation action against GlaxoSmithKline Biologics S.A. in the Business and Property Courts of England and Wales, in the U.K. High Court, requesting revocation of European Patent Nos. 2,590,626, 4,066,856, and 4,226,941. On October 7, 2025, GSK filed a defense and counterclaim for infringement against BioNTech SE and BioNTech Manufacturing GmbH, alleging Comirnaty’s infringement of European Patent Nos. 2,590,626, 4,066,856, and 4,226,941. A trial has been scheduled for February 2027. This proceeding is currently pending.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998220"/>
                <wp:effectExtent l="0" t="0" r="0" b="0"/>
                <wp:wrapNone/>
                <wp:docPr id="80" name="Frame3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8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0" descr=""/>
                          <pic:cNvPicPr>
                            <a:picLocks noChangeAspect="1" noChangeArrowheads="1"/>
                          </pic:cNvPicPr>
                        </pic:nvPicPr>
                        <pic:blipFill>
                          <a:blip r:embed="rId51"/>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8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1" descr=""/>
                          <pic:cNvPicPr>
                            <a:picLocks noChangeAspect="1" noChangeArrowheads="1"/>
                          </pic:cNvPicPr>
                        </pic:nvPicPr>
                        <pic:blipFill>
                          <a:blip r:embed="rId52"/>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June 30, 2026. However, it is currently impractical for us to estimate with sufficient reliability the respective contingent liabilities.</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Promosome Proceedings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January 2025, Promosome LLC, or Promosome, filed a lawsuit against us and Pfizer in the Unified Patent Court, or UPC, Munich Division, alleging that Comirnaty infringes European Patent No. 2,401,365, or EP’365, and seeking monetary relief. An oral hearing wherein the UPC heard the parties’ arguments regarding infringement and invalidity was held on May 12, 2026. On July 7, 2026, the UPC issued a written decision finding EP’365 to be invalid and not infringed. This decision is appealable by Promosome.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constitutes a contingent liability as of the balance sheet date. However, it is currently impractical for us to estimate with sufficient reliability the contingent liability. </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Bayer/Monsanto Proceedings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January 2026, Bayer CropScience LLC, Monsanto Company, and Monsanto Technology, LLC, or collectively, Bayer, filed a lawsuit against us and Pfizer in the United States District Court for the District of Delaware, alleging that Comirnaty infringes U.S. Patent No. 7,741,118 and seeking monetary relief. This proceeding is currently pending.</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believe we have strong defenses against the allegations claimed relative to the patent and intend to vigorously defend ourselves in the lawsuit mentioned above. However, our analysis of Bayer’s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constitutes a contingent liability as of June 30, 2026. However, it is currently impractical for us to estimate with sufficient reliability the contingent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12. Related Party Disclosures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ATHOS KG, Holzkirchen, Germany is the sole shareholder of AT Impf GmbH, Munich, Germany and a beneficial owner of our ordinary shares. Entities controlled by ATHOS KG mainly provide rental and property management activities and sell property, plant and equipment to us. The total amount of transactions with ATHOS KG or entities controlled by them had no significant impact on our unaudited interim condensed consolidated financial statements as of and for the three and six months ended June 30, 2026, compared to the details disclosed in Note 21 to our audited consolidated financial statements included in our Annual Report on Form 20-F as of and for the year ended December 31, 2025, as amended.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998220"/>
                <wp:effectExtent l="0" t="0" r="0" b="0"/>
                <wp:wrapNone/>
                <wp:docPr id="83" name="Frame3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59"/>
        <w:gridCol w:w="1759"/>
        <w:gridCol w:w="1791"/>
        <w:gridCol w:w="109"/>
        <w:gridCol w:w="109"/>
        <w:gridCol w:w="109"/>
        <w:gridCol w:w="1248"/>
        <w:gridCol w:w="1248"/>
        <w:gridCol w:w="1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8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2" descr=""/>
                          <pic:cNvPicPr>
                            <a:picLocks noChangeAspect="1" noChangeArrowheads="1"/>
                          </pic:cNvPicPr>
                        </pic:nvPicPr>
                        <pic:blipFill>
                          <a:blip r:embed="rId53"/>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3C967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C3C3C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7650" cy="76200"/>
                  <wp:effectExtent l="0" t="0" r="0" b="0"/>
                  <wp:docPr id="8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3" descr=""/>
                          <pic:cNvPicPr>
                            <a:picLocks noChangeAspect="1" noChangeArrowheads="1"/>
                          </pic:cNvPicPr>
                        </pic:nvPicPr>
                        <pic:blipFill>
                          <a:blip r:embed="rId54"/>
                          <a:stretch>
                            <a:fillRect/>
                          </a:stretch>
                        </pic:blipFill>
                        <pic:spPr bwMode="auto">
                          <a:xfrm>
                            <a:off x="0" y="0"/>
                            <a:ext cx="247650" cy="76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Members of the Management Board and the Supervisory Board of BioNTech SE are related parties as key management personnel having authority and responsibility for planning, directing, and controlling the activities of BioNTech SE directly or indirectly. The total amount of transactions with related parties had no significant impact on our unaudited interim condensed consolidated financial statements as of and for the three and six months ended June 30, 2026, compared to the details disclosed in Note 21 to our audited consolidated financial statements included in our Annual Report on Form 20-F as of and for the year ended December 31, 2025,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13. Events after the Reporting Period</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Appointment of Guido Oelkers to Management Board as Chief Executive Officer</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On August 3, 2026, we announced that the Supervisory Board has appointed Guido Oelkers, Ph.D., to the Management Board as Chief Executive Officer (“CEO”), who will take office by February 1, 2027, at the latest, succeeding Prof. Ugur Sahin, M.D. Guido Oelkers is a seasoned CEO and strategic leader with over 30 years of experience in the biotechnology and pharmaceutical industries. He has a strong track record of transforming and scaling global organizations, driving sustainable growth through disciplined execution, focused capital allocation, and operational excellence. Throughout his career, Guido Oelkers has successfully built, prioritized and strengthened complex and innovative product portfolios across multiple areas, including oncology and immunology, while driving global business operations in key markets, notably in the United States. He will join us from the global Nasdaq Stockholm-listed biopharmaceutical company Swedish Orphan Biovitrum AB (“Sobi”), where he has served as CEO since 2017.</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Genevant/Arbutus Proceedings</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 xml:space="preserve">Canada </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In July 2026, Arbutus and Genevant filed a lawsuit against Pfizer, BioNTech SE, and certain of their affiliates in the Federal Court of Canada, alleging that COMIRNATY</w:t>
      </w:r>
      <w:r>
        <w:rPr>
          <w:rFonts w:ascii="Neue Haas Grotesk Display Pro 45 Light;serif" w:hAnsi="Neue Haas Grotesk Display Pro 45 Light;serif"/>
          <w:b w:val="false"/>
          <w:color w:val="080509"/>
          <w:sz w:val="13"/>
        </w:rPr>
        <w:t xml:space="preserve">® </w:t>
      </w:r>
      <w:r>
        <w:rPr>
          <w:rFonts w:ascii="Neue Haas Grotesk Display Pro 45 Light;serif" w:hAnsi="Neue Haas Grotesk Display Pro 45 Light;serif"/>
          <w:b w:val="false"/>
          <w:color w:val="080509"/>
          <w:sz w:val="20"/>
        </w:rPr>
        <w:t>infringes Canadian Patent No. 2,721,333. This proceeding is currently pending.</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 xml:space="preserve">Unified Patent Court </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In July 2026, Arbutus and Genevant filed two lawsuits against Pfizer, BioNTech SE, and certain of their affiliates in the Unified Patent Court. In the first lawsuit, Arbutus and Genevant allege that COMIRNATY</w:t>
      </w:r>
      <w:r>
        <w:rPr>
          <w:rFonts w:ascii="Neue Haas Grotesk Display Pro 45 Light;serif" w:hAnsi="Neue Haas Grotesk Display Pro 45 Light;serif"/>
          <w:b w:val="false"/>
          <w:color w:val="080509"/>
          <w:sz w:val="13"/>
        </w:rPr>
        <w:t xml:space="preserve">® </w:t>
      </w:r>
      <w:r>
        <w:rPr>
          <w:rFonts w:ascii="Neue Haas Grotesk Display Pro 45 Light;serif" w:hAnsi="Neue Haas Grotesk Display Pro 45 Light;serif"/>
          <w:b w:val="false"/>
          <w:color w:val="080509"/>
          <w:sz w:val="20"/>
        </w:rPr>
        <w:t>infringes European Patent No. 4,241,767, and in the second lawsuit, Arbutus and Genevant allege that COMIRNATY</w:t>
      </w:r>
      <w:r>
        <w:rPr>
          <w:rFonts w:ascii="Neue Haas Grotesk Display Pro 45 Light;serif" w:hAnsi="Neue Haas Grotesk Display Pro 45 Light;serif"/>
          <w:b w:val="false"/>
          <w:color w:val="080509"/>
          <w:sz w:val="13"/>
        </w:rPr>
        <w:t xml:space="preserve">® </w:t>
      </w:r>
      <w:r>
        <w:rPr>
          <w:rFonts w:ascii="Neue Haas Grotesk Display Pro 45 Light;serif" w:hAnsi="Neue Haas Grotesk Display Pro 45 Light;serif"/>
          <w:b w:val="false"/>
          <w:color w:val="080509"/>
          <w:sz w:val="20"/>
        </w:rPr>
        <w:t xml:space="preserve">infringes European Patent No. 4,495,237. These proceedings are currently pending.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believe we have strong defenses against the allegations claimed relative to the patents and intend to vigorously defend ourselves in the lawsuits mentioned above. However, our analysis of Arbutus’ and Genevant’s claims is ongoing and complex, and we believe the outcomes of the suits remains substantially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998220"/>
                <wp:effectExtent l="0" t="0" r="0" b="0"/>
                <wp:wrapNone/>
                <wp:docPr id="86" name="Frame3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8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4" descr=""/>
                          <pic:cNvPicPr>
                            <a:picLocks noChangeAspect="1" noChangeArrowheads="1"/>
                          </pic:cNvPicPr>
                        </pic:nvPicPr>
                        <pic:blipFill>
                          <a:blip r:embed="rId5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8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5" descr=""/>
                          <pic:cNvPicPr>
                            <a:picLocks noChangeAspect="1" noChangeArrowheads="1"/>
                          </pic:cNvPicPr>
                        </pic:nvPicPr>
                        <pic:blipFill>
                          <a:blip r:embed="rId5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120"/>
        <w:jc w:val="left"/>
        <w:rPr>
          <w:rFonts w:ascii="Neue Haas Grotesk Display Pro 65 Medium;serif" w:hAnsi="Neue Haas Grotesk Display Pro 65 Medium;serif"/>
          <w:b/>
          <w:color w:val="107072"/>
          <w:sz w:val="40"/>
        </w:rPr>
      </w:pPr>
      <w:r>
        <w:rPr>
          <w:rFonts w:ascii="Neue Haas Grotesk Display Pro 65 Medium;serif" w:hAnsi="Neue Haas Grotesk Display Pro 65 Medium;serif"/>
          <w:b/>
          <w:color w:val="107072"/>
          <w:sz w:val="40"/>
        </w:rPr>
        <w:t>Operating and Financial Review and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this report, unless stated or the context otherwise requires, references to the “Company”, “BioNTech”, “Group”, “we”, “us” and “our” refer to BioNTech SE and its consolidated subsidiaries. The following “Operating and Financial Review and Prospects” should be read together with the unaudited interim condensed consolidated financial statements and related notes as presented above. The following discussion is based on our financial information prepared in accordance with the IFRS Accounting Standards, or IFRS, as issued by the International Accounting Standards Board,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the “Risk Factors” section further below. Please also see “Forward-Looking Statements” included elsewhere in this quarterly report for the three and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Corporate Developments</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Appointment of Guido Oelkers to Management Board as Chief Executive Officer</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On August 3, 2026, we announced that the Supervisory Board has appointed Guido Oelkers, Ph.D., to the Management Board as Chief Executive Officer (“CEO”), who will take office by February 1, 2027, at the latest, succeeding Prof. Ugur Sahin, M.D. Guido Oelkers is a seasoned CEO and strategic leader with over 30 years of experience in the biotechnology and pharmaceutical industries. He has a strong track record of transforming and scaling global organizations, driving sustainable growth through disciplined execution, focused capital allocation, and operational excellence. Throughout his career, Guido Oelkers has successfully built, prioritized and strengthened complex and innovative product portfolios across multiple areas, including oncology and immunology, while driving global business operations in key markets, notably in the United States. He will join us from the global Nasdaq Stockholm-listed biopharmaceutical company Swedish Orphan Biovitrum AB (“Sobi”), where he has served as CEO since 2017.</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Expansion of the Supervisory Board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are strengthening our focus on our growing late-stage oncology pipeline, while continuing our discovery and early research aimed at long-term innovation. Consequently, at our Annual General Meeting, or AGM, which took place on May 15, 2026, our shareholders approved expanding the Supervisory Board from six to eight members and adding additional expertise: Prof. Iris Löw-Friedrich, M.D., Ph.D., and Susanne Schaffert, Ph.D., were elected as new members of the Supervisory Board.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Iris Löw-Friedrich has many years of expertise in the field of clinical development and broad experience in the scientific and medical fields. She also possesses knowledge in the areas of sales and commercialization, management, innovation, and international markets relevant to the Company. She is an experienced Supervisory Board member and adjunct professor of internal medicine at the faculty of medicine at Goethe University in Frankfurt am Main, Germany.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998220"/>
                <wp:effectExtent l="0" t="0" r="0" b="0"/>
                <wp:wrapNone/>
                <wp:docPr id="89" name="Frame3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9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6" descr=""/>
                          <pic:cNvPicPr>
                            <a:picLocks noChangeAspect="1" noChangeArrowheads="1"/>
                          </pic:cNvPicPr>
                        </pic:nvPicPr>
                        <pic:blipFill>
                          <a:blip r:embed="rId5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9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7" descr=""/>
                          <pic:cNvPicPr>
                            <a:picLocks noChangeAspect="1" noChangeArrowheads="1"/>
                          </pic:cNvPicPr>
                        </pic:nvPicPr>
                        <pic:blipFill>
                          <a:blip r:embed="rId5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Susanne Schaffert is a member of supervisory boards in the healthcare sector, including that of Merck KGaA. She possesses particular expertise in the field of oncology as well as in sales and commercialization with a focus on product launches. Her knowledge spans innovation, research and development, and organizational leadership and management.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Additionally, shareholders approved the extension of the mandates of our Supervisory Board members Helmut Jeggle, Prof. Anja Morawietz, Ph.D., and Prof. Rudolf Staudigl, Ph.D. At a meeting held following the AGM, the Supervisory Board elected Helmut Jeggle as its Chairman.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All resolutions proposed on the agenda items put to the vote at our AGM were approved by a majority of the shareholders.</w:t>
      </w: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Update on Negotiations with Co-Founders-Led New Company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March 2026, we announced plans for an independent company to be established and led by BioNTech co-founders Prof. Ugur Sahin, M.D., and Prof. Özlem Türeci, M.D. As of August 2026, discussions regarding the new company and potential contributions by BioNTech are ongoing. BioNTech's guiding principle in the negotiations is to maximize value for both patients and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Overview</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are a global next-generation immunotherapy company aiming to pioneer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have built a broad toolkit across multiple technology platforms, including a diverse range of potentially first-in-class therapeutic approaches. This includes investigational messenger ribonucleic acid, or mRNA immunotherapies and protein-based therapeutics (including targeted antibodies such as monoclonal, bispecific and antibody-drug conjugates, or ADCs).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multi-technology combination of platforms and product candidates aims to position us as pioneers in the field of individualized, patient-centric therapeutic approaches in oncology and infectious diseases. We believe that by combining complementary treatment modalities, we can leverage the potential of each technology to provide precise and personalized treatments to patients. Such treatments, if approved, could both increase the likelihood of therapeutic success and reduce the risk of therapeutic resistance.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998220"/>
                <wp:effectExtent l="0" t="0" r="0" b="0"/>
                <wp:wrapNone/>
                <wp:docPr id="92" name="Frame3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9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8" descr=""/>
                          <pic:cNvPicPr>
                            <a:picLocks noChangeAspect="1" noChangeArrowheads="1"/>
                          </pic:cNvPicPr>
                        </pic:nvPicPr>
                        <pic:blipFill>
                          <a:blip r:embed="rId5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9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9" descr=""/>
                          <pic:cNvPicPr>
                            <a:picLocks noChangeAspect="1" noChangeArrowheads="1"/>
                          </pic:cNvPicPr>
                        </pic:nvPicPr>
                        <pic:blipFill>
                          <a:blip r:embed="rId6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strategy. To augment anti-tumor activity and to counteract resistance mechanisms, we seek to combine compounds with non-overlapping, potentially synergistic mechanisms of action.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infectious diseases, our goal is to develop vaccines and therapeutics caused by respiratory viruses, latent viruses, bacteria and parasites. We believe our scientific approach and our mRNA technology have the potential to significantly contribute to the fight against global health threats caused by infectious diseases. We have pursued both strategic partnerships and corporate collaborations to partially fund our infectious disease global health programs and aim to continue to do so. Our infectious disease programs aim to contribute to equitable access to innovative vaccines for high medical need indications.</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Our approach has generated a robust and diversified product candidate pipeline across a range of technologies in oncology and infectious disease, and has led to the approval of our first marketed pharmaceutical product, </w:t>
      </w:r>
      <w:r>
        <w:rPr>
          <w:rFonts w:ascii="Neue Haas Grotesk Display Pro 45 Light;serif" w:hAnsi="Neue Haas Grotesk Display Pro 45 Light;serif"/>
          <w:b w:val="false"/>
          <w:i/>
          <w:color w:val="080509"/>
          <w:sz w:val="20"/>
        </w:rPr>
        <w:t>Comirnaty</w:t>
      </w:r>
      <w:r>
        <w:rPr>
          <w:rFonts w:ascii="Neue Haas Grotesk Display Pro 45 Light;serif" w:hAnsi="Neue Haas Grotesk Display Pro 45 Light;serif"/>
          <w:b w:val="false"/>
          <w:color w:val="080509"/>
          <w:sz w:val="20"/>
        </w:rPr>
        <w:t>. Innovation is at the core of our company, and we see potential for our technologies to expand beyond oncology and infectious diseases.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 xml:space="preserve">Environmental, Social, and Governance (ESG)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BioNTech was founded out of a responsibility to patients and to society and this is still the vision that drives the Company. It gives grounds for our enhanced responsibility: for translating the Company’s science into the health of people worldwide and contributing to equitable access to vaccines, for environmental and climate protection, for respecting human rights and for fostering the full potential of all employees. We recognize our responsibility as a corporate citizen and are committed to supporting our local communities and beyond through donations, sponsorships and volunteer activities.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performance on environmental, social, and governance matters is regularly assessed by external rating agencies. </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We retained our “Prime” status from ISS ESG in the assessment for 2025. ISS ESG is a provider of ESG screening, ratings and analytics services and part of the Institutional Shareholder Services Group (ISS). Since 2022, ISS ESG has consistently awarded us “Prime” status, placing us in the top 10% of all companies rated in the Pharmaceuticals and Biotechnology sector. We maintained our overall rating of B in the overall Corporate Rating 2025 on a scale from D- (lowest rating) to A+ (highest rating). Following a revision to ISS ESG's rating methodology and weighting criteria, our overall Corporate Rating was updated to B- effective May 2026, a level subsequently confirmed in both June and July 2026. In the ISS ESG QualityScore, we achieved an Environment Score of 2 and a Social Score of 1. These scores indicate a company’s transparency with a focus on social and environmental matters on a scale from 1 (high disclosure) to 10 (low disclosure). Furthermore, we received a score of 5 in the "Governance” dimension of the ISS Quality Score on a risk scale ranging from 1 (low risk) to 10 (high risk).</w:t>
      </w:r>
      <w:r>
        <w:rPr>
          <w:rFonts w:ascii="Neue Haas Grotesk Display Pro 45 Light;serif" w:hAnsi="Neue Haas Grotesk Display Pro 45 Light;serif"/>
          <w:b w:val="false"/>
          <w:color w:val="080509"/>
          <w:sz w:val="13"/>
        </w:rPr>
        <w:t>1</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We received 50 out of 100 possible points in the 2025 S&amp;P CSA</w:t>
      </w:r>
      <w:r>
        <w:rPr>
          <w:rFonts w:ascii="Neue Haas Grotesk Display Pro 45 Light;serif" w:hAnsi="Neue Haas Grotesk Display Pro 45 Light;serif"/>
          <w:b w:val="false"/>
          <w:color w:val="080509"/>
          <w:sz w:val="13"/>
        </w:rPr>
        <w:t>2</w:t>
      </w:r>
      <w:r>
        <w:rPr>
          <w:color w:val="080509"/>
        </w:rPr>
        <w:t xml:space="preserve"> </w:t>
      </w:r>
      <w:r>
        <w:rPr>
          <w:rFonts w:ascii="Neue Haas Grotesk Display Pro 45 Light;serif" w:hAnsi="Neue Haas Grotesk Display Pro 45 Light;serif"/>
          <w:b w:val="false"/>
          <w:color w:val="080509"/>
          <w:sz w:val="20"/>
        </w:rPr>
        <w:t>(2024: 52/100). Since 2022, we have been actively engaging in the comprehensive S&amp;P CSA rating process and has been listed as a participating company.</w:t>
      </w:r>
    </w:p>
    <w:p>
      <w:pPr>
        <w:pStyle w:val="TextBody"/>
        <w:bidi w:val="0"/>
        <w:spacing w:lineRule="auto" w:line="336" w:before="0" w:after="80"/>
        <w:ind w:left="0" w:right="0" w:hanging="147"/>
        <w:jc w:val="both"/>
        <w:rPr/>
      </w:pPr>
      <w:r>
        <w:rPr>
          <w:rFonts w:ascii="Neue Haas Grotesk Display Pro 55 Roman;serif" w:hAnsi="Neue Haas Grotesk Display Pro 55 Roman;serif"/>
          <w:b w:val="false"/>
          <w:color w:val="107072"/>
          <w:sz w:val="10"/>
        </w:rPr>
        <w:t>(1)</w:t>
      </w:r>
      <w:r>
        <w:rPr>
          <w:color w:val="107072"/>
        </w:rPr>
        <w:t>    </w:t>
      </w:r>
      <w:r>
        <w:rPr>
          <w:rFonts w:ascii="Neue Haas Grotesk Display Pro 55 Roman;serif" w:hAnsi="Neue Haas Grotesk Display Pro 55 Roman;serif"/>
          <w:b w:val="false"/>
          <w:color w:val="107072"/>
          <w:sz w:val="15"/>
        </w:rPr>
        <w:t>BioNTech SE's last governance data profile update, Jun 11, 2026. Last E&amp;S data profile update, May 26, 2026</w:t>
      </w:r>
    </w:p>
    <w:p>
      <w:pPr>
        <w:pStyle w:val="TextBody"/>
        <w:bidi w:val="0"/>
        <w:spacing w:lineRule="auto" w:line="336" w:before="0" w:after="80"/>
        <w:ind w:left="0" w:right="0" w:hanging="147"/>
        <w:jc w:val="both"/>
        <w:rPr/>
      </w:pPr>
      <w:r>
        <w:rPr>
          <w:rFonts w:ascii="Neue Haas Grotesk Display Pro 55 Roman;serif" w:hAnsi="Neue Haas Grotesk Display Pro 55 Roman;serif"/>
          <w:b w:val="false"/>
          <w:color w:val="107072"/>
          <w:sz w:val="10"/>
        </w:rPr>
        <w:t>(2)</w:t>
      </w:r>
      <w:r>
        <w:rPr>
          <w:color w:val="107072"/>
        </w:rPr>
        <w:t>    </w:t>
      </w:r>
      <w:r>
        <w:rPr>
          <w:rFonts w:ascii="Neue Haas Grotesk Display Pro 55 Roman;serif" w:hAnsi="Neue Haas Grotesk Display Pro 55 Roman;serif"/>
          <w:b w:val="false"/>
          <w:color w:val="107072"/>
          <w:sz w:val="15"/>
        </w:rPr>
        <w:t>Results were released on July 30, 2025. Last updated: December 12, 2025.</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998220"/>
                <wp:effectExtent l="0" t="0" r="0" b="0"/>
                <wp:wrapNone/>
                <wp:docPr id="95" name="Frame3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29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9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0" descr=""/>
                          <pic:cNvPicPr>
                            <a:picLocks noChangeAspect="1" noChangeArrowheads="1"/>
                          </pic:cNvPicPr>
                        </pic:nvPicPr>
                        <pic:blipFill>
                          <a:blip r:embed="rId6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9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1" descr=""/>
                          <pic:cNvPicPr>
                            <a:picLocks noChangeAspect="1" noChangeArrowheads="1"/>
                          </pic:cNvPicPr>
                        </pic:nvPicPr>
                        <pic:blipFill>
                          <a:blip r:embed="rId6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In May 2025, we received an ESG Risk Rating of 21.4</w:t>
      </w:r>
      <w:r>
        <w:rPr>
          <w:rFonts w:ascii="Neue Haas Grotesk Display Pro 45 Light;serif" w:hAnsi="Neue Haas Grotesk Display Pro 45 Light;serif"/>
          <w:b w:val="false"/>
          <w:color w:val="080509"/>
          <w:sz w:val="13"/>
        </w:rPr>
        <w:t>3</w:t>
      </w:r>
      <w:r>
        <w:rPr>
          <w:color w:val="080509"/>
        </w:rPr>
        <w:t xml:space="preserve"> </w:t>
      </w:r>
      <w:r>
        <w:rPr>
          <w:rFonts w:ascii="Neue Haas Grotesk Display Pro 45 Light;serif" w:hAnsi="Neue Haas Grotesk Display Pro 45 Light;serif"/>
          <w:b w:val="false"/>
          <w:color w:val="080509"/>
          <w:sz w:val="20"/>
        </w:rPr>
        <w:t xml:space="preserve">by the rating agency Morningstar Sustainalytics and were assessed to be at medium risk of experiencing material financial impacts from ESG factors (2024: 25.9, medium risk). The score corresponds to the third level of a five-level risk scale (negligible, low, medium, high and severe). BioNTech ranks among the top 10% of biotechnology companies in this rating. The rating measures the extent to which the economic value of a company is at risk due to ESG factors.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Corporate Sustainability &amp; Responsibility, or CSR, Management, is presented in detail in the separate 2025 Sustainability Report and made available online at www.biontech.com. More information about our performance in selected ESG ratings, our Human Rights Statement as well as further relevant information and material can also be found on our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 xml:space="preserve">Marketed Product: Comirnaty, our COVID-19 Vaccine Program (BNT162)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COVID-19 vaccination has played an important role in saving lives and livelihoods across the world. Our commercial product, developed in 2020, Comirnaty, was the first-ever approved mRNA-based product, and, to our knowledge, remains the fastest ever developed prophylactic vaccine from viral sampling to approval. Our efforts have resulted in over 5 billion doses shipped globally since first approval to date.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Under our collaboration with Pfizer, we are the Marketing Authorization Holder in the United States, the European Union, or EU, the UK, Canada and other countries. Pfizer has marketing and distribution rights worldwide apart from Greater China, Germany, and Türkiye. We have the marketing and distribution rights to Comirnaty in Germany and Türkiye.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Under our collaboration with Fosun Pharmaceutical Industrial Development, Co., Ltd, or Fosun Pharma, Fosun Pharma has marketing and distribution rights in Mainland China, Hong Kong Special Administrative Region, or SAR, Macau SAR and Taiwan region.</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A. Commercial Updates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expect that as SARS-CoV-2 continues to evolve, and the risk of severe COVID-19 disease and deaths persists, there will be continued demand for primary and seasonal vaccinations, especially for at-risk and immunocompromised populations. Studies have demonstrated that natural immunity acquired by SARS-CoV-2 infection is variable across individuals and wanes over time due to viral escape mutations and decreasing antibody titers. The risk of severe COVID-19 disease remains high in vulnerable populations. Vaccination not only reduces the risk of severe COVID-19 but may also mitigate the risk of health impairments related to COVID-19. Given this, and our current understanding of COVID-19’s burden on healthcare systems during the fall and winter season, along with its observed peaks at other times of the year, we anticipate the need for annual adapted vaccines to be a long-term component of COVID-19 vaccination practices.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2026, we have been, and expect to continue, preparing for COVID-19 vaccine adaptation and, pending regulatory approval, commercial launch ahead of the upcoming 2026-2027 fall and winter season.</w:t>
      </w:r>
    </w:p>
    <w:p>
      <w:pPr>
        <w:pStyle w:val="TextBody"/>
        <w:bidi w:val="0"/>
        <w:spacing w:lineRule="auto" w:line="336" w:before="0" w:after="80"/>
        <w:ind w:left="0" w:right="0" w:hanging="147"/>
        <w:jc w:val="both"/>
        <w:rPr/>
      </w:pPr>
      <w:r>
        <w:rPr>
          <w:rFonts w:ascii="Neue Haas Grotesk Display Pro 55 Roman;serif" w:hAnsi="Neue Haas Grotesk Display Pro 55 Roman;serif"/>
          <w:b w:val="false"/>
          <w:color w:val="107072"/>
          <w:sz w:val="10"/>
        </w:rPr>
        <w:t>(3)</w:t>
      </w:r>
      <w:r>
        <w:rPr>
          <w:color w:val="107072"/>
        </w:rPr>
        <w:t>    </w:t>
      </w:r>
      <w:r>
        <w:rPr>
          <w:rFonts w:ascii="Neue Haas Grotesk Display Pro 55 Roman;serif" w:hAnsi="Neue Haas Grotesk Display Pro 55 Roman;serif"/>
          <w:b w:val="false"/>
          <w:color w:val="107072"/>
          <w:sz w:val="15"/>
        </w:rPr>
        <w:t>The latest update to the score was issued on September 23, 2025; the full rating update was issued on May 29, 2025.</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998220"/>
                <wp:effectExtent l="0" t="0" r="0" b="0"/>
                <wp:wrapNone/>
                <wp:docPr id="98" name="Frame3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9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2" descr=""/>
                          <pic:cNvPicPr>
                            <a:picLocks noChangeAspect="1" noChangeArrowheads="1"/>
                          </pic:cNvPicPr>
                        </pic:nvPicPr>
                        <pic:blipFill>
                          <a:blip r:embed="rId6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0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3" descr=""/>
                          <pic:cNvPicPr>
                            <a:picLocks noChangeAspect="1" noChangeArrowheads="1"/>
                          </pic:cNvPicPr>
                        </pic:nvPicPr>
                        <pic:blipFill>
                          <a:blip r:embed="rId6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40" w:after="160"/>
        <w:jc w:val="both"/>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B. Clinical Development, Regulatory and Manufacturing Updates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May 2026, the WHO, EMA and FDA each issued recommendations to update the antigenic composition of authorized COVID-19 vaccines for the 2026-2027 vaccination season. The WHO advised manufacturers that monovalent LP.8.1 is the recommended vaccine antigen, while other antigens (e.g. XFG, NB.1.8.1) or other approaches that demonstrate broad and robust neutralizing antibody responses or efficacy against currently circulating SARS-CoV-2 variants could also be used. The EMA recommended updating COVID-19 vaccines to target the XFG variant of the JN.1 family of Omicron subvariants for the 2026-2027 vaccination campaign, and that other JN.1 recent descendant viruses including LP.8.1 could also be considered. The FDA has advised the manufacturers of the approved COVID-19 vaccines that to more closely match currently circulating SARS-CoV-2 viruses, the COVID-19 vaccines (2026-2027 Formula) for use in the United States beginning in fall 2026 should be a monovalent JN.1 lineage XFG variant vaccine.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June 2026, we submitted a marketing authorization application to the EMA and a supplemental Biologics License Application to FDA for our Omicron XFG variant-adapted monovalent COVID-19 vaccine.</w:t>
      </w:r>
    </w:p>
    <w:p>
      <w:pPr>
        <w:pStyle w:val="TextBody"/>
        <w:bidi w:val="0"/>
        <w:spacing w:lineRule="atLeast" w:line="300" w:before="0" w:after="12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July 2026, BioNTech and Pfizer’s Omicron XFG variant-adapted monovalent COVID-19 vaccine was approved by the European Commission following recommendation for marketing authorization by the EMA’s Committee for Medicinal Products for Human Use, or CHMP.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Pipeline of Product Candidates: Second Quarter of 2026 and Post Period-End Updates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Below is a summary of active clinical trials evaluating our product and clinical product candidates, organized by platform and indication.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998220"/>
                <wp:effectExtent l="0" t="0" r="0" b="0"/>
                <wp:wrapNone/>
                <wp:docPr id="101" name="Frame3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0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4" descr=""/>
                          <pic:cNvPicPr>
                            <a:picLocks noChangeAspect="1" noChangeArrowheads="1"/>
                          </pic:cNvPicPr>
                        </pic:nvPicPr>
                        <pic:blipFill>
                          <a:blip r:embed="rId6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0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5" descr=""/>
                          <pic:cNvPicPr>
                            <a:picLocks noChangeAspect="1" noChangeArrowheads="1"/>
                          </pic:cNvPicPr>
                        </pic:nvPicPr>
                        <pic:blipFill>
                          <a:blip r:embed="rId6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40" w:after="160"/>
        <w:jc w:val="left"/>
        <w:rPr/>
      </w:pPr>
      <w:r>
        <w:rPr>
          <w:rFonts w:ascii="Neue Haas Grotesk Display Pro 55 Roman;serif" w:hAnsi="Neue Haas Grotesk Display Pro 55 Roman;serif"/>
          <w:b w:val="false"/>
          <w:color w:val="005A64"/>
          <w:sz w:val="22"/>
        </w:rPr>
        <w:t>Oncology</w:t>
      </w:r>
      <w:r>
        <w:rPr>
          <w:rFonts w:ascii="Neue Haas Grotesk Display Pro 55 Roman;serif" w:hAnsi="Neue Haas Grotesk Display Pro 55 Roman;serif"/>
          <w:b w:val="false"/>
          <w:color w:val="005A64"/>
          <w:sz w:val="14"/>
        </w:rPr>
        <w:t>1,2</w:t>
      </w:r>
    </w:p>
    <w:tbl>
      <w:tblPr>
        <w:tblW w:w="10205" w:type="dxa"/>
        <w:jc w:val="left"/>
        <w:tblInd w:w="0" w:type="dxa"/>
        <w:tblLayout w:type="fixed"/>
        <w:tblCellMar>
          <w:top w:w="28" w:type="dxa"/>
          <w:left w:w="28" w:type="dxa"/>
          <w:bottom w:w="28" w:type="dxa"/>
          <w:right w:w="28" w:type="dxa"/>
        </w:tblCellMar>
      </w:tblPr>
      <w:tblGrid>
        <w:gridCol w:w="385"/>
        <w:gridCol w:w="339"/>
        <w:gridCol w:w="342"/>
        <w:gridCol w:w="503"/>
        <w:gridCol w:w="384"/>
        <w:gridCol w:w="382"/>
        <w:gridCol w:w="673"/>
        <w:gridCol w:w="548"/>
        <w:gridCol w:w="555"/>
        <w:gridCol w:w="372"/>
        <w:gridCol w:w="372"/>
        <w:gridCol w:w="373"/>
        <w:gridCol w:w="900"/>
        <w:gridCol w:w="806"/>
        <w:gridCol w:w="817"/>
        <w:gridCol w:w="355"/>
        <w:gridCol w:w="347"/>
        <w:gridCol w:w="349"/>
        <w:gridCol w:w="424"/>
        <w:gridCol w:w="415"/>
        <w:gridCol w:w="564"/>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080509"/>
                <w:sz w:val="20"/>
              </w:rPr>
            </w:pPr>
            <w:r>
              <w:rPr>
                <w:rFonts w:ascii="Neue Haas Grotesk Display Pro 65 Medium;serif" w:hAnsi="Neue Haas Grotesk Display Pro 65 Medium;serif"/>
                <w:b/>
                <w:color w:val="080509"/>
                <w:sz w:val="20"/>
              </w:rPr>
              <w:t>Phase 1</w:t>
            </w:r>
          </w:p>
        </w:tc>
        <w:tc>
          <w:tcPr>
            <w:tcW w:w="304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080509"/>
                <w:sz w:val="20"/>
              </w:rPr>
            </w:pPr>
            <w:r>
              <w:rPr>
                <w:rFonts w:ascii="Neue Haas Grotesk Display Pro 65 Medium;serif" w:hAnsi="Neue Haas Grotesk Display Pro 65 Medium;serif"/>
                <w:b/>
                <w:color w:val="080509"/>
                <w:sz w:val="20"/>
              </w:rPr>
              <w:t>Phase 1/2</w:t>
            </w:r>
          </w:p>
        </w:tc>
        <w:tc>
          <w:tcPr>
            <w:tcW w:w="364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080509"/>
                <w:sz w:val="20"/>
              </w:rPr>
            </w:pPr>
            <w:r>
              <w:rPr>
                <w:rFonts w:ascii="Neue Haas Grotesk Display Pro 65 Medium;serif" w:hAnsi="Neue Haas Grotesk Display Pro 65 Medium;serif"/>
                <w:b/>
                <w:color w:val="080509"/>
                <w:sz w:val="20"/>
              </w:rPr>
              <w:t>Phase 2</w:t>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080509"/>
                <w:sz w:val="20"/>
              </w:rPr>
            </w:pPr>
            <w:r>
              <w:rPr>
                <w:rFonts w:ascii="Neue Haas Grotesk Display Pro 65 Medium;serif" w:hAnsi="Neue Haas Grotesk Display Pro 65 Medium;serif"/>
                <w:b/>
                <w:color w:val="080509"/>
                <w:sz w:val="20"/>
              </w:rPr>
              <w:t>Phase 2/3</w:t>
            </w:r>
          </w:p>
        </w:tc>
        <w:tc>
          <w:tcPr>
            <w:tcW w:w="14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080509"/>
                <w:sz w:val="20"/>
              </w:rPr>
            </w:pPr>
            <w:r>
              <w:rPr>
                <w:rFonts w:ascii="Neue Haas Grotesk Display Pro 65 Medium;serif" w:hAnsi="Neue Haas Grotesk Display Pro 65 Medium;serif"/>
                <w:b/>
                <w:color w:val="080509"/>
                <w:sz w:val="20"/>
              </w:rPr>
              <w:t>Phase 3</w:t>
            </w:r>
          </w:p>
        </w:tc>
      </w:tr>
      <w:tr>
        <w:trPr/>
        <w:tc>
          <w:tcPr>
            <w:tcW w:w="1066" w:type="dxa"/>
            <w:gridSpan w:val="3"/>
            <w:tcBorders>
              <w:top w:val="single" w:sz="8" w:space="0" w:color="0F7F40"/>
              <w:left w:val="single" w:sz="8" w:space="0" w:color="FFFFFF"/>
            </w:tcBorders>
            <w:shd w:fill="DCDDB2" w:val="clear"/>
            <w:tcMar>
              <w:top w:w="3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BNT116</w:t>
              <w:br/>
              <w:t>Adv. NSCLC</w:t>
            </w:r>
          </w:p>
        </w:tc>
        <w:tc>
          <w:tcPr>
            <w:tcW w:w="1269" w:type="dxa"/>
            <w:gridSpan w:val="3"/>
            <w:tcBorders>
              <w:top w:val="single" w:sz="8" w:space="0" w:color="0F7F40"/>
              <w:left w:val="single" w:sz="24" w:space="0" w:color="FFFFFF"/>
            </w:tcBorders>
            <w:shd w:fill="9DCAB9" w:val="clear"/>
            <w:tcMar>
              <w:top w:w="3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BNT3214</w:t>
              <w:br/>
              <w:t>Multiple solid tumors</w:t>
            </w:r>
          </w:p>
        </w:tc>
        <w:tc>
          <w:tcPr>
            <w:tcW w:w="1776" w:type="dxa"/>
            <w:gridSpan w:val="3"/>
            <w:tcBorders>
              <w:top w:val="single" w:sz="8" w:space="0" w:color="0F7F40"/>
              <w:left w:val="single" w:sz="8" w:space="0" w:color="FFFFFF"/>
            </w:tcBorders>
            <w:shd w:fill="CDDEE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r>
              <w:rPr>
                <w:color w:val="005A64"/>
              </w:rPr>
              <w:t xml:space="preserve"> </w:t>
            </w:r>
            <w:r>
              <w:rPr>
                <w:rFonts w:ascii="Neue Haas Grotesk Display Pro 55 Roman;serif" w:hAnsi="Neue Haas Grotesk Display Pro 55 Roman;serif"/>
                <w:b w:val="false"/>
                <w:color w:val="005A64"/>
                <w:sz w:val="12"/>
              </w:rPr>
              <w:t>+ BNT314/GEN1059</w:t>
            </w:r>
            <w:r>
              <w:rPr>
                <w:rFonts w:ascii="Neue Haas Grotesk Display Pro 55 Roman;serif" w:hAnsi="Neue Haas Grotesk Display Pro 55 Roman;serif"/>
                <w:b w:val="false"/>
                <w:color w:val="005A64"/>
                <w:sz w:val="8"/>
              </w:rPr>
              <w:t>9</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Met. CRC</w:t>
            </w:r>
            <w:r>
              <w:rPr>
                <w:rFonts w:ascii="Neue Haas Grotesk Display Pro 55 Roman;serif" w:hAnsi="Neue Haas Grotesk Display Pro 55 Roman;serif"/>
                <w:b w:val="false"/>
                <w:color w:val="005A64"/>
                <w:sz w:val="8"/>
              </w:rPr>
              <w:t>4</w:t>
            </w:r>
          </w:p>
        </w:tc>
        <w:tc>
          <w:tcPr>
            <w:tcW w:w="1117" w:type="dxa"/>
            <w:gridSpan w:val="3"/>
            <w:tcBorders>
              <w:top w:val="single" w:sz="8" w:space="0" w:color="0F7F40"/>
              <w:left w:val="single" w:sz="24" w:space="0" w:color="FFFFFF"/>
            </w:tcBorders>
            <w:shd w:fill="DCDDB2"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Autogene cevumeran</w:t>
            </w:r>
            <w:r>
              <w:rPr>
                <w:rFonts w:ascii="Neue Haas Grotesk Display Pro 55 Roman;serif" w:hAnsi="Neue Haas Grotesk Display Pro 55 Roman;serif"/>
                <w:b w:val="false"/>
                <w:color w:val="005A64"/>
                <w:sz w:val="8"/>
              </w:rPr>
              <w:t>6</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Adj. CRC</w:t>
            </w:r>
          </w:p>
        </w:tc>
        <w:tc>
          <w:tcPr>
            <w:tcW w:w="2523" w:type="dxa"/>
            <w:gridSpan w:val="3"/>
            <w:tcBorders>
              <w:top w:val="single" w:sz="8" w:space="0" w:color="0F7F40"/>
              <w:left w:val="single" w:sz="8"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2L+ EGFRm NSCLC</w:t>
            </w:r>
            <w:r>
              <w:rPr>
                <w:rFonts w:ascii="Neue Haas Grotesk Display Pro 55 Roman;serif" w:hAnsi="Neue Haas Grotesk Display Pro 55 Roman;serif"/>
                <w:b w:val="false"/>
                <w:color w:val="005A64"/>
                <w:sz w:val="8"/>
              </w:rPr>
              <w:t>11</w:t>
            </w:r>
          </w:p>
        </w:tc>
        <w:tc>
          <w:tcPr>
            <w:tcW w:w="1051" w:type="dxa"/>
            <w:gridSpan w:val="3"/>
            <w:tcBorders>
              <w:top w:val="single" w:sz="8" w:space="0" w:color="0F7F40"/>
              <w:left w:val="single" w:sz="24" w:space="0" w:color="FFFFFF"/>
            </w:tcBorders>
            <w:shd w:fill="DCDDB2" w:val="clear"/>
            <w:tcMar>
              <w:top w:w="3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BNT113</w:t>
              <w:br/>
              <w:t>1L HPV16+ HNSCC</w:t>
            </w:r>
          </w:p>
        </w:tc>
        <w:tc>
          <w:tcPr>
            <w:tcW w:w="1403" w:type="dxa"/>
            <w:gridSpan w:val="3"/>
            <w:tcBorders>
              <w:top w:val="single" w:sz="8" w:space="0" w:color="0F7F40"/>
              <w:left w:val="single" w:sz="24" w:space="0" w:color="FFFFFF"/>
              <w:right w:val="single" w:sz="8" w:space="0" w:color="FFFFFF"/>
            </w:tcBorders>
            <w:shd w:fill="9DCAB9" w:val="clear"/>
            <w:tcMar>
              <w:top w:w="30" w:type="dxa"/>
              <w:bottom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Elfetabart drozuntecan</w:t>
            </w:r>
            <w:r>
              <w:rPr>
                <w:rFonts w:ascii="Neue Haas Grotesk Display Pro 55 Roman;serif" w:hAnsi="Neue Haas Grotesk Display Pro 55 Roman;serif"/>
                <w:b w:val="false"/>
                <w:color w:val="005A64"/>
                <w:sz w:val="8"/>
              </w:rPr>
              <w:t>5</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 met. CRPC</w:t>
            </w:r>
          </w:p>
        </w:tc>
      </w:tr>
      <w:tr>
        <w:trPr/>
        <w:tc>
          <w:tcPr>
            <w:tcW w:w="1066" w:type="dxa"/>
            <w:gridSpan w:val="3"/>
            <w:tcBorders>
              <w:top w:val="single" w:sz="8" w:space="0" w:color="FFFFFF"/>
              <w:left w:val="single" w:sz="8" w:space="0" w:color="FFFFFF"/>
            </w:tcBorders>
            <w:shd w:fill="9DCAB9" w:val="clear"/>
            <w:tcMar>
              <w:top w:w="3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BNT211</w:t>
              <w:br/>
              <w:t>Multiple solid tumors</w:t>
            </w:r>
          </w:p>
        </w:tc>
        <w:tc>
          <w:tcPr>
            <w:tcW w:w="1269" w:type="dxa"/>
            <w:gridSpan w:val="3"/>
            <w:tcBorders>
              <w:top w:val="single" w:sz="8" w:space="0" w:color="FFFFFF"/>
              <w:left w:val="single" w:sz="24" w:space="0" w:color="FFFFFF"/>
            </w:tcBorders>
            <w:shd w:fill="9DCAB9"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Elfetabart drozuntecan</w:t>
            </w:r>
            <w:r>
              <w:rPr>
                <w:rFonts w:ascii="Neue Haas Grotesk Display Pro 55 Roman;serif" w:hAnsi="Neue Haas Grotesk Display Pro 55 Roman;serif"/>
                <w:b w:val="false"/>
                <w:color w:val="005A64"/>
                <w:sz w:val="8"/>
              </w:rPr>
              <w:t>5</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Multiple solid tumors</w:t>
            </w:r>
          </w:p>
        </w:tc>
        <w:tc>
          <w:tcPr>
            <w:tcW w:w="1776" w:type="dxa"/>
            <w:gridSpan w:val="3"/>
            <w:tcBorders>
              <w:top w:val="single" w:sz="8" w:space="0" w:color="FFFFFF"/>
              <w:left w:val="single" w:sz="8" w:space="0" w:color="FFFFFF"/>
            </w:tcBorders>
            <w:shd w:fill="CDDEE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r>
              <w:rPr>
                <w:color w:val="005A64"/>
              </w:rPr>
              <w:t xml:space="preserve"> </w:t>
            </w:r>
            <w:r>
              <w:rPr>
                <w:rFonts w:ascii="Neue Haas Grotesk Display Pro 55 Roman;serif" w:hAnsi="Neue Haas Grotesk Display Pro 55 Roman;serif"/>
                <w:b w:val="false"/>
                <w:color w:val="005A64"/>
                <w:sz w:val="12"/>
              </w:rPr>
              <w:t>+ BNT3212</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Multiple solid tumors</w:t>
            </w:r>
          </w:p>
        </w:tc>
        <w:tc>
          <w:tcPr>
            <w:tcW w:w="1117" w:type="dxa"/>
            <w:gridSpan w:val="3"/>
            <w:tcBorders>
              <w:top w:val="single" w:sz="8" w:space="0" w:color="FFFFFF"/>
              <w:left w:val="single" w:sz="24" w:space="0" w:color="FFFFFF"/>
            </w:tcBorders>
            <w:shd w:fill="DCDDB2"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Autogene cevumeran</w:t>
            </w:r>
            <w:r>
              <w:rPr>
                <w:rFonts w:ascii="Neue Haas Grotesk Display Pro 55 Roman;serif" w:hAnsi="Neue Haas Grotesk Display Pro 55 Roman;serif"/>
                <w:b w:val="false"/>
                <w:color w:val="005A64"/>
                <w:sz w:val="8"/>
              </w:rPr>
              <w:t>6</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Adj. PDAC</w:t>
            </w:r>
          </w:p>
        </w:tc>
        <w:tc>
          <w:tcPr>
            <w:tcW w:w="2523" w:type="dxa"/>
            <w:gridSpan w:val="3"/>
            <w:tcBorders>
              <w:top w:val="single" w:sz="8" w:space="0" w:color="FFFFFF"/>
              <w:left w:val="single" w:sz="8"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2L Glioblastoma</w:t>
            </w:r>
            <w:r>
              <w:rPr>
                <w:rFonts w:ascii="Neue Haas Grotesk Display Pro 55 Roman;serif" w:hAnsi="Neue Haas Grotesk Display Pro 55 Roman;serif"/>
                <w:b w:val="false"/>
                <w:color w:val="005A64"/>
                <w:sz w:val="8"/>
              </w:rPr>
              <w:t>11</w:t>
            </w:r>
          </w:p>
        </w:tc>
        <w:tc>
          <w:tcPr>
            <w:tcW w:w="1051"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 met. CRC</w:t>
            </w:r>
          </w:p>
        </w:tc>
        <w:tc>
          <w:tcPr>
            <w:tcW w:w="1403" w:type="dxa"/>
            <w:gridSpan w:val="3"/>
            <w:tcBorders>
              <w:top w:val="single" w:sz="8" w:space="0" w:color="FFFFFF"/>
              <w:left w:val="single" w:sz="24" w:space="0" w:color="FFFFFF"/>
              <w:right w:val="single" w:sz="8" w:space="0" w:color="FFFFFF"/>
            </w:tcBorders>
            <w:shd w:fill="99BDC1" w:val="clear"/>
            <w:tcMar>
              <w:top w:w="30" w:type="dxa"/>
              <w:bottom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Gotistobart</w:t>
            </w:r>
            <w:r>
              <w:rPr>
                <w:rFonts w:ascii="Neue Haas Grotesk Display Pro 55 Roman;serif" w:hAnsi="Neue Haas Grotesk Display Pro 55 Roman;serif"/>
                <w:b w:val="false"/>
                <w:color w:val="005A64"/>
                <w:sz w:val="8"/>
              </w:rPr>
              <w:t>7</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Met. NSCLC</w:t>
            </w:r>
          </w:p>
        </w:tc>
      </w:tr>
      <w:tr>
        <w:trPr/>
        <w:tc>
          <w:tcPr>
            <w:tcW w:w="1066" w:type="dxa"/>
            <w:gridSpan w:val="3"/>
            <w:tcBorders>
              <w:top w:val="single" w:sz="8" w:space="0" w:color="FFFFFF"/>
              <w:left w:val="single" w:sz="8"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BNT314/GEN1059</w:t>
            </w:r>
            <w:r>
              <w:rPr>
                <w:rFonts w:ascii="Neue Haas Grotesk Display Pro 55 Roman;serif" w:hAnsi="Neue Haas Grotesk Display Pro 55 Roman;serif"/>
                <w:b w:val="false"/>
                <w:color w:val="005A64"/>
                <w:sz w:val="8"/>
              </w:rPr>
              <w:t>9</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Multiple solid tumors</w:t>
            </w:r>
          </w:p>
        </w:tc>
        <w:tc>
          <w:tcPr>
            <w:tcW w:w="1269" w:type="dxa"/>
            <w:gridSpan w:val="3"/>
            <w:tcBorders>
              <w:top w:val="single" w:sz="8" w:space="0" w:color="FFFFFF"/>
              <w:left w:val="single" w:sz="24" w:space="0" w:color="FFFFFF"/>
            </w:tcBorders>
            <w:shd w:fill="9DCAB9"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Sacituzumab drozuntecan</w:t>
            </w:r>
            <w:r>
              <w:rPr>
                <w:rFonts w:ascii="Neue Haas Grotesk Display Pro 55 Roman;serif" w:hAnsi="Neue Haas Grotesk Display Pro 55 Roman;serif"/>
                <w:b w:val="false"/>
                <w:color w:val="005A64"/>
                <w:sz w:val="8"/>
              </w:rPr>
              <w:t>5</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Multiple solid tumors</w:t>
            </w:r>
          </w:p>
        </w:tc>
        <w:tc>
          <w:tcPr>
            <w:tcW w:w="1776" w:type="dxa"/>
            <w:gridSpan w:val="3"/>
            <w:tcBorders>
              <w:top w:val="single" w:sz="8" w:space="0" w:color="FFFFFF"/>
              <w:left w:val="single" w:sz="8" w:space="0" w:color="FFFFFF"/>
            </w:tcBorders>
            <w:shd w:fill="CDDEE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r>
              <w:rPr>
                <w:color w:val="005A64"/>
              </w:rPr>
              <w:t xml:space="preserve"> </w:t>
            </w:r>
            <w:r>
              <w:rPr>
                <w:rFonts w:ascii="Neue Haas Grotesk Display Pro 55 Roman;serif" w:hAnsi="Neue Haas Grotesk Display Pro 55 Roman;serif"/>
                <w:b w:val="false"/>
                <w:color w:val="005A64"/>
                <w:sz w:val="12"/>
              </w:rPr>
              <w:t>+ BNT3213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1L HCC</w:t>
            </w:r>
            <w:r>
              <w:rPr>
                <w:rFonts w:ascii="Neue Haas Grotesk Display Pro 55 Roman;serif" w:hAnsi="Neue Haas Grotesk Display Pro 55 Roman;serif"/>
                <w:b w:val="false"/>
                <w:color w:val="005A64"/>
                <w:sz w:val="8"/>
              </w:rPr>
              <w:t>4,11</w:t>
            </w:r>
          </w:p>
        </w:tc>
        <w:tc>
          <w:tcPr>
            <w:tcW w:w="1117" w:type="dxa"/>
            <w:gridSpan w:val="3"/>
            <w:tcBorders>
              <w:top w:val="single" w:sz="8" w:space="0" w:color="FFFFFF"/>
              <w:left w:val="single" w:sz="24" w:space="0" w:color="FFFFFF"/>
            </w:tcBorders>
            <w:shd w:fill="DCDDB2"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BNT116</w:t>
            </w:r>
            <w:r>
              <w:rPr>
                <w:rFonts w:ascii="Neue Haas Grotesk Display Pro 55 Roman;serif" w:hAnsi="Neue Haas Grotesk Display Pro 55 Roman;serif"/>
                <w:b w:val="false"/>
                <w:color w:val="005A64"/>
                <w:sz w:val="8"/>
              </w:rPr>
              <w:t>10</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 adv. NSCLC</w:t>
            </w:r>
          </w:p>
        </w:tc>
        <w:tc>
          <w:tcPr>
            <w:tcW w:w="2523" w:type="dxa"/>
            <w:gridSpan w:val="3"/>
            <w:tcBorders>
              <w:top w:val="single" w:sz="8" w:space="0" w:color="FFFFFF"/>
              <w:left w:val="single" w:sz="8"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1L HCC</w:t>
            </w:r>
            <w:r>
              <w:rPr>
                <w:rFonts w:ascii="Neue Haas Grotesk Display Pro 55 Roman;serif" w:hAnsi="Neue Haas Grotesk Display Pro 55 Roman;serif"/>
                <w:b w:val="false"/>
                <w:color w:val="005A64"/>
                <w:sz w:val="8"/>
              </w:rPr>
              <w:t>11</w:t>
            </w:r>
          </w:p>
        </w:tc>
        <w:tc>
          <w:tcPr>
            <w:tcW w:w="1051"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 adv./met. Gastric</w:t>
            </w:r>
          </w:p>
        </w:tc>
        <w:tc>
          <w:tcPr>
            <w:tcW w:w="1403" w:type="dxa"/>
            <w:gridSpan w:val="3"/>
            <w:tcBorders>
              <w:top w:val="single" w:sz="8" w:space="0" w:color="FFFFFF"/>
              <w:left w:val="single" w:sz="24" w:space="0" w:color="FFFFFF"/>
              <w:right w:val="single" w:sz="8" w:space="0" w:color="FFFFFF"/>
            </w:tcBorders>
            <w:shd w:fill="99BDC1" w:val="clear"/>
            <w:tcMar>
              <w:top w:w="30" w:type="dxa"/>
              <w:bottom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 ES-SCLC</w:t>
            </w:r>
          </w:p>
        </w:tc>
      </w:tr>
      <w:tr>
        <w:trPr/>
        <w:tc>
          <w:tcPr>
            <w:tcW w:w="1066" w:type="dxa"/>
            <w:gridSpan w:val="3"/>
            <w:tcBorders>
              <w:top w:val="single" w:sz="8" w:space="0" w:color="FFFFFF"/>
              <w:left w:val="single" w:sz="8" w:space="0" w:color="FFFFFF"/>
            </w:tcBorders>
            <w:shd w:fill="99BDC1" w:val="clear"/>
            <w:tcMar>
              <w:top w:w="3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BNT317</w:t>
              <w:br/>
              <w:t>Multiple solid tumors</w:t>
            </w:r>
          </w:p>
        </w:tc>
        <w:tc>
          <w:tcPr>
            <w:tcW w:w="1269" w:type="dxa"/>
            <w:gridSpan w:val="3"/>
            <w:tcBorders>
              <w:top w:val="single" w:sz="8" w:space="0" w:color="FFFFFF"/>
              <w:left w:val="single" w:sz="24" w:space="0" w:color="FFFFFF"/>
            </w:tcBorders>
            <w:shd w:fill="9DCAB9" w:val="clear"/>
            <w:tcMar>
              <w:top w:w="3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BNT329</w:t>
              <w:br/>
              <w:t>Multiple solid tumors</w:t>
            </w:r>
          </w:p>
        </w:tc>
        <w:tc>
          <w:tcPr>
            <w:tcW w:w="1776" w:type="dxa"/>
            <w:gridSpan w:val="3"/>
            <w:tcBorders>
              <w:top w:val="single" w:sz="8" w:space="0" w:color="FFFFFF"/>
              <w:left w:val="single" w:sz="8" w:space="0" w:color="FFFFFF"/>
            </w:tcBorders>
            <w:shd w:fill="CDDEE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r>
              <w:rPr>
                <w:color w:val="005A64"/>
              </w:rPr>
              <w:t xml:space="preserve"> </w:t>
            </w:r>
            <w:r>
              <w:rPr>
                <w:rFonts w:ascii="Neue Haas Grotesk Display Pro 55 Roman;serif" w:hAnsi="Neue Haas Grotesk Display Pro 55 Roman;serif"/>
                <w:b w:val="false"/>
                <w:color w:val="005A64"/>
                <w:sz w:val="12"/>
              </w:rPr>
              <w:t>+ Elfetabart drozuntecan</w:t>
            </w:r>
            <w:r>
              <w:rPr>
                <w:rFonts w:ascii="Neue Haas Grotesk Display Pro 55 Roman;serif" w:hAnsi="Neue Haas Grotesk Display Pro 55 Roman;serif"/>
                <w:b w:val="false"/>
                <w:color w:val="005A64"/>
                <w:sz w:val="8"/>
              </w:rPr>
              <w:t>5</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Adv./met. NSCLC and SCLC</w:t>
            </w:r>
            <w:r>
              <w:rPr>
                <w:rFonts w:ascii="Neue Haas Grotesk Display Pro 55 Roman;serif" w:hAnsi="Neue Haas Grotesk Display Pro 55 Roman;serif"/>
                <w:b w:val="false"/>
                <w:color w:val="005A64"/>
                <w:sz w:val="8"/>
              </w:rPr>
              <w:t>4</w:t>
            </w:r>
          </w:p>
        </w:tc>
        <w:tc>
          <w:tcPr>
            <w:tcW w:w="1117" w:type="dxa"/>
            <w:gridSpan w:val="3"/>
            <w:tcBorders>
              <w:top w:val="single" w:sz="8" w:space="0" w:color="FFFFFF"/>
              <w:left w:val="single" w:sz="24" w:space="0" w:color="FFFFFF"/>
            </w:tcBorders>
            <w:shd w:fill="9DCAB9"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BNT326/YL202</w:t>
            </w:r>
            <w:r>
              <w:rPr>
                <w:rFonts w:ascii="Neue Haas Grotesk Display Pro 55 Roman;serif" w:hAnsi="Neue Haas Grotesk Display Pro 55 Roman;serif"/>
                <w:b w:val="false"/>
                <w:color w:val="005A64"/>
                <w:sz w:val="8"/>
              </w:rPr>
              <w:t>8</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Multiple solid tumors</w:t>
            </w:r>
            <w:r>
              <w:rPr>
                <w:rFonts w:ascii="Neue Haas Grotesk Display Pro 55 Roman;serif" w:hAnsi="Neue Haas Grotesk Display Pro 55 Roman;serif"/>
                <w:b w:val="false"/>
                <w:color w:val="005A64"/>
                <w:sz w:val="8"/>
              </w:rPr>
              <w:t>11</w:t>
            </w:r>
          </w:p>
        </w:tc>
        <w:tc>
          <w:tcPr>
            <w:tcW w:w="2523" w:type="dxa"/>
            <w:gridSpan w:val="3"/>
            <w:tcBorders>
              <w:top w:val="single" w:sz="8" w:space="0" w:color="FFFFFF"/>
              <w:left w:val="single" w:sz="8"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1L MPM</w:t>
            </w:r>
            <w:r>
              <w:rPr>
                <w:rFonts w:ascii="Neue Haas Grotesk Display Pro 55 Roman;serif" w:hAnsi="Neue Haas Grotesk Display Pro 55 Roman;serif"/>
                <w:b w:val="false"/>
                <w:color w:val="005A64"/>
                <w:sz w:val="8"/>
              </w:rPr>
              <w:t>11</w:t>
            </w:r>
          </w:p>
        </w:tc>
        <w:tc>
          <w:tcPr>
            <w:tcW w:w="1051"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 NSCLC</w:t>
            </w:r>
          </w:p>
        </w:tc>
        <w:tc>
          <w:tcPr>
            <w:tcW w:w="1403" w:type="dxa"/>
            <w:gridSpan w:val="3"/>
            <w:tcBorders>
              <w:top w:val="single" w:sz="8" w:space="0" w:color="FFFFFF"/>
              <w:left w:val="single" w:sz="24" w:space="0" w:color="FFFFFF"/>
              <w:right w:val="single" w:sz="8" w:space="0" w:color="FFFFFF"/>
            </w:tcBorders>
            <w:shd w:fill="99BDC1" w:val="clear"/>
            <w:tcMar>
              <w:top w:w="30" w:type="dxa"/>
              <w:bottom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 adv. NSCLC</w:t>
            </w:r>
          </w:p>
        </w:tc>
      </w:tr>
      <w:tr>
        <w:trPr/>
        <w:tc>
          <w:tcPr>
            <w:tcW w:w="1066" w:type="dxa"/>
            <w:gridSpan w:val="3"/>
            <w:tcBorders>
              <w:top w:val="single" w:sz="8" w:space="0" w:color="FFFFFF"/>
              <w:left w:val="single" w:sz="8" w:space="0" w:color="FFFFFF"/>
            </w:tcBorders>
            <w:shd w:fill="9DCAB9"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BNT326/YL202</w:t>
            </w:r>
            <w:r>
              <w:rPr>
                <w:rFonts w:ascii="Neue Haas Grotesk Display Pro 55 Roman;serif" w:hAnsi="Neue Haas Grotesk Display Pro 55 Roman;serif"/>
                <w:b w:val="false"/>
                <w:color w:val="005A64"/>
                <w:sz w:val="8"/>
              </w:rPr>
              <w:t>8</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Multiple solid tumors</w:t>
            </w:r>
          </w:p>
        </w:tc>
        <w:tc>
          <w:tcPr>
            <w:tcW w:w="1269"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Gotistobart</w:t>
            </w:r>
            <w:r>
              <w:rPr>
                <w:rFonts w:ascii="Neue Haas Grotesk Display Pro 55 Roman;serif" w:hAnsi="Neue Haas Grotesk Display Pro 55 Roman;serif"/>
                <w:b w:val="false"/>
                <w:color w:val="005A64"/>
                <w:sz w:val="8"/>
              </w:rPr>
              <w:t>7</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Met. CRPC</w:t>
            </w:r>
          </w:p>
        </w:tc>
        <w:tc>
          <w:tcPr>
            <w:tcW w:w="1776" w:type="dxa"/>
            <w:gridSpan w:val="3"/>
            <w:tcBorders>
              <w:top w:val="single" w:sz="8" w:space="0" w:color="FFFFFF"/>
              <w:left w:val="single" w:sz="8" w:space="0" w:color="FFFFFF"/>
            </w:tcBorders>
            <w:shd w:fill="CDDEE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r>
              <w:rPr>
                <w:color w:val="005A64"/>
              </w:rPr>
              <w:t xml:space="preserve"> </w:t>
            </w:r>
            <w:r>
              <w:rPr>
                <w:rFonts w:ascii="Neue Haas Grotesk Display Pro 55 Roman;serif" w:hAnsi="Neue Haas Grotesk Display Pro 55 Roman;serif"/>
                <w:b w:val="false"/>
                <w:color w:val="005A64"/>
                <w:sz w:val="12"/>
              </w:rPr>
              <w:t>+ Sacituzumab drozuntecan</w:t>
            </w:r>
            <w:r>
              <w:rPr>
                <w:rFonts w:ascii="Neue Haas Grotesk Display Pro 55 Roman;serif" w:hAnsi="Neue Haas Grotesk Display Pro 55 Roman;serif"/>
                <w:b w:val="false"/>
                <w:color w:val="005A64"/>
                <w:sz w:val="8"/>
              </w:rPr>
              <w:t>5</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Multiple solid tumors</w:t>
            </w:r>
            <w:r>
              <w:rPr>
                <w:rFonts w:ascii="Neue Haas Grotesk Display Pro 55 Roman;serif" w:hAnsi="Neue Haas Grotesk Display Pro 55 Roman;serif"/>
                <w:b w:val="false"/>
                <w:color w:val="005A64"/>
                <w:sz w:val="8"/>
              </w:rPr>
              <w:t>4</w:t>
            </w:r>
          </w:p>
        </w:tc>
        <w:tc>
          <w:tcPr>
            <w:tcW w:w="1117" w:type="dxa"/>
            <w:gridSpan w:val="3"/>
            <w:tcBorders>
              <w:top w:val="single" w:sz="8" w:space="0" w:color="FFFFFF"/>
              <w:left w:val="single" w:sz="24" w:space="0" w:color="FFFFFF"/>
            </w:tcBorders>
            <w:shd w:fill="9DCAB9"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BNT326/YL202</w:t>
            </w:r>
            <w:r>
              <w:rPr>
                <w:rFonts w:ascii="Neue Haas Grotesk Display Pro 55 Roman;serif" w:hAnsi="Neue Haas Grotesk Display Pro 55 Roman;serif"/>
                <w:b w:val="false"/>
                <w:color w:val="005A64"/>
                <w:sz w:val="8"/>
              </w:rPr>
              <w:t>8</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Adv./met. BC</w:t>
            </w:r>
            <w:r>
              <w:rPr>
                <w:rFonts w:ascii="Neue Haas Grotesk Display Pro 55 Roman;serif" w:hAnsi="Neue Haas Grotesk Display Pro 55 Roman;serif"/>
                <w:b w:val="false"/>
                <w:color w:val="005A64"/>
                <w:sz w:val="8"/>
              </w:rPr>
              <w:t>.11</w:t>
            </w:r>
          </w:p>
        </w:tc>
        <w:tc>
          <w:tcPr>
            <w:tcW w:w="2523" w:type="dxa"/>
            <w:gridSpan w:val="3"/>
            <w:tcBorders>
              <w:top w:val="single" w:sz="8" w:space="0" w:color="FFFFFF"/>
              <w:left w:val="single" w:sz="8"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2L NEN</w:t>
            </w:r>
            <w:r>
              <w:rPr>
                <w:rFonts w:ascii="Neue Haas Grotesk Display Pro 55 Roman;serif" w:hAnsi="Neue Haas Grotesk Display Pro 55 Roman;serif"/>
                <w:b w:val="false"/>
                <w:color w:val="005A64"/>
                <w:sz w:val="8"/>
              </w:rPr>
              <w:t>11</w:t>
            </w:r>
          </w:p>
        </w:tc>
        <w:tc>
          <w:tcPr>
            <w:tcW w:w="1051" w:type="dxa"/>
            <w:gridSpan w:val="3"/>
            <w:tcBorders>
              <w:top w:val="single" w:sz="8" w:space="0" w:color="FFFFFF"/>
              <w:left w:val="single" w:sz="24"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FFFFFF"/>
              <w:left w:val="single" w:sz="24" w:space="0" w:color="FFFFFF"/>
              <w:right w:val="single" w:sz="8" w:space="0" w:color="FFFFFF"/>
            </w:tcBorders>
            <w:shd w:fill="99BDC1" w:val="clear"/>
            <w:tcMar>
              <w:top w:w="30" w:type="dxa"/>
              <w:bottom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Unresectable Stage III NSCLC</w:t>
            </w:r>
          </w:p>
        </w:tc>
      </w:tr>
      <w:tr>
        <w:trPr/>
        <w:tc>
          <w:tcPr>
            <w:tcW w:w="10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Gotistobart</w:t>
            </w:r>
            <w:r>
              <w:rPr>
                <w:rFonts w:ascii="Neue Haas Grotesk Display Pro 55 Roman;serif" w:hAnsi="Neue Haas Grotesk Display Pro 55 Roman;serif"/>
                <w:b w:val="false"/>
                <w:color w:val="005A64"/>
                <w:sz w:val="8"/>
              </w:rPr>
              <w:t>7</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Multiple solid tumors</w:t>
            </w:r>
          </w:p>
        </w:tc>
        <w:tc>
          <w:tcPr>
            <w:tcW w:w="1776" w:type="dxa"/>
            <w:gridSpan w:val="3"/>
            <w:tcBorders>
              <w:top w:val="single" w:sz="8" w:space="0" w:color="FFFFFF"/>
              <w:left w:val="single" w:sz="8" w:space="0" w:color="FFFFFF"/>
            </w:tcBorders>
            <w:shd w:fill="CDDEE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r>
              <w:rPr>
                <w:color w:val="005A64"/>
              </w:rPr>
              <w:t xml:space="preserve"> </w:t>
            </w:r>
            <w:r>
              <w:rPr>
                <w:rFonts w:ascii="Neue Haas Grotesk Display Pro 55 Roman;serif" w:hAnsi="Neue Haas Grotesk Display Pro 55 Roman;serif"/>
                <w:b w:val="false"/>
                <w:color w:val="005A64"/>
                <w:sz w:val="12"/>
              </w:rPr>
              <w:t>+</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BNT326/YL202</w:t>
            </w:r>
            <w:r>
              <w:rPr>
                <w:rFonts w:ascii="Neue Haas Grotesk Display Pro 55 Roman;serif" w:hAnsi="Neue Haas Grotesk Display Pro 55 Roman;serif"/>
                <w:b w:val="false"/>
                <w:color w:val="005A64"/>
                <w:sz w:val="8"/>
              </w:rPr>
              <w:t>8</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Multiple solid tumors</w:t>
            </w:r>
          </w:p>
        </w:tc>
        <w:tc>
          <w:tcPr>
            <w:tcW w:w="1117"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Gotistobart</w:t>
            </w:r>
            <w:r>
              <w:rPr>
                <w:rFonts w:ascii="Neue Haas Grotesk Display Pro 55 Roman;serif" w:hAnsi="Neue Haas Grotesk Display Pro 55 Roman;serif"/>
                <w:b w:val="false"/>
                <w:color w:val="005A64"/>
                <w:sz w:val="8"/>
              </w:rPr>
              <w:t>7</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PROC</w:t>
            </w:r>
          </w:p>
        </w:tc>
        <w:tc>
          <w:tcPr>
            <w:tcW w:w="2523" w:type="dxa"/>
            <w:gridSpan w:val="3"/>
            <w:tcBorders>
              <w:top w:val="single" w:sz="8" w:space="0" w:color="FFFFFF"/>
              <w:left w:val="single" w:sz="8"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2L adv./met. NSCLC</w:t>
            </w:r>
          </w:p>
        </w:tc>
        <w:tc>
          <w:tcPr>
            <w:tcW w:w="1051" w:type="dxa"/>
            <w:gridSpan w:val="3"/>
            <w:tcBorders>
              <w:top w:val="single" w:sz="8" w:space="0" w:color="FFFFFF"/>
              <w:left w:val="single" w:sz="24"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FFFFFF"/>
              <w:left w:val="single" w:sz="24" w:space="0" w:color="FFFFFF"/>
              <w:right w:val="single" w:sz="8" w:space="0" w:color="FFFFFF"/>
            </w:tcBorders>
            <w:shd w:fill="99BDC1" w:val="clear"/>
            <w:tcMar>
              <w:top w:w="30" w:type="dxa"/>
              <w:bottom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2L SCLC</w:t>
            </w:r>
            <w:r>
              <w:rPr>
                <w:rFonts w:ascii="Neue Haas Grotesk Display Pro 55 Roman;serif" w:hAnsi="Neue Haas Grotesk Display Pro 55 Roman;serif"/>
                <w:b w:val="false"/>
                <w:color w:val="005A64"/>
                <w:sz w:val="8"/>
              </w:rPr>
              <w:t>11</w:t>
            </w:r>
          </w:p>
        </w:tc>
      </w:tr>
      <w:tr>
        <w:trPr/>
        <w:tc>
          <w:tcPr>
            <w:tcW w:w="10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 adv. HCC</w:t>
            </w:r>
          </w:p>
        </w:tc>
        <w:tc>
          <w:tcPr>
            <w:tcW w:w="1776" w:type="dxa"/>
            <w:gridSpan w:val="3"/>
            <w:tcBorders>
              <w:top w:val="single" w:sz="8" w:space="0" w:color="FFFFFF"/>
              <w:left w:val="single" w:sz="8" w:space="0" w:color="FFFFFF"/>
            </w:tcBorders>
            <w:shd w:fill="CDDEE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r>
              <w:rPr>
                <w:color w:val="005A64"/>
              </w:rPr>
              <w:t xml:space="preserve"> </w:t>
            </w:r>
            <w:r>
              <w:rPr>
                <w:rFonts w:ascii="Neue Haas Grotesk Display Pro 55 Roman;serif" w:hAnsi="Neue Haas Grotesk Display Pro 55 Roman;serif"/>
                <w:b w:val="false"/>
                <w:color w:val="005A64"/>
                <w:sz w:val="12"/>
              </w:rPr>
              <w:t>+</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BNT326/YL202</w:t>
            </w:r>
            <w:r>
              <w:rPr>
                <w:rFonts w:ascii="Neue Haas Grotesk Display Pro 55 Roman;serif" w:hAnsi="Neue Haas Grotesk Display Pro 55 Roman;serif"/>
                <w:b w:val="false"/>
                <w:color w:val="005A64"/>
                <w:sz w:val="8"/>
              </w:rPr>
              <w:t>8</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Adv. NSCLC</w:t>
            </w:r>
          </w:p>
        </w:tc>
        <w:tc>
          <w:tcPr>
            <w:tcW w:w="1117"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1L met. CRC</w:t>
            </w:r>
            <w:r>
              <w:rPr>
                <w:rFonts w:ascii="Neue Haas Grotesk Display Pro 55 Roman;serif" w:hAnsi="Neue Haas Grotesk Display Pro 55 Roman;serif"/>
                <w:b w:val="false"/>
                <w:color w:val="005A64"/>
                <w:sz w:val="8"/>
              </w:rPr>
              <w:t>11</w:t>
            </w:r>
          </w:p>
        </w:tc>
        <w:tc>
          <w:tcPr>
            <w:tcW w:w="2523" w:type="dxa"/>
            <w:gridSpan w:val="3"/>
            <w:tcBorders>
              <w:top w:val="single" w:sz="8" w:space="0" w:color="FFFFFF"/>
              <w:left w:val="single" w:sz="8"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1L met. PDAC</w:t>
            </w:r>
            <w:r>
              <w:rPr>
                <w:rFonts w:ascii="Neue Haas Grotesk Display Pro 55 Roman;serif" w:hAnsi="Neue Haas Grotesk Display Pro 55 Roman;serif"/>
                <w:b w:val="false"/>
                <w:color w:val="005A64"/>
                <w:sz w:val="8"/>
              </w:rPr>
              <w:t>11</w:t>
            </w:r>
          </w:p>
        </w:tc>
        <w:tc>
          <w:tcPr>
            <w:tcW w:w="1051" w:type="dxa"/>
            <w:gridSpan w:val="3"/>
            <w:tcBorders>
              <w:top w:val="single" w:sz="8" w:space="0" w:color="FFFFFF"/>
              <w:left w:val="single" w:sz="24"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FFFFFF"/>
              <w:left w:val="single" w:sz="24" w:space="0" w:color="FFFFFF"/>
              <w:right w:val="single" w:sz="8" w:space="0" w:color="FFFFFF"/>
            </w:tcBorders>
            <w:shd w:fill="99BDC1" w:val="clear"/>
            <w:tcMar>
              <w:top w:w="30" w:type="dxa"/>
              <w:bottom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 TNBC</w:t>
            </w:r>
          </w:p>
        </w:tc>
      </w:tr>
      <w:tr>
        <w:trPr/>
        <w:tc>
          <w:tcPr>
            <w:tcW w:w="10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Adv. RCC</w:t>
            </w:r>
          </w:p>
        </w:tc>
        <w:tc>
          <w:tcPr>
            <w:tcW w:w="1776" w:type="dxa"/>
            <w:gridSpan w:val="3"/>
            <w:tcBorders>
              <w:top w:val="single" w:sz="8" w:space="0" w:color="FFFFFF"/>
              <w:left w:val="single" w:sz="8" w:space="0" w:color="FFFFFF"/>
            </w:tcBorders>
            <w:shd w:fill="CDDEE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r>
              <w:rPr>
                <w:color w:val="005A64"/>
              </w:rPr>
              <w:t xml:space="preserve"> </w:t>
            </w:r>
            <w:r>
              <w:rPr>
                <w:rFonts w:ascii="Neue Haas Grotesk Display Pro 55 Roman;serif" w:hAnsi="Neue Haas Grotesk Display Pro 55 Roman;serif"/>
                <w:b w:val="false"/>
                <w:color w:val="005A64"/>
                <w:sz w:val="12"/>
              </w:rPr>
              <w:t>+ Trastuzumab pamirtecan</w:t>
            </w:r>
            <w:r>
              <w:rPr>
                <w:rFonts w:ascii="Neue Haas Grotesk Display Pro 55 Roman;serif" w:hAnsi="Neue Haas Grotesk Display Pro 55 Roman;serif"/>
                <w:b w:val="false"/>
                <w:color w:val="005A64"/>
                <w:sz w:val="8"/>
              </w:rPr>
              <w:t>5</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Adv./met. BC</w:t>
            </w:r>
            <w:r>
              <w:rPr>
                <w:rFonts w:ascii="Neue Haas Grotesk Display Pro 55 Roman;serif" w:hAnsi="Neue Haas Grotesk Display Pro 55 Roman;serif"/>
                <w:b w:val="false"/>
                <w:color w:val="005A64"/>
                <w:sz w:val="8"/>
              </w:rPr>
              <w:t>4</w:t>
            </w:r>
          </w:p>
        </w:tc>
        <w:tc>
          <w:tcPr>
            <w:tcW w:w="1117"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1L ES-SCLC</w:t>
            </w:r>
            <w:r>
              <w:rPr>
                <w:rFonts w:ascii="Neue Haas Grotesk Display Pro 55 Roman;serif" w:hAnsi="Neue Haas Grotesk Display Pro 55 Roman;serif"/>
                <w:b w:val="false"/>
                <w:color w:val="005A64"/>
                <w:sz w:val="8"/>
              </w:rPr>
              <w:t>11</w:t>
            </w:r>
          </w:p>
        </w:tc>
        <w:tc>
          <w:tcPr>
            <w:tcW w:w="2523" w:type="dxa"/>
            <w:gridSpan w:val="3"/>
            <w:tcBorders>
              <w:top w:val="single" w:sz="8" w:space="0" w:color="FFFFFF"/>
              <w:left w:val="single" w:sz="8"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1L/2L adv./met. TNBC</w:t>
            </w:r>
          </w:p>
        </w:tc>
        <w:tc>
          <w:tcPr>
            <w:tcW w:w="1051" w:type="dxa"/>
            <w:gridSpan w:val="3"/>
            <w:tcBorders>
              <w:top w:val="single" w:sz="8" w:space="0" w:color="FFFFFF"/>
              <w:left w:val="single" w:sz="24"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FFFFFF"/>
              <w:left w:val="single" w:sz="24" w:space="0" w:color="FFFFFF"/>
              <w:right w:val="single" w:sz="8" w:space="0" w:color="FFFFFF"/>
            </w:tcBorders>
            <w:shd w:fill="99BDC1" w:val="clear"/>
            <w:tcMar>
              <w:top w:w="30" w:type="dxa"/>
              <w:bottom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1L adv./met.TNBC</w:t>
            </w:r>
            <w:r>
              <w:rPr>
                <w:rFonts w:ascii="Neue Haas Grotesk Display Pro 55 Roman;serif" w:hAnsi="Neue Haas Grotesk Display Pro 55 Roman;serif"/>
                <w:b w:val="false"/>
                <w:color w:val="005A64"/>
                <w:sz w:val="8"/>
              </w:rPr>
              <w:t>11</w:t>
            </w:r>
          </w:p>
        </w:tc>
      </w:tr>
      <w:tr>
        <w:trPr/>
        <w:tc>
          <w:tcPr>
            <w:tcW w:w="10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Multiple solid tumors</w:t>
            </w:r>
            <w:r>
              <w:rPr>
                <w:rFonts w:ascii="Neue Haas Grotesk Display Pro 55 Roman;serif" w:hAnsi="Neue Haas Grotesk Display Pro 55 Roman;serif"/>
                <w:b w:val="false"/>
                <w:color w:val="005A64"/>
                <w:sz w:val="8"/>
              </w:rPr>
              <w:t>11</w:t>
            </w:r>
          </w:p>
        </w:tc>
        <w:tc>
          <w:tcPr>
            <w:tcW w:w="1776" w:type="dxa"/>
            <w:gridSpan w:val="3"/>
            <w:tcBorders>
              <w:top w:val="single" w:sz="8" w:space="0" w:color="FFFFFF"/>
              <w:left w:val="single" w:sz="8" w:space="0" w:color="FFFFFF"/>
            </w:tcBorders>
            <w:shd w:fill="9DCAB9"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Trastuzumab pamirtecan</w:t>
            </w:r>
            <w:r>
              <w:rPr>
                <w:rFonts w:ascii="Neue Haas Grotesk Display Pro 55 Roman;serif" w:hAnsi="Neue Haas Grotesk Display Pro 55 Roman;serif"/>
                <w:b w:val="false"/>
                <w:color w:val="005A64"/>
                <w:sz w:val="8"/>
              </w:rPr>
              <w:t>5</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Multiple solid tumors</w:t>
            </w:r>
          </w:p>
        </w:tc>
        <w:tc>
          <w:tcPr>
            <w:tcW w:w="1117" w:type="dxa"/>
            <w:gridSpan w:val="3"/>
            <w:tcBorders>
              <w:top w:val="single" w:sz="8" w:space="0" w:color="FFFFFF"/>
              <w:left w:val="single" w:sz="24" w:space="0" w:color="FFFFFF"/>
            </w:tcBorders>
            <w:shd w:fill="99BDC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1L/2L+ ES-SCLC</w:t>
            </w:r>
          </w:p>
        </w:tc>
        <w:tc>
          <w:tcPr>
            <w:tcW w:w="2523" w:type="dxa"/>
            <w:gridSpan w:val="3"/>
            <w:tcBorders>
              <w:top w:val="single" w:sz="8" w:space="0" w:color="FFFFFF"/>
              <w:left w:val="single" w:sz="8" w:space="0" w:color="FFFFFF"/>
            </w:tcBorders>
            <w:shd w:fill="CDDEE1"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r>
              <w:rPr>
                <w:color w:val="005A64"/>
              </w:rPr>
              <w:t xml:space="preserve"> </w:t>
            </w:r>
            <w:r>
              <w:rPr>
                <w:rFonts w:ascii="Neue Haas Grotesk Display Pro 55 Roman;serif" w:hAnsi="Neue Haas Grotesk Display Pro 55 Roman;serif"/>
                <w:b w:val="false"/>
                <w:color w:val="005A64"/>
                <w:sz w:val="12"/>
              </w:rPr>
              <w:t>or Sacituzumab drozuntecan</w:t>
            </w:r>
            <w:r>
              <w:rPr>
                <w:rFonts w:ascii="Neue Haas Grotesk Display Pro 55 Roman;serif" w:hAnsi="Neue Haas Grotesk Display Pro 55 Roman;serif"/>
                <w:b w:val="false"/>
                <w:color w:val="005A64"/>
                <w:sz w:val="8"/>
              </w:rPr>
              <w:t>5</w:t>
            </w:r>
            <w:r>
              <w:rPr>
                <w:color w:val="005A64"/>
              </w:rPr>
              <w:t xml:space="preserve"> </w:t>
            </w:r>
            <w:r>
              <w:rPr>
                <w:rFonts w:ascii="Neue Haas Grotesk Display Pro 55 Roman;serif" w:hAnsi="Neue Haas Grotesk Display Pro 55 Roman;serif"/>
                <w:b w:val="false"/>
                <w:color w:val="005A64"/>
                <w:sz w:val="12"/>
              </w:rPr>
              <w:t>+ Elfetabart drozuntecan</w:t>
            </w:r>
            <w:r>
              <w:rPr>
                <w:rFonts w:ascii="Neue Haas Grotesk Display Pro 55 Roman;serif" w:hAnsi="Neue Haas Grotesk Display Pro 55 Roman;serif"/>
                <w:b w:val="false"/>
                <w:color w:val="005A64"/>
                <w:sz w:val="8"/>
              </w:rPr>
              <w:t>5</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Multiple solid tumors</w:t>
            </w:r>
            <w:r>
              <w:rPr>
                <w:rFonts w:ascii="Neue Haas Grotesk Display Pro 55 Roman;serif" w:hAnsi="Neue Haas Grotesk Display Pro 55 Roman;serif"/>
                <w:b w:val="false"/>
                <w:color w:val="005A64"/>
                <w:sz w:val="8"/>
              </w:rPr>
              <w:t>4</w:t>
            </w:r>
          </w:p>
        </w:tc>
        <w:tc>
          <w:tcPr>
            <w:tcW w:w="1051" w:type="dxa"/>
            <w:gridSpan w:val="3"/>
            <w:tcBorders>
              <w:top w:val="single" w:sz="8" w:space="0" w:color="FFFFFF"/>
              <w:left w:val="single" w:sz="24"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FFFFFF"/>
              <w:left w:val="single" w:sz="24" w:space="0" w:color="FFFFFF"/>
              <w:right w:val="single" w:sz="8" w:space="0" w:color="FFFFFF"/>
            </w:tcBorders>
            <w:shd w:fill="9DCAB9" w:val="clear"/>
            <w:tcMar>
              <w:top w:w="30" w:type="dxa"/>
              <w:bottom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Trastuzumab pamirtecan</w:t>
            </w:r>
            <w:r>
              <w:rPr>
                <w:rFonts w:ascii="Neue Haas Grotesk Display Pro 55 Roman;serif" w:hAnsi="Neue Haas Grotesk Display Pro 55 Roman;serif"/>
                <w:b w:val="false"/>
                <w:color w:val="005A64"/>
                <w:sz w:val="8"/>
              </w:rPr>
              <w:t>5</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Met. BC</w:t>
            </w:r>
          </w:p>
        </w:tc>
      </w:tr>
      <w:tr>
        <w:trPr/>
        <w:tc>
          <w:tcPr>
            <w:tcW w:w="106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FFFFFF"/>
              <w:left w:val="single" w:sz="24" w:space="0" w:color="FFFFFF"/>
              <w:bottom w:val="single" w:sz="8" w:space="0" w:color="FFFFFF"/>
            </w:tcBorders>
            <w:shd w:fill="99BDC1" w:val="clear"/>
            <w:tcMar>
              <w:top w:w="30" w:type="dxa"/>
              <w:bottom w:w="3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1L adv./met. TNBC</w:t>
            </w:r>
            <w:r>
              <w:rPr>
                <w:rFonts w:ascii="Neue Haas Grotesk Display Pro 55 Roman;serif" w:hAnsi="Neue Haas Grotesk Display Pro 55 Roman;serif"/>
                <w:b w:val="false"/>
                <w:color w:val="005A64"/>
                <w:sz w:val="8"/>
              </w:rPr>
              <w:t>11</w:t>
            </w:r>
          </w:p>
        </w:tc>
        <w:tc>
          <w:tcPr>
            <w:tcW w:w="177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FFFFFF"/>
              <w:left w:val="single" w:sz="24" w:space="0" w:color="FFFFFF"/>
              <w:bottom w:val="single" w:sz="8" w:space="0" w:color="FFFFFF"/>
            </w:tcBorders>
            <w:shd w:fill="99BDC1" w:val="clear"/>
            <w:tcMar>
              <w:top w:w="30" w:type="dxa"/>
              <w:bottom w:w="3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Pumitamig</w:t>
            </w:r>
            <w:r>
              <w:rPr>
                <w:rFonts w:ascii="Neue Haas Grotesk Display Pro 55 Roman;serif" w:hAnsi="Neue Haas Grotesk Display Pro 55 Roman;serif"/>
                <w:b w:val="false"/>
                <w:color w:val="005A64"/>
                <w:sz w:val="8"/>
              </w:rPr>
              <w:t>3</w:t>
            </w:r>
          </w:p>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2L ES-SCLC</w:t>
            </w:r>
            <w:r>
              <w:rPr>
                <w:rFonts w:ascii="Neue Haas Grotesk Display Pro 55 Roman;serif" w:hAnsi="Neue Haas Grotesk Display Pro 55 Roman;serif"/>
                <w:b w:val="false"/>
                <w:color w:val="005A64"/>
                <w:sz w:val="8"/>
              </w:rPr>
              <w:t>11</w:t>
            </w:r>
          </w:p>
        </w:tc>
        <w:tc>
          <w:tcPr>
            <w:tcW w:w="2523" w:type="dxa"/>
            <w:gridSpan w:val="3"/>
            <w:tcBorders>
              <w:top w:val="single" w:sz="8" w:space="0" w:color="FFFFFF"/>
              <w:left w:val="single" w:sz="24"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FFFFFF"/>
              <w:left w:val="single" w:sz="24"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FFFFFF"/>
              <w:left w:val="single" w:sz="24" w:space="0" w:color="FFFFFF"/>
              <w:bottom w:val="single" w:sz="8" w:space="0" w:color="FFFFFF"/>
              <w:right w:val="single" w:sz="8" w:space="0" w:color="FFFFFF"/>
            </w:tcBorders>
            <w:shd w:fill="9DCAB9" w:val="clear"/>
            <w:tcMar>
              <w:top w:w="30" w:type="dxa"/>
              <w:bottom w:w="3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Trastuzumab pamirtecan</w:t>
            </w:r>
            <w:r>
              <w:rPr>
                <w:rFonts w:ascii="Neue Haas Grotesk Display Pro 55 Roman;serif" w:hAnsi="Neue Haas Grotesk Display Pro 55 Roman;serif"/>
                <w:b w:val="false"/>
                <w:color w:val="005A64"/>
                <w:sz w:val="8"/>
              </w:rPr>
              <w:t>5</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2L EC</w:t>
            </w:r>
          </w:p>
        </w:tc>
      </w:tr>
    </w:tbl>
    <w:tbl>
      <w:tblPr>
        <w:tblW w:w="9587" w:type="dxa"/>
        <w:jc w:val="left"/>
        <w:tblInd w:w="0" w:type="dxa"/>
        <w:tblLayout w:type="fixed"/>
        <w:tblCellMar>
          <w:top w:w="28" w:type="dxa"/>
          <w:left w:w="28" w:type="dxa"/>
          <w:bottom w:w="28" w:type="dxa"/>
          <w:right w:w="28" w:type="dxa"/>
        </w:tblCellMar>
      </w:tblPr>
      <w:tblGrid>
        <w:gridCol w:w="815"/>
        <w:gridCol w:w="716"/>
        <w:gridCol w:w="718"/>
        <w:gridCol w:w="109"/>
        <w:gridCol w:w="109"/>
        <w:gridCol w:w="109"/>
        <w:gridCol w:w="109"/>
        <w:gridCol w:w="109"/>
        <w:gridCol w:w="109"/>
        <w:gridCol w:w="384"/>
        <w:gridCol w:w="384"/>
        <w:gridCol w:w="386"/>
        <w:gridCol w:w="109"/>
        <w:gridCol w:w="109"/>
        <w:gridCol w:w="109"/>
        <w:gridCol w:w="109"/>
        <w:gridCol w:w="109"/>
        <w:gridCol w:w="109"/>
        <w:gridCol w:w="639"/>
        <w:gridCol w:w="639"/>
        <w:gridCol w:w="641"/>
        <w:gridCol w:w="109"/>
        <w:gridCol w:w="109"/>
        <w:gridCol w:w="109"/>
        <w:gridCol w:w="109"/>
        <w:gridCol w:w="109"/>
        <w:gridCol w:w="109"/>
        <w:gridCol w:w="534"/>
        <w:gridCol w:w="534"/>
        <w:gridCol w:w="536"/>
        <w:gridCol w:w="109"/>
        <w:gridCol w:w="109"/>
        <w:gridCol w:w="109"/>
        <w:gridCol w:w="109"/>
        <w:gridCol w:w="109"/>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Next generation immunomodulator</w:t>
            </w:r>
          </w:p>
        </w:tc>
        <w:tc>
          <w:tcPr>
            <w:tcW w:w="327" w:type="dxa"/>
            <w:gridSpan w:val="3"/>
            <w:tcBorders/>
            <w:shd w:fill="99BDC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Targeted therapy</w:t>
            </w:r>
          </w:p>
        </w:tc>
        <w:tc>
          <w:tcPr>
            <w:tcW w:w="327" w:type="dxa"/>
            <w:gridSpan w:val="3"/>
            <w:tcBorders/>
            <w:shd w:fill="9DCA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mRNA cancer immunotherapy</w:t>
            </w:r>
          </w:p>
        </w:tc>
        <w:tc>
          <w:tcPr>
            <w:tcW w:w="327" w:type="dxa"/>
            <w:gridSpan w:val="3"/>
            <w:tcBorders/>
            <w:shd w:fill="DCDD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Novel-novel combination</w:t>
            </w:r>
          </w:p>
        </w:tc>
        <w:tc>
          <w:tcPr>
            <w:tcW w:w="327" w:type="dxa"/>
            <w:gridSpan w:val="3"/>
            <w:tcBorders/>
            <w:shd w:fill="CDDE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40" w:after="160"/>
        <w:jc w:val="left"/>
        <w:rPr/>
      </w:pPr>
      <w:r>
        <w:rPr>
          <w:rFonts w:ascii="Neue Haas Grotesk Display Pro 55 Roman;serif" w:hAnsi="Neue Haas Grotesk Display Pro 55 Roman;serif"/>
          <w:b w:val="false"/>
          <w:color w:val="005A64"/>
          <w:sz w:val="22"/>
        </w:rPr>
        <w:t>Infectious Diseases</w:t>
      </w:r>
      <w:r>
        <w:rPr>
          <w:rFonts w:ascii="Neue Haas Grotesk Display Pro 55 Roman;serif" w:hAnsi="Neue Haas Grotesk Display Pro 55 Roman;serif"/>
          <w:b w:val="false"/>
          <w:color w:val="005A64"/>
          <w:sz w:val="14"/>
        </w:rPr>
        <w:t>1,2</w:t>
      </w:r>
    </w:p>
    <w:tbl>
      <w:tblPr>
        <w:tblW w:w="5579" w:type="dxa"/>
        <w:jc w:val="left"/>
        <w:tblInd w:w="0" w:type="dxa"/>
        <w:tblLayout w:type="fixed"/>
        <w:tblCellMar>
          <w:top w:w="28" w:type="dxa"/>
          <w:left w:w="28" w:type="dxa"/>
          <w:bottom w:w="28" w:type="dxa"/>
          <w:right w:w="28" w:type="dxa"/>
        </w:tblCellMar>
      </w:tblPr>
      <w:tblGrid>
        <w:gridCol w:w="363"/>
        <w:gridCol w:w="319"/>
        <w:gridCol w:w="322"/>
        <w:gridCol w:w="709"/>
        <w:gridCol w:w="709"/>
        <w:gridCol w:w="712"/>
        <w:gridCol w:w="329"/>
        <w:gridCol w:w="329"/>
        <w:gridCol w:w="331"/>
        <w:gridCol w:w="426"/>
        <w:gridCol w:w="426"/>
        <w:gridCol w:w="604"/>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080509"/>
                <w:sz w:val="20"/>
              </w:rPr>
            </w:pPr>
            <w:r>
              <w:rPr>
                <w:rFonts w:ascii="Neue Haas Grotesk Display Pro 65 Medium;serif" w:hAnsi="Neue Haas Grotesk Display Pro 65 Medium;serif"/>
                <w:b/>
                <w:color w:val="080509"/>
                <w:sz w:val="20"/>
              </w:rPr>
              <w:t>Phase 1</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080509"/>
                <w:sz w:val="20"/>
              </w:rPr>
            </w:pPr>
            <w:r>
              <w:rPr>
                <w:rFonts w:ascii="Neue Haas Grotesk Display Pro 65 Medium;serif" w:hAnsi="Neue Haas Grotesk Display Pro 65 Medium;serif"/>
                <w:b/>
                <w:color w:val="080509"/>
                <w:sz w:val="20"/>
              </w:rPr>
              <w:t>Phase 1/2</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080509"/>
                <w:sz w:val="20"/>
              </w:rPr>
            </w:pPr>
            <w:r>
              <w:rPr>
                <w:rFonts w:ascii="Neue Haas Grotesk Display Pro 65 Medium;serif" w:hAnsi="Neue Haas Grotesk Display Pro 65 Medium;serif"/>
                <w:b/>
                <w:color w:val="080509"/>
                <w:sz w:val="20"/>
              </w:rPr>
              <w:t>Phase 2</w:t>
            </w:r>
          </w:p>
        </w:tc>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080509"/>
                <w:sz w:val="20"/>
              </w:rPr>
            </w:pPr>
            <w:r>
              <w:rPr>
                <w:rFonts w:ascii="Neue Haas Grotesk Display Pro 65 Medium;serif" w:hAnsi="Neue Haas Grotesk Display Pro 65 Medium;serif"/>
                <w:b/>
                <w:color w:val="080509"/>
                <w:sz w:val="20"/>
              </w:rPr>
              <w:t>Commercial</w:t>
            </w:r>
          </w:p>
        </w:tc>
      </w:tr>
      <w:tr>
        <w:trPr/>
        <w:tc>
          <w:tcPr>
            <w:tcW w:w="1004" w:type="dxa"/>
            <w:gridSpan w:val="3"/>
            <w:tcBorders>
              <w:top w:val="single" w:sz="8" w:space="0" w:color="0F7F40"/>
            </w:tcBorders>
            <w:shd w:fill="DCDDB2" w:val="clear"/>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BNT163</w:t>
            </w:r>
            <w:r>
              <w:rPr>
                <w:rFonts w:ascii="Neue Haas Grotesk Display Pro 55 Roman;serif" w:hAnsi="Neue Haas Grotesk Display Pro 55 Roman;serif"/>
                <w:b w:val="false"/>
                <w:color w:val="005A64"/>
                <w:sz w:val="8"/>
              </w:rPr>
              <w:t>12</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HSV</w:t>
            </w:r>
          </w:p>
        </w:tc>
        <w:tc>
          <w:tcPr>
            <w:tcW w:w="2130" w:type="dxa"/>
            <w:gridSpan w:val="3"/>
            <w:tcBorders>
              <w:top w:val="single" w:sz="8" w:space="0" w:color="0F7F40"/>
              <w:left w:val="single" w:sz="24" w:space="0" w:color="FFFFFF"/>
            </w:tcBorders>
            <w:shd w:fill="DCDDB2"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BNT162 + BNT161</w:t>
            </w:r>
            <w:r>
              <w:rPr>
                <w:rFonts w:ascii="Neue Haas Grotesk Display Pro 55 Roman;serif" w:hAnsi="Neue Haas Grotesk Display Pro 55 Roman;serif"/>
                <w:b w:val="false"/>
                <w:color w:val="005A64"/>
                <w:sz w:val="8"/>
              </w:rPr>
              <w:t>13</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COVID-19 - Influenza combination</w:t>
            </w:r>
          </w:p>
        </w:tc>
        <w:tc>
          <w:tcPr>
            <w:tcW w:w="989" w:type="dxa"/>
            <w:gridSpan w:val="3"/>
            <w:tcBorders>
              <w:top w:val="single" w:sz="8" w:space="0" w:color="0F7F40"/>
              <w:left w:val="single" w:sz="24" w:space="0" w:color="FFFFFF"/>
            </w:tcBorders>
            <w:shd w:fill="DCDDB2"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BNT166</w:t>
            </w:r>
            <w:r>
              <w:rPr>
                <w:rFonts w:ascii="Neue Haas Grotesk Display Pro 55 Roman;serif" w:hAnsi="Neue Haas Grotesk Display Pro 55 Roman;serif"/>
                <w:b w:val="false"/>
                <w:color w:val="005A64"/>
                <w:sz w:val="8"/>
              </w:rPr>
              <w:t>16</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Mpox</w:t>
            </w:r>
          </w:p>
        </w:tc>
        <w:tc>
          <w:tcPr>
            <w:tcW w:w="1456" w:type="dxa"/>
            <w:gridSpan w:val="3"/>
            <w:tcBorders>
              <w:top w:val="single" w:sz="8" w:space="0" w:color="0F7F40"/>
              <w:left w:val="single" w:sz="24" w:space="0" w:color="FFFFFF"/>
            </w:tcBorders>
            <w:shd w:fill="DCDDB2"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BNT162</w:t>
            </w:r>
            <w:r>
              <w:rPr>
                <w:rFonts w:ascii="Neue Haas Grotesk Display Pro 55 Roman;serif" w:hAnsi="Neue Haas Grotesk Display Pro 55 Roman;serif"/>
                <w:b w:val="false"/>
                <w:color w:val="005A64"/>
                <w:sz w:val="8"/>
              </w:rPr>
              <w:t>13,14</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COVID-19</w:t>
            </w:r>
          </w:p>
        </w:tc>
      </w:tr>
      <w:tr>
        <w:trPr/>
        <w:tc>
          <w:tcPr>
            <w:tcW w:w="1004" w:type="dxa"/>
            <w:gridSpan w:val="3"/>
            <w:tcBorders/>
            <w:shd w:fill="9DCAB9" w:val="clear"/>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BNT351</w:t>
              <w:br/>
              <w:t>HIV</w:t>
            </w:r>
          </w:p>
        </w:tc>
        <w:tc>
          <w:tcPr>
            <w:tcW w:w="2130" w:type="dxa"/>
            <w:gridSpan w:val="3"/>
            <w:tcBorders>
              <w:top w:val="single" w:sz="8" w:space="0" w:color="FFFFFF"/>
              <w:left w:val="single" w:sz="24" w:space="0" w:color="FFFFFF"/>
            </w:tcBorders>
            <w:shd w:fill="DCDDB2" w:val="clear"/>
            <w:tcMar>
              <w:top w:w="3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2"/>
              </w:rPr>
              <w:t>BNT164</w:t>
            </w:r>
            <w:r>
              <w:rPr>
                <w:rFonts w:ascii="Neue Haas Grotesk Display Pro 55 Roman;serif" w:hAnsi="Neue Haas Grotesk Display Pro 55 Roman;serif"/>
                <w:b w:val="false"/>
                <w:color w:val="005A64"/>
                <w:sz w:val="8"/>
              </w:rPr>
              <w:t>15</w:t>
            </w:r>
          </w:p>
          <w:p>
            <w:pPr>
              <w:pStyle w:val="TableContents"/>
              <w:bidi w:val="0"/>
              <w:spacing w:lineRule="auto" w:line="336" w:before="0" w:after="80"/>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Tuberculosis</w:t>
            </w:r>
          </w:p>
        </w:tc>
        <w:tc>
          <w:tcPr>
            <w:tcW w:w="989" w:type="dxa"/>
            <w:gridSpan w:val="3"/>
            <w:tcBorders>
              <w:left w:val="single" w:sz="24"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FFFFFF"/>
              <w:left w:val="single" w:sz="24" w:space="0" w:color="FFFFFF"/>
              <w:right w:val="single" w:sz="24" w:space="0" w:color="FFFFFF"/>
            </w:tcBorders>
            <w:tcMar>
              <w:bottom w:w="0" w:type="dxa"/>
            </w:tcMar>
            <w:vAlign w:val="center"/>
          </w:tcPr>
          <w:p>
            <w:pPr>
              <w:pStyle w:val="TableContents"/>
              <w:bidi w:val="0"/>
              <w:spacing w:before="0" w:after="283"/>
              <w:jc w:val="left"/>
              <w:rPr>
                <w:sz w:val="4"/>
                <w:szCs w:val="4"/>
              </w:rPr>
            </w:pPr>
            <w:r>
              <w:rPr>
                <w:sz w:val="4"/>
                <w:szCs w:val="4"/>
              </w:rPr>
            </w:r>
          </w:p>
        </w:tc>
      </w:tr>
    </w:tbl>
    <w:tbl>
      <w:tblPr>
        <w:tblW w:w="2480"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09"/>
        <w:gridCol w:w="109"/>
        <w:gridCol w:w="109"/>
        <w:gridCol w:w="160"/>
        <w:gridCol w:w="160"/>
        <w:gridCol w:w="161"/>
        <w:gridCol w:w="109"/>
        <w:gridCol w:w="109"/>
        <w:gridCol w:w="109"/>
        <w:gridCol w:w="109"/>
        <w:gridCol w:w="109"/>
        <w:gridCol w:w="1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Antibody</w:t>
            </w:r>
          </w:p>
        </w:tc>
        <w:tc>
          <w:tcPr>
            <w:tcW w:w="327" w:type="dxa"/>
            <w:gridSpan w:val="3"/>
            <w:tcBorders/>
            <w:shd w:fill="9DCA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2"/>
              </w:rPr>
            </w:pPr>
            <w:r>
              <w:rPr>
                <w:rFonts w:ascii="Neue Haas Grotesk Display Pro 55 Roman;serif" w:hAnsi="Neue Haas Grotesk Display Pro 55 Roman;serif"/>
                <w:b w:val="false"/>
                <w:color w:val="005A64"/>
                <w:sz w:val="12"/>
              </w:rPr>
              <w:t>mRNA</w:t>
            </w:r>
          </w:p>
        </w:tc>
        <w:tc>
          <w:tcPr>
            <w:tcW w:w="327" w:type="dxa"/>
            <w:gridSpan w:val="3"/>
            <w:tcBorders/>
            <w:shd w:fill="DCDD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(1)</w:t>
      </w:r>
      <w:r>
        <w:rPr>
          <w:color w:val="107072"/>
        </w:rPr>
        <w:t>    </w:t>
      </w:r>
      <w:r>
        <w:rPr>
          <w:rFonts w:ascii="Neue Haas Grotesk Display Pro 55 Roman;serif" w:hAnsi="Neue Haas Grotesk Display Pro 55 Roman;serif"/>
          <w:b w:val="false"/>
          <w:color w:val="107072"/>
          <w:sz w:val="15"/>
        </w:rPr>
        <w:t>For further details about BioNTech’s rights, see elsewhere in this Quarterly Report.</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(2)</w:t>
      </w:r>
      <w:r>
        <w:rPr>
          <w:color w:val="107072"/>
        </w:rPr>
        <w:t>    </w:t>
      </w:r>
      <w:r>
        <w:rPr>
          <w:rFonts w:ascii="Neue Haas Grotesk Display Pro 55 Roman;serif" w:hAnsi="Neue Haas Grotesk Display Pro 55 Roman;serif"/>
          <w:b w:val="false"/>
          <w:color w:val="107072"/>
          <w:sz w:val="15"/>
        </w:rPr>
        <w:t>Abbreviations are defined in the corresponding trial descriptions.</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(3)</w:t>
      </w:r>
      <w:r>
        <w:rPr>
          <w:color w:val="107072"/>
        </w:rPr>
        <w:t>    </w:t>
      </w:r>
      <w:r>
        <w:rPr>
          <w:rFonts w:ascii="Neue Haas Grotesk Display Pro 55 Roman;serif" w:hAnsi="Neue Haas Grotesk Display Pro 55 Roman;serif"/>
          <w:b w:val="false"/>
          <w:color w:val="107072"/>
          <w:sz w:val="15"/>
        </w:rPr>
        <w:t>Partnered with Bristol Myers Squibb.</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(4)</w:t>
      </w:r>
      <w:r>
        <w:rPr>
          <w:color w:val="107072"/>
        </w:rPr>
        <w:t>    </w:t>
      </w:r>
      <w:r>
        <w:rPr>
          <w:rFonts w:ascii="Neue Haas Grotesk Display Pro 55 Roman;serif" w:hAnsi="Neue Haas Grotesk Display Pro 55 Roman;serif"/>
          <w:b w:val="false"/>
          <w:color w:val="107072"/>
          <w:sz w:val="15"/>
        </w:rPr>
        <w:t>Trial is currently being conducted by or on behalf of BioNTech. Bristol Myers Squibb holds co-exclusive rights to pumitamig.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998220"/>
                <wp:effectExtent l="0" t="0" r="0" b="0"/>
                <wp:wrapNone/>
                <wp:docPr id="104" name="Frame3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0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6" descr=""/>
                          <pic:cNvPicPr>
                            <a:picLocks noChangeAspect="1" noChangeArrowheads="1"/>
                          </pic:cNvPicPr>
                        </pic:nvPicPr>
                        <pic:blipFill>
                          <a:blip r:embed="rId6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0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7" descr=""/>
                          <pic:cNvPicPr>
                            <a:picLocks noChangeAspect="1" noChangeArrowheads="1"/>
                          </pic:cNvPicPr>
                        </pic:nvPicPr>
                        <pic:blipFill>
                          <a:blip r:embed="rId6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(5)</w:t>
      </w:r>
      <w:r>
        <w:rPr>
          <w:color w:val="107072"/>
        </w:rPr>
        <w:t>    </w:t>
      </w:r>
      <w:r>
        <w:rPr>
          <w:rFonts w:ascii="Neue Haas Grotesk Display Pro 55 Roman;serif" w:hAnsi="Neue Haas Grotesk Display Pro 55 Roman;serif"/>
          <w:b w:val="false"/>
          <w:color w:val="107072"/>
          <w:sz w:val="15"/>
        </w:rPr>
        <w:t>Partnered with DualityBio.</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(6)</w:t>
      </w:r>
      <w:r>
        <w:rPr>
          <w:color w:val="107072"/>
        </w:rPr>
        <w:t>    </w:t>
      </w:r>
      <w:r>
        <w:rPr>
          <w:rFonts w:ascii="Neue Haas Grotesk Display Pro 55 Roman;serif" w:hAnsi="Neue Haas Grotesk Display Pro 55 Roman;serif"/>
          <w:b w:val="false"/>
          <w:color w:val="107072"/>
          <w:sz w:val="15"/>
        </w:rPr>
        <w:t>Partnered with Genentech, a member of the Roche Group.</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(7)</w:t>
      </w:r>
      <w:r>
        <w:rPr>
          <w:color w:val="107072"/>
        </w:rPr>
        <w:t>    </w:t>
      </w:r>
      <w:r>
        <w:rPr>
          <w:rFonts w:ascii="Neue Haas Grotesk Display Pro 55 Roman;serif" w:hAnsi="Neue Haas Grotesk Display Pro 55 Roman;serif"/>
          <w:b w:val="false"/>
          <w:color w:val="107072"/>
          <w:sz w:val="15"/>
        </w:rPr>
        <w:t>Partnered with OncoC4.</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(8)</w:t>
      </w:r>
      <w:r>
        <w:rPr>
          <w:color w:val="107072"/>
        </w:rPr>
        <w:t>    </w:t>
      </w:r>
      <w:r>
        <w:rPr>
          <w:rFonts w:ascii="Neue Haas Grotesk Display Pro 55 Roman;serif" w:hAnsi="Neue Haas Grotesk Display Pro 55 Roman;serif"/>
          <w:b w:val="false"/>
          <w:color w:val="107072"/>
          <w:sz w:val="15"/>
        </w:rPr>
        <w:t>Partnered with MediLink Therapeutics.</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(9)</w:t>
      </w:r>
      <w:r>
        <w:rPr>
          <w:color w:val="107072"/>
        </w:rPr>
        <w:t>    </w:t>
      </w:r>
      <w:r>
        <w:rPr>
          <w:rFonts w:ascii="Neue Haas Grotesk Display Pro 55 Roman;serif" w:hAnsi="Neue Haas Grotesk Display Pro 55 Roman;serif"/>
          <w:b w:val="false"/>
          <w:color w:val="107072"/>
          <w:sz w:val="15"/>
        </w:rPr>
        <w:t>Partnered with Genmab.</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(10)</w:t>
      </w:r>
      <w:r>
        <w:rPr>
          <w:color w:val="107072"/>
        </w:rPr>
        <w:t>    </w:t>
      </w:r>
      <w:r>
        <w:rPr>
          <w:rFonts w:ascii="Neue Haas Grotesk Display Pro 55 Roman;serif" w:hAnsi="Neue Haas Grotesk Display Pro 55 Roman;serif"/>
          <w:b w:val="false"/>
          <w:color w:val="107072"/>
          <w:sz w:val="15"/>
        </w:rPr>
        <w:t>In collaboration with Regeneron.</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(11)</w:t>
      </w:r>
      <w:r>
        <w:rPr>
          <w:color w:val="107072"/>
        </w:rPr>
        <w:t>    </w:t>
      </w:r>
      <w:r>
        <w:rPr>
          <w:rFonts w:ascii="Neue Haas Grotesk Display Pro 55 Roman;serif" w:hAnsi="Neue Haas Grotesk Display Pro 55 Roman;serif"/>
          <w:b w:val="false"/>
          <w:color w:val="107072"/>
          <w:sz w:val="15"/>
        </w:rPr>
        <w:t>Trial ongoing in China only.</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(12)</w:t>
      </w:r>
      <w:r>
        <w:rPr>
          <w:color w:val="107072"/>
        </w:rPr>
        <w:t>    </w:t>
      </w:r>
      <w:r>
        <w:rPr>
          <w:rFonts w:ascii="Neue Haas Grotesk Display Pro 55 Roman;serif" w:hAnsi="Neue Haas Grotesk Display Pro 55 Roman;serif"/>
          <w:b w:val="false"/>
          <w:color w:val="107072"/>
          <w:sz w:val="15"/>
        </w:rPr>
        <w:t>Partnered with University of Pennsylvania.</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(13)</w:t>
      </w:r>
      <w:r>
        <w:rPr>
          <w:color w:val="107072"/>
        </w:rPr>
        <w:t>    </w:t>
      </w:r>
      <w:r>
        <w:rPr>
          <w:rFonts w:ascii="Neue Haas Grotesk Display Pro 55 Roman;serif" w:hAnsi="Neue Haas Grotesk Display Pro 55 Roman;serif"/>
          <w:b w:val="false"/>
          <w:color w:val="107072"/>
          <w:sz w:val="15"/>
        </w:rPr>
        <w:t>Partnered with Pfizer.</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(14)</w:t>
      </w:r>
      <w:r>
        <w:rPr>
          <w:color w:val="107072"/>
        </w:rPr>
        <w:t>    </w:t>
      </w:r>
      <w:r>
        <w:rPr>
          <w:rFonts w:ascii="Neue Haas Grotesk Display Pro 55 Roman;serif" w:hAnsi="Neue Haas Grotesk Display Pro 55 Roman;serif"/>
          <w:b w:val="false"/>
          <w:color w:val="107072"/>
          <w:sz w:val="15"/>
        </w:rPr>
        <w:t>Partnered with Fosun Pharma.</w:t>
      </w:r>
    </w:p>
    <w:p>
      <w:pPr>
        <w:pStyle w:val="TextBody"/>
        <w:bidi w:val="0"/>
        <w:spacing w:lineRule="auto" w:line="288" w:before="0" w:after="80"/>
        <w:ind w:left="0" w:right="0" w:hanging="198"/>
        <w:jc w:val="both"/>
        <w:rPr/>
      </w:pPr>
      <w:r>
        <w:rPr>
          <w:rFonts w:ascii="Neue Haas Grotesk Display Pro 55 Roman;serif" w:hAnsi="Neue Haas Grotesk Display Pro 55 Roman;serif"/>
          <w:b w:val="false"/>
          <w:color w:val="107072"/>
          <w:sz w:val="10"/>
        </w:rPr>
        <w:t>(15)</w:t>
      </w:r>
      <w:r>
        <w:rPr>
          <w:color w:val="107072"/>
        </w:rPr>
        <w:t>    </w:t>
      </w:r>
      <w:r>
        <w:rPr>
          <w:rFonts w:ascii="Neue Haas Grotesk Display Pro 55 Roman;serif" w:hAnsi="Neue Haas Grotesk Display Pro 55 Roman;serif"/>
          <w:b w:val="false"/>
          <w:color w:val="107072"/>
          <w:sz w:val="15"/>
        </w:rPr>
        <w:t>Funded by the Gates Foundation.</w:t>
      </w:r>
    </w:p>
    <w:p>
      <w:pPr>
        <w:pStyle w:val="TextBody"/>
        <w:bidi w:val="0"/>
        <w:spacing w:lineRule="auto" w:line="288" w:before="0" w:after="320"/>
        <w:ind w:left="0" w:right="0" w:hanging="198"/>
        <w:jc w:val="both"/>
        <w:rPr/>
      </w:pPr>
      <w:r>
        <w:rPr>
          <w:rFonts w:ascii="Neue Haas Grotesk Display Pro 55 Roman;serif" w:hAnsi="Neue Haas Grotesk Display Pro 55 Roman;serif"/>
          <w:b w:val="false"/>
          <w:color w:val="107072"/>
          <w:sz w:val="10"/>
        </w:rPr>
        <w:t>(16)</w:t>
      </w:r>
      <w:r>
        <w:rPr>
          <w:color w:val="107072"/>
        </w:rPr>
        <w:t>    </w:t>
      </w:r>
      <w:r>
        <w:rPr>
          <w:rFonts w:ascii="Neue Haas Grotesk Display Pro 55 Roman;serif" w:hAnsi="Neue Haas Grotesk Display Pro 55 Roman;serif"/>
          <w:b w:val="false"/>
          <w:color w:val="107072"/>
          <w:sz w:val="15"/>
        </w:rPr>
        <w:t>Funded by the Coalition for Epidemic Preparedness Innovations (CEPI).</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 xml:space="preserve">A. Oncology Programs </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1. Pumitamig (BNT327/BMS986545), a Bispecific Immunomodulator Candidate Targeting PD-L1 and VEGF-A</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Pumitamig is a bispecific immunomodulator candidate targeting both PD-L1 and VEGF-A. Pumitamig is currently being evaluated in multiple Phase 2 and Phase 3 global and China-only clinical trials to assess its efficacy and safety as monotherapy or in combination with chemotherapy, ADCs, other immunomodulators or mRNA-based cancer immunotherapies in various indications. We and our partner, BMS, currently have seven global registrational trials for pumitamig ongoing. Pumitamig is also being evaluated in combination with next-generation ADC candidates trastuzumab pamirtecan (BNT323/DB-1303), elfetabart drozuntecan (BNT324/DB-1311), sacituzumab drozuntecan (BNT325/DB-1305), BNT326/YL202, BNT3212, and in combination with bispecific antibody candidates BNT314/GEN1059 and BNT3213. In addition, Pumitamig is being evaluated in a growing number of third-party-led combination trials alongside both approved and investigational agents, including a BMS-led clinical trial evaluating the combination of pumitamig and BMS' partnered asset izalontamab brengitecan (iza-bren).</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 xml:space="preserve">ROSETTA Lung-01 Phase 3 Clinical Trial in First-Line Extensive-Stage Small Cell Lung Cancer, or ES-SCLC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global Phase 3 clinical trial (NCT06712355) is being conducted to evaluate pumitamig in combination with chemotherapy compared to atezolizumab in combination with chemotherapy as a first-line treatment for patients with ES-SCLC.</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3 Clinical Trial in Second-Line Small-Cell Lung Cancer, or 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3 clinical trial (NCT06616532) is being conducted in China to evaluate pumitamig in combination with chemotherapy compared to investigator’s choice chemotherapy as a second-line treatment for patients with SCLC. Enrollment has been terminated and follow-up of patients will continue.</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ES-SCLC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global Phase 2 clinical trial (NCT06449209) is being conducted to evaluate pumitamig in combination with chemotherapy in patients with untreated ES-SCLC and in patients with SCLC that progressed after first- or second-line treatment. The trial is fully enrolled and treatment is ongoing.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subgroup analysis in patients with brain metastases from this trial is expected to be presented at the European Society for Medical Oncology, or ESMO, Congress 2026 in Madrid, Spain.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998220"/>
                <wp:effectExtent l="0" t="0" r="0" b="0"/>
                <wp:wrapNone/>
                <wp:docPr id="107" name="Frame4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0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8" descr=""/>
                          <pic:cNvPicPr>
                            <a:picLocks noChangeAspect="1" noChangeArrowheads="1"/>
                          </pic:cNvPicPr>
                        </pic:nvPicPr>
                        <pic:blipFill>
                          <a:blip r:embed="rId6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0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9" descr=""/>
                          <pic:cNvPicPr>
                            <a:picLocks noChangeAspect="1" noChangeArrowheads="1"/>
                          </pic:cNvPicPr>
                        </pic:nvPicPr>
                        <pic:blipFill>
                          <a:blip r:embed="rId7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First-Line ES-SCLC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(NCT05844150) is being conducted in China to evaluate pumitamig in combination with chemotherapy as a first-line treatment for patients with ES-SCLC.</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Second-Line 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(NCT05879068) is being conducted in China to evaluate pumitamig in combination with chemotherapy as a second-line treatment for patients with SCLC.</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ROSETTA Lung-02 Phase 2/3 Clinical Trial in First-Line Non-Small Cell Lung Cancer, or NSCLC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global Phase 2/3 clinical trial (NCT06712316) is being conducted to evaluate pumitamig in combination with chemotherapy compared to pembrolizumab and chemotherapy as a first-line treatment for patients with NSCLC. The global Phase 3 portion of the trial is underway following completion of the global Phase 2 portion of the trial.</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 May 2026, interim data from the Phase 2 part of the trial were presented at the American Society of Clinical Oncology, or ASCO, Annual Meeting 2026. The data showed encouraging anti-tumor activity, with high response rates observed in both non-squamous and squamous NSCLC and across PD-L1 expression levels.</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ROSETTA Lung-201 Phase 3 Clinical Trial in Unresectable Stage III NSCLC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global Phase 3 clinical trial (NCT07361497) is being conducted to evaluate pumitamig compared to durvalumab following concurrent chemoradiation therapy in patients with unresectable stage III NSCLC.</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ROSETTA Lung-202 Phase 3 Clinical Trial in First-Line NSCLC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global Phase 3 clinical trial (NCT07361510) is being conducted to evaluate pumitamig compared to pembrolizumab as a first-line treatment for patients with advanced PD-L1 ≥ 50% NSCLC.</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ROSETTA Lung-107 Phase 2 Clinical Trial in Second-Line NSCLC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global Phase 2 clinical trial (NCT06841055) is being conducted to evaluate pumitamig in combination with docetaxel as a second-line treatment for patients with NSCLC.</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EGFR-mutant Non-Squamous NSCLC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(NCT05756972) is being conducted in China to evaluate pumitamig in combination with chemotherapy in patients with EGFR-mutant non-squamous NSCLC who progressed after EGFR-tyrosine kinase inhibitor treatment.</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ROSETTA Breast-01 Phase 3 Clinical Trial in Locally Advanced or Metastatic First-Line Triple-Negative Breast Cancer, or TNBC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global Phase 3 clinical trial (NCT07173751) is being conducted to evaluate pumitamig in combination with chemotherapy compared to chemotherapy alone as a first-line treatment for patients with locally advanced or metastatic PD-L1 negative TNBC.</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998220"/>
                <wp:effectExtent l="0" t="0" r="0" b="0"/>
                <wp:wrapNone/>
                <wp:docPr id="110" name="Frame4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1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0" descr=""/>
                          <pic:cNvPicPr>
                            <a:picLocks noChangeAspect="1" noChangeArrowheads="1"/>
                          </pic:cNvPicPr>
                        </pic:nvPicPr>
                        <pic:blipFill>
                          <a:blip r:embed="rId7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1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1" descr=""/>
                          <pic:cNvPicPr>
                            <a:picLocks noChangeAspect="1" noChangeArrowheads="1"/>
                          </pic:cNvPicPr>
                        </pic:nvPicPr>
                        <pic:blipFill>
                          <a:blip r:embed="rId7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3 Clinical Trial in Locally Advanced or Metastatic First-Line TNBC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3 clinical trial (NCT06419621) is being conducted in China to evaluate pumitamig in combination with chemotherapy compared to chemotherapy alone as a first-line treatment for patients with locally advanced or metastatic TNBC.</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 July 2026, the trial completed enrollment.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Based on current event accrual projections, the expected timing of the first interim data from this trial has been updated from 2026 to 2027.</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Locally Advanced or Metastatic TNBC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global Phase 2 clinical trial (NCT06449222) is being conducted to evaluate pumitamig in combination with chemotherapy as a first- and second-line treatment for patients with locally advanced or metastatic TNBC.</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subgroup analysis in patients with brain metastases from this trial is expected to be presented at the ESMO Congress 2026.</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1/2 Clinical Trial in Locally Advanced or Metastatic TNBC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(NCT05918133) is being conducted in China to evaluate pumitamig in combination with chemotherapy in patients with locally advanced or metastatic TNBC without previous systematic treatment.</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ROSETTA CRC-203 Phase 2/3 Clinical Trial in Metastatic First-Line MSS Colorectal Cancer, or CRC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global Phase 2/3 clinical trial (NCT07221357) is being conducted to evaluate pumitamig as a first-line treatment for patients with microsatellite stable, or MSS, in combination with different CT regimens compared to standard of care or microsatellite instability-low and proficient mismatch repair, or MSI-L/pMMR, metastatic colorectal cancer.</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trial-in-progress poster was presented at the ASCO Annual Meeting 2026.</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Metastatic First-Line CRC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(NCT07133750) is being conducted in China to evaluate pumitamig in combination with chemotherapy as a first-line treatment in patients with MSS or MSI-L/pMMR metastatic colorectal cancer.</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expected timing of data from this trial has been updated from 2026 to 2027.</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ROSETTA Gastric-204 Phase 2/3 Clinical Trial in Metastatic First-Line Gastric Cancer</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global Phase 2/3 clinical trial (NCT07221149) is being conducted to evaluate pumitamig in combination with chemotherapy compared to nivolumab in combination with chemotherapy as a first-line treatment for patients with metastatic gastric cancer.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998220"/>
                <wp:effectExtent l="0" t="0" r="0" b="0"/>
                <wp:wrapNone/>
                <wp:docPr id="113" name="Frame4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1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2" descr=""/>
                          <pic:cNvPicPr>
                            <a:picLocks noChangeAspect="1" noChangeArrowheads="1"/>
                          </pic:cNvPicPr>
                        </pic:nvPicPr>
                        <pic:blipFill>
                          <a:blip r:embed="rId7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1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3" descr=""/>
                          <pic:cNvPicPr>
                            <a:picLocks noChangeAspect="1" noChangeArrowheads="1"/>
                          </pic:cNvPicPr>
                        </pic:nvPicPr>
                        <pic:blipFill>
                          <a:blip r:embed="rId7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First-Line Hepatocellular Carcinoma, or HCC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(NCT05864105) is being conducted in China to evaluate pumitamig in combination with chemotherapy as a first-line treatment for patients with unresectable HCC.</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expect data from this trial in 2026.</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ROSETTA HCC-206 Phase 1/2 Clinical Trial in First-Line HCC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(NCT07291076) is being conducted to evaluate pumitamig alone or in combination with ipilimumab as a first-line treatment for patients with advanced or unresectable HCC.</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First-Line Malignant Mesothelioma</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(NCT05918107) is being conducted in China to evaluate pumitamig in combination with chemotherapy as a first-line treatment for patients with malignant mesothelioma.</w:t>
      </w:r>
    </w:p>
    <w:p>
      <w:pPr>
        <w:pStyle w:val="TextBody"/>
        <w:bidi w:val="0"/>
        <w:spacing w:lineRule="atLeast" w:line="300" w:before="0" w:after="0"/>
        <w:ind w:left="0" w:right="0" w:hanging="227"/>
        <w:jc w:val="both"/>
        <w:rPr/>
      </w:pPr>
      <w:r>
        <w:rPr>
          <w:color w:val="BECE33"/>
          <w:shd w:fill="FFFFFF" w:val="clear"/>
        </w:rPr>
        <w:t>–</w:t>
      </w:r>
      <w:r>
        <w:rPr>
          <w:rFonts w:ascii="Neue Haas Grotesk Display Pro 45 Light;serif" w:hAnsi="Neue Haas Grotesk Display Pro 45 Light;serif"/>
          <w:b w:val="false"/>
          <w:color w:val="080509"/>
          <w:sz w:val="20"/>
        </w:rPr>
        <w:t>Data from this trial are expected to be presented at the IASLC 2026 World Conference on Lung Cancer, or WCLC 2026, in Seoul, South Korea.</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Second-Line Neuroendocrine Neoplasm, or NEN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(NCT05879055) is being conducted in China to evaluate pumitamig in combination with chemotherapy as a second-line treatment for patients with NEN.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Data from this trial are expected to be presented at the ESMO Congress 2026.</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First-Line Pancreatic Ductal Adenocarcinoma, or PDAC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(NCT07255404) is being conducted in China to evaluate pumitamig in combination with chemotherapy as a first-line treatment for patients with metastatic PDAC.</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Second-Line Glioblastoma</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(NCT07297212) is being conducted in China to evaluate pumitamig alone or in combination with temozolomide as a second-line treatment for patients with recurrent glioblastoma.</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ROSETTA RCC-208 Phase 1/2 Clinical Trial in Renal Cell Carcinoma, or RCC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(NCT07293351) is being conducted to evaluate pumitamig alone or in combination with ipilimumab or cabozantinib in patients with advanced RCC.</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1/2 Clinical Trial in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(NCT05918445) is being conducted in China to evaluate pumitamig as a monotherapy in patients with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have initiated several signal-seeking clinical trials to evaluate pumitamig in combination with some of our proprietary, novel assets in our portfolio:</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Combination with Trastuzumab Pamirtecan (BNT323/DB-1303) Phase 1/2 Clinical Trial in Advanced/Metastatic Breast Cancer</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(NCT06827236) is being conducted to evaluate trastuzumab pamirtecan in combination with pumitamig in patients with hormone receptor-positive (HR+) or hormone receptor-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998220"/>
                <wp:effectExtent l="0" t="0" r="0" b="0"/>
                <wp:wrapNone/>
                <wp:docPr id="116" name="Frame4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1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4" descr=""/>
                          <pic:cNvPicPr>
                            <a:picLocks noChangeAspect="1" noChangeArrowheads="1"/>
                          </pic:cNvPicPr>
                        </pic:nvPicPr>
                        <pic:blipFill>
                          <a:blip r:embed="rId7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1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5" descr=""/>
                          <pic:cNvPicPr>
                            <a:picLocks noChangeAspect="1" noChangeArrowheads="1"/>
                          </pic:cNvPicPr>
                        </pic:nvPicPr>
                        <pic:blipFill>
                          <a:blip r:embed="rId7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negative (HR-), human epidermal growth factor (HER)2-low, ultra-low, or null advanced metastatic breast cancer or TNBC.</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Preliminary data from this trial are expected to be presented at the ESMO Congress 2026.</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Combination with Elfetabart Drozuntecan (BNT324/DB-1311) Phase 1/2 Clinical Trial in Advanced Lung Cancers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(NCT06892548) is being conducted to evaluate elfetabart drozuntecan (BNT324/DB-1311) in combination with pumitamig in patients with advanced lung cancers.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expect data from this trial in 2026.</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Combination with Elfetabart Drozuntecan (BNT324/DB-1311) Phase 2 Clinical Trial in Advanced/Metastatic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(NCT06953089) is being conducted to evaluate elfetabart drozuntecan (BNT324/DB-1311) in combination with pumitamig or the TROP2 ADC candidate sacituzumab drozuntecan (BNT325/DB-1305) in patients with advanced solid tumors.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Data from this trial are expected to be presented at the ESMO Congress 2026.</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Combination with Sacituzumab Drozuntecan (BNT325/DB-1305) Phase 1/2 Clinical Trial in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 Phase 1/2 clinical trial (NCT05438329) is being conducted to evaluate sacituzumab drozuntecan in patients with advanced solid tumors. As part of this clinical trial, pumitamig is being evaluated in combination with sacituzumab drozuntecan in various solid tumor indications.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Data from the Phase 2 part of this trial in patients with TNBC were presented at the ESMO Breast Cancer Annual Congress 2026. Pumitamig in combination with sacituzumab drozuntecan was observed to result in encouraging clinical activity, while being well tolerated with a manageable safety profile.</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Combination with BNT326/YL202 Phase 1/2 Clinical Trial in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(NCT07070232) is being conducted to evaluate BNT326/YL202 as monotherapy and in combination with pumitamig in advanced solid tumors.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trial-in-progress poster was presented at the ASCO Annual Meeting 2026.</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Combination with BNT326/YL202 Phase 1/2 Clinical Trial in Advanced NSCLC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(NCT07111520) is being conducted to evaluate BNT326/YL202 in combination with pumitamig in advanced NSCLC.</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expected timing of data from this trial in patients with NSCLC or 2L+ EGFRm NSCLC has been updated from 2026 to 2027.</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Combination with BNT314/GEN1059 Phase 1/2 Clinical Trial in Advanced/Metastatic CRC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(NCT07079631) is being conducted to evaluate BNT314/GEN1059 in combination with pumitamig and chemotherapy in patients with advanced CRC.</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998220"/>
                <wp:effectExtent l="0" t="0" r="0" b="0"/>
                <wp:wrapNone/>
                <wp:docPr id="119" name="Frame4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2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6" descr=""/>
                          <pic:cNvPicPr>
                            <a:picLocks noChangeAspect="1" noChangeArrowheads="1"/>
                          </pic:cNvPicPr>
                        </pic:nvPicPr>
                        <pic:blipFill>
                          <a:blip r:embed="rId7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2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7" descr=""/>
                          <pic:cNvPicPr>
                            <a:picLocks noChangeAspect="1" noChangeArrowheads="1"/>
                          </pic:cNvPicPr>
                        </pic:nvPicPr>
                        <pic:blipFill>
                          <a:blip r:embed="rId7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Combination with BNT3212 Phase 1/2 Clinical Trial in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(NCT07147348) is being conducted to evaluate BNT3212, a novel bispecific antibody-drug conjugate candidate targeting EGFR and HER3, for use as monotherapy and in combination with pumitamig in patients with advanced solid tumors.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Combination with BNT3213 Phase 1/2 Clinical Trial in First-Line HCC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(NCT06584071) is being conducted in China to evaluate pumitamig in combination with BNT3213, a novel bispecific antibody candidate targeting TIGIT and PVRIG, as a first-line treatment for patients with locally advanced or metastatic HCC.</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1b/2 Clinical Trial in ES-SCLC in Collaboration with Boehringer Ingelheim</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1b/2 clinical trial to evaluate the safety, tolerability and early clinical activity of pumitamig in combination with obrixtamig (BI 764532), Boehringer Ingelheim’s investigational DLL3/CD3 T</w:t>
        <w:noBreakHyphen/>
        <w:t>cell engager, in ES-SCLC is planned to start in 2026.</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together with our partner BMS, are initiating other Phase 1 signal-seeking, novel-novel trials of pumitamig with internal or BMS proprietary assets, and various Medical Evidence Generation studies with key opinion leaders are being planned. </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2. iNeST and FixVac</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a) Autogene Cevumeran (RO7198457/BNT122), an Individualized Neoantigen Specific Immunotherapy, or iNeST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Autogene cevumeran is an investigational individualized mRNA cancer immunotherapy based on specific neoantigens that are present on a patient’s tumor.</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BNT122-01 Phase 2 Clinical Trial in Adjuvant CRC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randomized Phase 2 clinical trial (NCT04486378) is being conducted to evaluate autogene cevumeran as an adjuvant treatment of circulating tumor DNA, or ctDNA, positive, surgically resected Stage II (high risk)/Stage III CRC compared to watchful waiting after surgery and chemotherapy, which is the current standard of care for these high-risk patients. The primary endpoint for the trial is disease-free survival, or DFS. Secondary objectives include overall survival, or OS, and safety.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 April 2026, the trial completed enrollment.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 June 2026, a pre-specified interim analysis based on the primary endpoint of DFS (centrally assessed) was performed and the independent Data Safety Monitoring Board, or DSMB, recommended continuing the trial without modification. Thus, the clinical trial is expected to continue as planned per protocol and we expect to remain masked to the data until the final analysis. The data read-out from the final analysis of this trial is event-driven and currently expected in 2027.</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IMCODE003 Phase 2 Clinical Trial in Adjuvant PDAC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(NCT05968326) is being conducted to evaluate autogene cevumeran in combination with atezolizumab followed by chemotherapy compared to chemotherapy alone as an adjuvant treatment for patients with resected PDAC who have not received prior systemic anti-</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998220"/>
                <wp:effectExtent l="0" t="0" r="0" b="0"/>
                <wp:wrapNone/>
                <wp:docPr id="122" name="Frame4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2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8" descr=""/>
                          <pic:cNvPicPr>
                            <a:picLocks noChangeAspect="1" noChangeArrowheads="1"/>
                          </pic:cNvPicPr>
                        </pic:nvPicPr>
                        <pic:blipFill>
                          <a:blip r:embed="rId7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2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9" descr=""/>
                          <pic:cNvPicPr>
                            <a:picLocks noChangeAspect="1" noChangeArrowheads="1"/>
                          </pic:cNvPicPr>
                        </pic:nvPicPr>
                        <pic:blipFill>
                          <a:blip r:embed="rId8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cancer treatment and showed no evidence of disease after surgery. The trial is expected to enroll 260 patients. The primary endpoint is DFS. Secondary endpoints include OS and safety.</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b) FixVac</w:t>
      </w:r>
    </w:p>
    <w:p>
      <w:pPr>
        <w:pStyle w:val="TextBody"/>
        <w:bidi w:val="0"/>
        <w:spacing w:lineRule="atLeast" w:line="300" w:before="0" w:after="300"/>
        <w:jc w:val="both"/>
        <w:rPr/>
      </w:pPr>
      <w:r>
        <w:rPr>
          <w:rFonts w:ascii="Neue Haas Grotesk Display Pro 45 Light;serif" w:hAnsi="Neue Haas Grotesk Display Pro 45 Light;serif"/>
          <w:b w:val="false"/>
          <w:i/>
          <w:color w:val="080509"/>
          <w:sz w:val="20"/>
        </w:rPr>
        <w:t>FixVac</w:t>
      </w:r>
      <w:r>
        <w:rPr>
          <w:color w:val="080509"/>
        </w:rPr>
        <w:t xml:space="preserve"> </w:t>
      </w:r>
      <w:r>
        <w:rPr>
          <w:rFonts w:ascii="Neue Haas Grotesk Display Pro 45 Light;serif" w:hAnsi="Neue Haas Grotesk Display Pro 45 Light;serif"/>
          <w:b w:val="false"/>
          <w:color w:val="080509"/>
          <w:sz w:val="20"/>
        </w:rPr>
        <w:t xml:space="preserve">is our fully owned, systemic, off-the-shelf mRNA-based cancer immunotherapy approach. </w:t>
      </w:r>
      <w:r>
        <w:rPr>
          <w:rFonts w:ascii="Neue Haas Grotesk Display Pro 45 Light;serif" w:hAnsi="Neue Haas Grotesk Display Pro 45 Light;serif"/>
          <w:b w:val="false"/>
          <w:i/>
          <w:color w:val="080509"/>
          <w:sz w:val="20"/>
        </w:rPr>
        <w:t>FixVac</w:t>
      </w:r>
      <w:r>
        <w:rPr>
          <w:color w:val="080509"/>
        </w:rPr>
        <w:t xml:space="preserve"> </w:t>
      </w:r>
      <w:r>
        <w:rPr>
          <w:rFonts w:ascii="Neue Haas Grotesk Display Pro 45 Light;serif" w:hAnsi="Neue Haas Grotesk Display Pro 45 Light;serif"/>
          <w:b w:val="false"/>
          <w:color w:val="080509"/>
          <w:sz w:val="20"/>
        </w:rPr>
        <w:t>candidates are designed to target shared antigens that have been identified to be frequently expressed across patients with a specific cancer type.</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BNT113</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BNT113 contains two different RNAs encoding the two HPV16 oncoproteins E6 and E7, which are exclusively expressed in pre-malignant and malignant tissue.</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AHEAD-MERIT Phase 2/3 Clinical Trial in Unresectable Recurrent or Metastatic, PD-L1+, HPV16+ HNSCC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2/3 clinical trial (AHEAD-MERIT; NCT04534205) is being conducted to evaluate BNT113 in combination with pembrolizumab versus pembrolizumab monotherapy as a first-line treatment for patients with unresectable recurrent or metastatic, PD-L1+, HPV16+ HNSCC.</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Based on current event accrual projections, we expect data from the first interim analysis from the Phase 3 part of this trial in 2026.</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BNT116</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BNT116 is comprised of six different NSCLC-associated tumor-associated antigens. BNT116 is being evaluated in two clinical trials as monotherapy and in combination with other immunotherapies, ADCs and chemotherapies in patients with advanced or metastasized NSCLC. </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 xml:space="preserve">EMPOWERVAX Lung 1 Phase 2 Clinical Trial in PD-L1 ≥ 50% Advanced NSCLC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(NCT05557591) is being conducted in collaboration with Regeneron to evaluate BNT116 in combination with cemiplimab versus cemiplimab alone as a first-line treatment for patients with advanced NSCLC whose tumors express PD-L1 in ≥ 50% of their tumor cells. The primary objective of the Phase 2 trial is to assess the objective response rate, or ORR, per blinded-independent review committee.</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 xml:space="preserve">LuCa-MERIT-1 Phase 1 Clinical Trial in NSCLC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 clinical trial (NCT05142189) is being conducted to evaluate the safety, tolerability and preliminary efficacy of BNT116 as monotherapy and in several combinations including with chemotherapy, cemiplimab, and some of our proprietary assets across various treatment lines and clinical settings in patients with NSCLC.</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 April 2026, at the 2026 Annual Meeting of the American Association for Cancer Research, or AACR, clinical and ctDNA data from three cohorts evaluating BNT116 in combination with cemiplimab from the Phase 1 trial described above were presented. BNT116 in combination with cemiplimab demonstrated clinical activity in patients with advanced NSCLC</w:t>
      </w:r>
      <w:r>
        <w:rPr>
          <w:color w:val="080509"/>
          <w:shd w:fill="FFFFFF" w:val="clear"/>
        </w:rPr>
        <w:t xml:space="preserve"> </w:t>
      </w:r>
      <w:r>
        <w:rPr>
          <w:rFonts w:ascii="Neue Haas Grotesk Display Pro 45 Light;serif" w:hAnsi="Neue Haas Grotesk Display Pro 45 Light;serif"/>
          <w:b w:val="false"/>
          <w:color w:val="080509"/>
          <w:sz w:val="20"/>
          <w:shd w:fill="FFFFFF" w:val="clear"/>
        </w:rPr>
        <w:t>and molecular responses were associated with clinical outcomes.</w:t>
      </w:r>
    </w:p>
    <w:p>
      <w:pPr>
        <w:pStyle w:val="TextBody"/>
        <w:bidi w:val="0"/>
        <w:spacing w:lineRule="atLeast" w:line="300" w:before="0" w:after="0"/>
        <w:ind w:left="0" w:right="0" w:hanging="227"/>
        <w:jc w:val="both"/>
        <w:rPr/>
      </w:pPr>
      <w:r>
        <w:rPr>
          <w:color w:val="BECE33"/>
          <w:shd w:fill="FFFFFF" w:val="clear"/>
        </w:rPr>
        <w:t>–</w:t>
      </w:r>
      <w:r>
        <w:rPr>
          <w:rFonts w:ascii="Neue Haas Grotesk Display Pro 45 Light;serif" w:hAnsi="Neue Haas Grotesk Display Pro 45 Light;serif"/>
          <w:b w:val="false"/>
          <w:color w:val="080509"/>
          <w:sz w:val="20"/>
        </w:rPr>
        <w:t>Data from this trial are expected to be presented at WCLC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998220"/>
                <wp:effectExtent l="0" t="0" r="0" b="0"/>
                <wp:wrapNone/>
                <wp:docPr id="125" name="Frame4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39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2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0" descr=""/>
                          <pic:cNvPicPr>
                            <a:picLocks noChangeAspect="1" noChangeArrowheads="1"/>
                          </pic:cNvPicPr>
                        </pic:nvPicPr>
                        <pic:blipFill>
                          <a:blip r:embed="rId8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2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1" descr=""/>
                          <pic:cNvPicPr>
                            <a:picLocks noChangeAspect="1" noChangeArrowheads="1"/>
                          </pic:cNvPicPr>
                        </pic:nvPicPr>
                        <pic:blipFill>
                          <a:blip r:embed="rId8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3. Antibody-Drug Conjugates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 Trastuzumab Pamirtecan (BNT323/DB-1303), an ADC in Development in Collaboration with DualityBio</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Trastuzumab pamirtecan is a topoisomerase-1 inhibitor-based ADC directed against Human Epidermal Growth Factor Receptor 2, or HER2, a target that is over-expressed in a variety of cancers and contributes to the aggressive growth and spread of cancer cells. The program received Fast Track Designation and Breakthrough Therapy designation from the FDA for advanced endometrial cancer.</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DYNASTY-Breast02 Phase 3 Clinical Trial in Advanced or Metastatic HR+, HER2-low Breast Cancer</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3 clinical trial (NCT06018337) is being conducted to evaluate trastuzumab pamirtecan compared to investigator’s choice of chemotherapy in advanced or metastatic HR+, HER2-low breast cancer subjects whose disease has progressed on at least two lines of prior endocrine therapy or within six months of first-line endocrine therapy and cyclin-dependent 4/6, or CDK4/6, inhibitor and no prior chemotherapy. The trial has enrolled 541 patients. The primary endpoint is progression-free survival, or PFS. Secondary endpoints include OS, ORR, duration of response, or DOR, and safety, as well as patient-reported outcomes.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Based on current event accrual projections, we expect interim data from this trial in the fourth quarter of 2026.</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FERN-EC-01 Phase 3 Clinical Trial in Advanced Endometrial Cancer</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3 clinical trial (NCT06340568) is being conducted to evaluate trastuzumab pamirtecan compared to investigator’s choice of chemotherapy in patients with advanced and HER2-expessing recurrent endometrial cancer. The trial is expected to enroll approximately 480 patients. The primary endpoints are PFS and ORR. Secondary endpoints include OS, DOR and safety.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trial-in-progress poster was presented at the ASCO Annual Meeting 2026.</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1/2 Clinical Trial in Advanced/Unresectable, Recurrent, or Metastatic HER2-Expressing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(NCT05150691) is being conducted to evaluate trastuzumab pamirtecan in patients with advanced/unresectable, recurrent, or metastatic HER2-expressing solid tumors.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potentially registrational cohort with HER2-expressing (IHC3+, 2+, 1+) patients with advanced/recurrent endometrial cancer has completed enrollment.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 April 2026, updated data from this cohort of patients with pretreated advanced or metastatic endometrial cancer were presented at the Society of Gynecologic Oncology, or SGO, Annual Meeting 2026. Trastuzumab pamirtecan demonstrated encouraging clinical activity across all HER2 expression levels and regardless of prior immunotherapy treatment. The safety profile was manageable and generally consistent with that of ADCs and HER2-targeted biologics.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In June 2026, additional data were presented from Phase 2 portion of the trial at the ESMO Gynaecological Cancers Congress 2026 in Copenhagen, Denmark. Trastuzumab pamirtecan was observed to result in encouraging and durable anti-tumor activity and meaningful survival 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998220"/>
                <wp:effectExtent l="0" t="0" r="0" b="0"/>
                <wp:wrapNone/>
                <wp:docPr id="128" name="Frame4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2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2" descr=""/>
                          <pic:cNvPicPr>
                            <a:picLocks noChangeAspect="1" noChangeArrowheads="1"/>
                          </pic:cNvPicPr>
                        </pic:nvPicPr>
                        <pic:blipFill>
                          <a:blip r:embed="rId8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3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3" descr=""/>
                          <pic:cNvPicPr>
                            <a:picLocks noChangeAspect="1" noChangeArrowheads="1"/>
                          </pic:cNvPicPr>
                        </pic:nvPicPr>
                        <pic:blipFill>
                          <a:blip r:embed="rId8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patients with advanced HER2-expressing endometrial cancer. The safety profile was observed to be manageable and consistent with the known class effects of anti-HER2 ADCs.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and DualityBio plan to file a biologics license application (“BLA”) in 2026. The companies will determine the optimal regulatory path for trastuzumab pamirtecan based on the totality of clinical data in endometrial cancer and breast cancer. This approach is in line with companies’ value-optimization strategy for the asset in an evolving treatment landscape and focuses on prioritizing opportunities where they can deliver significant benefit for patients.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ii. Elfetabart Drozuntecan (BNT324/DB-1311), an ADC in Development in Collaboration with DualityBio</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Elfetabart drozuntecan is a topoisomerase-1 inhibitor-based ADC directed against B7-H3. It has received Fast Track Designation from the FDA for the treatment of patients with advanced/unresectable, or metastatic castration-resistant prostate cancer, or mCRPC, who have progressed on or after standard systemic regimens. It has also received Orphan Drug Designation from the FDA for the treatment of patients with advanced or metastatic esophageal squamous cell carcinoma and SCLC.</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3 Clinical Trial in mCRPC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3 clinical trial (NCT07365995) is being conducted to evaluate elfetabart drozuntecan compared to docetaxel in patients with mCRPC.</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 May 2026, the first patient in the trial was dosed.</w:t>
      </w:r>
    </w:p>
    <w:p>
      <w:pPr>
        <w:pStyle w:val="TextBody"/>
        <w:bidi w:val="0"/>
        <w:spacing w:lineRule="atLeast" w:line="300" w:before="0" w:after="0"/>
        <w:ind w:left="0" w:right="0" w:hanging="227"/>
        <w:jc w:val="both"/>
        <w:rPr/>
      </w:pPr>
      <w:r>
        <w:rPr>
          <w:color w:val="BECE33"/>
        </w:rPr>
        <w:t>–</w:t>
      </w:r>
      <w:r>
        <w:rPr>
          <w:rFonts w:ascii="Neue Haas Grotesk Display Pro 45 Light;serif" w:hAnsi="Neue Haas Grotesk Display Pro 45 Light;serif"/>
          <w:b w:val="false"/>
          <w:color w:val="080509"/>
          <w:sz w:val="20"/>
        </w:rPr>
        <w:t>A trial-in-progress poster was presented at the ASCO Annual Meeting 2026.</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1/2 Clinical Trial in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(NCT05914116) is being conducted to evaluate elfetabart drozuntecan in patients with advanced solid tumors.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 April 2026, updated data from this trial were presented at SGO 2026. Elfetabart drozuntecan showed encouraging clinical activity in previously treated cervical cancer, particularly in the second-line setting as well as in platinum resistant ovarian cancer, or PROC. The safety profile in gynecologic malignancies was consistent with previous reports, and no new safety signals were observed.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Data from this trial in patients with PROC are expected to be presented at the ESMO Congress 2026.</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iii. Sacituzumab Drozuntecan (BNT325/DB-1305), an ADC in Development in Collaboration with DualityBio</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Sacituzumab drozuntecan is a topoisomerase-1 inhibitor-based ADC directed against TROP2.</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1/2 Clinical Trial in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(NCT05438329) is being conducted to evaluate sacituzumab drozuntecan in patients with advanced solid tumors. As part of this clinical trial, sacituzumab drozuntecan is being studied in combination with pumitamig in various solid tumor indications.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998220"/>
                <wp:effectExtent l="0" t="0" r="0" b="0"/>
                <wp:wrapNone/>
                <wp:docPr id="131" name="Frame4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3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4" descr=""/>
                          <pic:cNvPicPr>
                            <a:picLocks noChangeAspect="1" noChangeArrowheads="1"/>
                          </pic:cNvPicPr>
                        </pic:nvPicPr>
                        <pic:blipFill>
                          <a:blip r:embed="rId8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3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5" descr=""/>
                          <pic:cNvPicPr>
                            <a:picLocks noChangeAspect="1" noChangeArrowheads="1"/>
                          </pic:cNvPicPr>
                        </pic:nvPicPr>
                        <pic:blipFill>
                          <a:blip r:embed="rId8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iv. BNT326/YL202, an ADC in Development in Collaboration with MediLink Therapeutics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BNT326/YL202 is a topoisomerase-1 inhibitor-based ADC directed against HER3. </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 Clinical Trial in Advanced or Metastatic EGFR-Mutated NSCLC or HR+ and HER2-Negative Breast Cancer</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 clinical trial (NCT05653752) is being conducted to evaluate BNT326/YL202 as a later-line treatment in patients with locally advanced or metastatic EGFR-mutated NSCLC or HR+ and HER2-negative breast cancer.</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(NCT06107686) is being conducted in China to evaluate BNT326/YL202 in patients with advanced solid tumors.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2 Clinical Trial in Multiple Breast Cancers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(NCT06439771) is being conducted in China to evaluate BNT326/YL202 in patients with locally advanced or metastatic breast cancer with TNBC, HR+, HER2-zero-expression or HER2-low-expression.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Data from this trial are expected to be presented at the ESMO Congress 2026.</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v. BNT329, an ADC for the Treatment of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BNT329 is a fully owned carbohydrate antigen 19-9, or CA19-9, targeting ADC. CA19-9 is expressed in pancreatic cancers and other solid tumors, plays a role in tumor adhesion and metastasis formation, and is a marker of an aggressive cancer phenotype.</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1/2 Clinical Trial in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(NCT07186842) is being conducted to evaluate BNT329 in patients with advanced solid tumors.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vi. BNT3214, an ADC for the Treatment of Advanced Solid Tumors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1/2 Clinical Trial in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(NCT07455734) is being conducted to evaluate the safety, tolerability, pharmacokinetics, and immunogenicity of BNT3214 in participants with advanced solid tumors.</w:t>
      </w:r>
    </w:p>
    <w:p>
      <w:pPr>
        <w:pStyle w:val="TextBody"/>
        <w:bidi w:val="0"/>
        <w:spacing w:lineRule="auto" w:line="264" w:before="200" w:after="12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4. Other Antibody Product Candidates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 Gotistobart (BNT316/ONC-392), a Selective Treg-Depleting Antibody Candidate in Development in Collaboration with OncoC4</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Gotistobart (BNT316/ONC-392) is an investigational regulatory T cell-depleting antibody that binds to cytotoxic T-lymphocyte associated protein 4, or CTLA-4, on the surface of Tregs, but CTLA-4 is recycled to the cell surface once internalized, preserving and enriching CTLA-4 on the surface of tumor infiltrating Tregs. This results in enhanced Treg depletion in the tumor microenvironment, which drives tumor cell death. Gotistobart (BNT316/ONC-392) is being developed in collaboration with OncoC4.</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998220"/>
                <wp:effectExtent l="0" t="0" r="0" b="0"/>
                <wp:wrapNone/>
                <wp:docPr id="134" name="Frame4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3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6" descr=""/>
                          <pic:cNvPicPr>
                            <a:picLocks noChangeAspect="1" noChangeArrowheads="1"/>
                          </pic:cNvPicPr>
                        </pic:nvPicPr>
                        <pic:blipFill>
                          <a:blip r:embed="rId8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3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7" descr=""/>
                          <pic:cNvPicPr>
                            <a:picLocks noChangeAspect="1" noChangeArrowheads="1"/>
                          </pic:cNvPicPr>
                        </pic:nvPicPr>
                        <pic:blipFill>
                          <a:blip r:embed="rId8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PRESERVE-003 Phase 3 Clinical Trial in NSCLC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 two-stage global Phase 3 trial (NCT05671510) is being conducted to evaluate the efficacy and safety of gotistobart as monotherapy compared to docetaxel in patients with metastatic NSCLC that progressed on previous platinum-based chemotherapy and PD-(L)1-inhibitor treatment.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Updated data from the Stage 1 of this trial are expected to be presented at WCLC 2026.</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Based on current event accrual projections, we expect interim data from Stage 2 of the two-stage Phase 3 trial in 2026. This will be assessed by the Independent Data Monitoring Committee, or IDMC, to recommend whether to unblind the trial or continue to the next pre-planned interim analysis.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PRESERVE-004 Phase 2 Clinical Trial in PROC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2 clinical trial (NCT05446298) is being conducted to evaluate gotistobart in combination with pembrolizumab in patients with PROC. The clinical trial is designed to evaluate multiple doses of gotistobart in combination with a fixed dose of pembrolizumab in participants with ovarian cancer who are resistant to platinum-based chemotherapy. The primary endpoints are ORR and safety. Secondary endpoints include DOR, diseases control rate, or DCR, PFS and OS.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 May 2026, data from the trial were presented at the ASCO Annual Meeting 2026. Gotistobart in combination with pembrolizumab demonstrated encouraging and durable antitumor activity in heavily pretreated patients with PROC.</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PRESERVE-006 Phase 1/2 Clinical Trial in mCRPC</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(NCT05682443) is being conducted to evaluate the safety and efficacy of gotistobart in combination with lutetium Lu-177 vipivotide tetraxetan in patients with mCRPC who have disease progressed on androgen receptor pathway inhibition. The primary endpoints are safety and PSA50 and rPFS as dual primary efficacy endpoints.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expected timing of data from this trial has been updated from 2026 to 2027.</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PRESERVE-001 Phase 1/2 Clinical Trial in Advanced or Metastatic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dose escalation and cohort expansion clinical trial (NCT04140526) is being conducted to evaluate gotistobart as a single agent and in combination with pembrolizumab in patients with advanced or metastatic solid tumors.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An update of patients with advanced melanoma refractory or resistant to prior anti-CTLA-4 and anti-PD-(L)1 therapies is expected to be presented at the ESMO Congress 2026.</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ii. BNT314/GEN1059 is being developed in collaboration with Genmab. BNT314/GEN1059 is a potential first-in-class bispecific antibody product candidate designed to boost antitumor immune responses through epithelial cell adhesion molecule-, or EpCAM-, dependent 4-1BB agonistic activity.</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 Clinical Trial in Advanced or Metastatic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 clinical trial (NCT06150183) is being conducted to evaluate the safety and preliminary antitumor activity of BNT314/GEN1059 in patients with advanced or metastatic solid tumors.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998220"/>
                <wp:effectExtent l="0" t="0" r="0" b="0"/>
                <wp:wrapNone/>
                <wp:docPr id="137" name="Frame5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3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8" descr=""/>
                          <pic:cNvPicPr>
                            <a:picLocks noChangeAspect="1" noChangeArrowheads="1"/>
                          </pic:cNvPicPr>
                        </pic:nvPicPr>
                        <pic:blipFill>
                          <a:blip r:embed="rId8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3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9" descr=""/>
                          <pic:cNvPicPr>
                            <a:picLocks noChangeAspect="1" noChangeArrowheads="1"/>
                          </pic:cNvPicPr>
                        </pic:nvPicPr>
                        <pic:blipFill>
                          <a:blip r:embed="rId9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iii. BNT317, an Antibody for the Treatment of Advanced Solid Tumors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 Clinical Trial in Advanced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 clinical trial (NCT06750185) is being conducted to evaluate the safety, tolerability, pharmacokinetics, and immunogenicity of BNT317 in participants with advanced solid tumors.</w:t>
      </w:r>
    </w:p>
    <w:p>
      <w:pPr>
        <w:pStyle w:val="TextBody"/>
        <w:bidi w:val="0"/>
        <w:spacing w:lineRule="auto" w:line="264" w:before="200" w:after="12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5. Oncology Cell Therapy Product Candidates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 BNT211, a chimeric antigen receptor, or CAR, T-cell therapy – CAR-T - in multiple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BNT211 is a novel approach combining an autologous tumor-specific CAR-T cell therapy candidate targeting the oncofetal antigen Claudin-6, or CLDN6, with a CLDN6-encoding CAR-T cell amplifying RNA vaccine, or CARVac, that is based on BioNTech’s FixVac platform in one regimen.</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Phase 1 Clinical Trial in CLDN6-Positive Relapsed or Refractory Solid Tumors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 dose escalation clinical trial (NCT04503278) is being conducted to evaluate BNT211 as monotherapy or in combination with CARVac in patients with CLDN6-positive relapsed or refractory solid tumors, including NSCLC, gastric cancer, ovarian cancer and testicular germ cell tumors.</w:t>
      </w:r>
    </w:p>
    <w:p>
      <w:pPr>
        <w:pStyle w:val="TextBody"/>
        <w:bidi w:val="0"/>
        <w:spacing w:lineRule="auto" w:line="264" w:before="240" w:after="24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B. Infectious Disease Programs</w:t>
      </w:r>
    </w:p>
    <w:p>
      <w:pPr>
        <w:pStyle w:val="TextBody"/>
        <w:bidi w:val="0"/>
        <w:spacing w:lineRule="auto" w:line="288" w:before="200" w:after="120"/>
        <w:jc w:val="both"/>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1. Next-Generation COVID-19 Vaccine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collaboration with Pfizer, we are aiming to develop a vaccine candidate that enhances and broadens SARS-CoV-2 immunogenicity responses.</w:t>
      </w:r>
    </w:p>
    <w:p>
      <w:pPr>
        <w:pStyle w:val="TextBody"/>
        <w:bidi w:val="0"/>
        <w:spacing w:lineRule="auto" w:line="288" w:before="200" w:after="120"/>
        <w:jc w:val="both"/>
        <w:rPr/>
      </w:pPr>
      <w:r>
        <w:rPr>
          <w:rFonts w:ascii="Neue Haas Grotesk Display Pro 55 Roman;serif" w:hAnsi="Neue Haas Grotesk Display Pro 55 Roman;serif"/>
          <w:b w:val="false"/>
          <w:color w:val="005A64"/>
          <w:sz w:val="20"/>
        </w:rPr>
        <w:t xml:space="preserve">2. COVID-19 </w:t>
      </w:r>
      <w:r>
        <w:rPr>
          <w:color w:val="3C9673"/>
        </w:rPr>
        <w:t xml:space="preserve">– </w:t>
      </w:r>
      <w:r>
        <w:rPr>
          <w:rFonts w:ascii="Neue Haas Grotesk Display Pro 55 Roman;serif" w:hAnsi="Neue Haas Grotesk Display Pro 55 Roman;serif"/>
          <w:b w:val="false"/>
          <w:color w:val="005A64"/>
          <w:sz w:val="20"/>
        </w:rPr>
        <w:t xml:space="preserve">Influenza Combination mRNA Vaccine Program </w:t>
      </w:r>
      <w:r>
        <w:rPr>
          <w:color w:val="3C9673"/>
        </w:rPr>
        <w:t xml:space="preserve">– </w:t>
      </w:r>
      <w:r>
        <w:rPr>
          <w:rFonts w:ascii="Neue Haas Grotesk Display Pro 55 Roman;serif" w:hAnsi="Neue Haas Grotesk Display Pro 55 Roman;serif"/>
          <w:b w:val="false"/>
          <w:color w:val="005A64"/>
          <w:sz w:val="20"/>
        </w:rPr>
        <w:t>BNT162 + BNT161</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collaboration with Pfizer, Phase 1/2 clinical trials are being conducted to evaluate the safety, tolerability and immunogenicity of the combination of the companies’ mRNA vaccine candidates against influenza and COVID-19. We expect to provide updates as the program progresses.</w:t>
      </w:r>
    </w:p>
    <w:p>
      <w:pPr>
        <w:pStyle w:val="TextBody"/>
        <w:bidi w:val="0"/>
        <w:spacing w:lineRule="auto" w:line="288" w:before="200" w:after="120"/>
        <w:jc w:val="both"/>
        <w:rPr/>
      </w:pPr>
      <w:r>
        <w:rPr>
          <w:rFonts w:ascii="Neue Haas Grotesk Display Pro 55 Roman;serif" w:hAnsi="Neue Haas Grotesk Display Pro 55 Roman;serif"/>
          <w:b w:val="false"/>
          <w:color w:val="005A64"/>
          <w:sz w:val="20"/>
        </w:rPr>
        <w:t xml:space="preserve">3. Herpes Simplex Virus Vaccine Program </w:t>
      </w:r>
      <w:r>
        <w:rPr>
          <w:color w:val="3C9673"/>
        </w:rPr>
        <w:t xml:space="preserve">– </w:t>
      </w:r>
      <w:r>
        <w:rPr>
          <w:rFonts w:ascii="Neue Haas Grotesk Display Pro 55 Roman;serif" w:hAnsi="Neue Haas Grotesk Display Pro 55 Roman;serif"/>
          <w:b w:val="false"/>
          <w:color w:val="005A64"/>
          <w:sz w:val="20"/>
        </w:rPr>
        <w:t>BNT163</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 clinical trial (NCT05432583) is being conducted to evaluate the safety, tolerability, immunogenicity and preliminary efficacy of BNT163 for the prevention of genital lesions caused by HSV-2 and potentially HSV-1.</w:t>
      </w:r>
    </w:p>
    <w:p>
      <w:pPr>
        <w:pStyle w:val="TextBody"/>
        <w:bidi w:val="0"/>
        <w:spacing w:lineRule="auto" w:line="288" w:before="200" w:after="120"/>
        <w:jc w:val="both"/>
        <w:rPr/>
      </w:pPr>
      <w:r>
        <w:rPr>
          <w:rFonts w:ascii="Neue Haas Grotesk Display Pro 55 Roman;serif" w:hAnsi="Neue Haas Grotesk Display Pro 55 Roman;serif"/>
          <w:b w:val="false"/>
          <w:color w:val="005A64"/>
          <w:sz w:val="20"/>
        </w:rPr>
        <w:t xml:space="preserve">4. Tuberculosis Vaccine Program </w:t>
      </w:r>
      <w:r>
        <w:rPr>
          <w:color w:val="3C9673"/>
        </w:rPr>
        <w:t xml:space="preserve">– </w:t>
      </w:r>
      <w:r>
        <w:rPr>
          <w:rFonts w:ascii="Neue Haas Grotesk Display Pro 55 Roman;serif" w:hAnsi="Neue Haas Grotesk Display Pro 55 Roman;serif"/>
          <w:b w:val="false"/>
          <w:color w:val="005A64"/>
          <w:sz w:val="20"/>
        </w:rPr>
        <w:t>BNT164</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1b/2a clinical trial (NCT05547464) is being conducted to assess the safety, reactogenicity, and immunogenicity of mRNA vaccine candidates against tuberculosis disease.</w:t>
      </w:r>
    </w:p>
    <w:p>
      <w:pPr>
        <w:pStyle w:val="TextBody"/>
        <w:bidi w:val="0"/>
        <w:spacing w:lineRule="auto" w:line="288" w:before="200" w:after="120"/>
        <w:jc w:val="both"/>
        <w:rPr/>
      </w:pPr>
      <w:r>
        <w:rPr>
          <w:rFonts w:ascii="Neue Haas Grotesk Display Pro 55 Roman;serif" w:hAnsi="Neue Haas Grotesk Display Pro 55 Roman;serif"/>
          <w:b w:val="false"/>
          <w:color w:val="005A64"/>
          <w:sz w:val="20"/>
        </w:rPr>
        <w:t xml:space="preserve">5. Malaria Vaccine Program </w:t>
      </w:r>
      <w:r>
        <w:rPr>
          <w:color w:val="3C9673"/>
        </w:rPr>
        <w:t xml:space="preserve">– </w:t>
      </w:r>
      <w:r>
        <w:rPr>
          <w:rFonts w:ascii="Neue Haas Grotesk Display Pro 55 Roman;serif" w:hAnsi="Neue Haas Grotesk Display Pro 55 Roman;serif"/>
          <w:b w:val="false"/>
          <w:color w:val="005A64"/>
          <w:sz w:val="20"/>
        </w:rPr>
        <w:t>BNT165</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trial (NCT06069544) to evaluate the safety, tolerability, immunogenicity and efficacy of a second investigational RNA-based vaccine candidate has been completed. BioNTech is assessing next steps in the development of this vaccine candidate.</w:t>
      </w:r>
    </w:p>
    <w:p>
      <w:pPr>
        <w:pStyle w:val="TextBody"/>
        <w:bidi w:val="0"/>
        <w:spacing w:lineRule="auto" w:line="288" w:before="200" w:after="120"/>
        <w:jc w:val="both"/>
        <w:rPr/>
      </w:pPr>
      <w:r>
        <w:rPr>
          <w:rFonts w:ascii="Neue Haas Grotesk Display Pro 55 Roman;serif" w:hAnsi="Neue Haas Grotesk Display Pro 55 Roman;serif"/>
          <w:b w:val="false"/>
          <w:color w:val="005A64"/>
          <w:sz w:val="20"/>
        </w:rPr>
        <w:t xml:space="preserve">6. Mpox Vaccine Program </w:t>
      </w:r>
      <w:r>
        <w:rPr>
          <w:color w:val="3C9673"/>
        </w:rPr>
        <w:t xml:space="preserve">– </w:t>
      </w:r>
      <w:r>
        <w:rPr>
          <w:rFonts w:ascii="Neue Haas Grotesk Display Pro 55 Roman;serif" w:hAnsi="Neue Haas Grotesk Display Pro 55 Roman;serif"/>
          <w:b w:val="false"/>
          <w:color w:val="005A64"/>
          <w:sz w:val="20"/>
        </w:rPr>
        <w:t>BNT166</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randomized, placebo-controlled Phase 2 clinical trial (NCT07379580) is being conducted to evaluate the safety, reactogenicity, and immunogenicity of BNT166 in healthy participants.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998220"/>
                <wp:effectExtent l="0" t="0" r="0" b="0"/>
                <wp:wrapNone/>
                <wp:docPr id="140" name="Frame5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4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0" descr=""/>
                          <pic:cNvPicPr>
                            <a:picLocks noChangeAspect="1" noChangeArrowheads="1"/>
                          </pic:cNvPicPr>
                        </pic:nvPicPr>
                        <pic:blipFill>
                          <a:blip r:embed="rId9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4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1" descr=""/>
                          <pic:cNvPicPr>
                            <a:picLocks noChangeAspect="1" noChangeArrowheads="1"/>
                          </pic:cNvPicPr>
                        </pic:nvPicPr>
                        <pic:blipFill>
                          <a:blip r:embed="rId9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both"/>
        <w:rPr/>
      </w:pPr>
      <w:r>
        <w:rPr>
          <w:rFonts w:ascii="Neue Haas Grotesk Display Pro 55 Roman;serif" w:hAnsi="Neue Haas Grotesk Display Pro 55 Roman;serif"/>
          <w:b w:val="false"/>
          <w:color w:val="005A64"/>
          <w:sz w:val="20"/>
        </w:rPr>
        <w:t xml:space="preserve">7. HIV Vaccine Program </w:t>
      </w:r>
      <w:r>
        <w:rPr>
          <w:color w:val="3C9673"/>
        </w:rPr>
        <w:t xml:space="preserve">– </w:t>
      </w:r>
      <w:r>
        <w:rPr>
          <w:rFonts w:ascii="Neue Haas Grotesk Display Pro 55 Roman;serif" w:hAnsi="Neue Haas Grotesk Display Pro 55 Roman;serif"/>
          <w:b w:val="false"/>
          <w:color w:val="005A64"/>
          <w:sz w:val="20"/>
        </w:rPr>
        <w:t>BNT168</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1/2 clinical trial (NCT07698600) to evaluate the safety, immunogenicity, and impact on virological control of BNT168 in adults living with or without human immunodeficiency virus, or HIV, is planned to start in 2026.</w:t>
      </w:r>
    </w:p>
    <w:p>
      <w:pPr>
        <w:pStyle w:val="TextBody"/>
        <w:bidi w:val="0"/>
        <w:spacing w:lineRule="auto" w:line="288" w:before="200" w:after="120"/>
        <w:jc w:val="both"/>
        <w:rPr/>
      </w:pPr>
      <w:r>
        <w:rPr>
          <w:rFonts w:ascii="Neue Haas Grotesk Display Pro 55 Roman;serif" w:hAnsi="Neue Haas Grotesk Display Pro 55 Roman;serif"/>
          <w:b w:val="false"/>
          <w:color w:val="005A64"/>
          <w:sz w:val="20"/>
        </w:rPr>
        <w:t xml:space="preserve">8. HIV Antibody Program </w:t>
      </w:r>
      <w:r>
        <w:rPr>
          <w:color w:val="3C9673"/>
        </w:rPr>
        <w:t xml:space="preserve">– </w:t>
      </w:r>
      <w:r>
        <w:rPr>
          <w:rFonts w:ascii="Neue Haas Grotesk Display Pro 55 Roman;serif" w:hAnsi="Neue Haas Grotesk Display Pro 55 Roman;serif"/>
          <w:b w:val="false"/>
          <w:color w:val="005A64"/>
          <w:sz w:val="20"/>
        </w:rPr>
        <w:t>BNT351</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Phase 1 clinical trial (NCT07392372) is being conducted to evaluate the safety, pharmacokinetics, and antiviral activity of BNT351 in adults living with and without HIV.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Financial Operations 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following table shows our unaudited interim condensed consolidated statements of profit or loss for each period presented:</w:t>
      </w:r>
    </w:p>
    <w:tbl>
      <w:tblPr>
        <w:tblW w:w="10205" w:type="dxa"/>
        <w:jc w:val="left"/>
        <w:tblInd w:w="0" w:type="dxa"/>
        <w:tblLayout w:type="fixed"/>
        <w:tblCellMar>
          <w:top w:w="28" w:type="dxa"/>
          <w:left w:w="28" w:type="dxa"/>
          <w:bottom w:w="28" w:type="dxa"/>
          <w:right w:w="28" w:type="dxa"/>
        </w:tblCellMar>
      </w:tblPr>
      <w:tblGrid>
        <w:gridCol w:w="1027"/>
        <w:gridCol w:w="748"/>
        <w:gridCol w:w="751"/>
        <w:gridCol w:w="109"/>
        <w:gridCol w:w="109"/>
        <w:gridCol w:w="109"/>
        <w:gridCol w:w="109"/>
        <w:gridCol w:w="109"/>
        <w:gridCol w:w="109"/>
        <w:gridCol w:w="409"/>
        <w:gridCol w:w="409"/>
        <w:gridCol w:w="222"/>
        <w:gridCol w:w="187"/>
        <w:gridCol w:w="187"/>
        <w:gridCol w:w="187"/>
        <w:gridCol w:w="187"/>
        <w:gridCol w:w="187"/>
        <w:gridCol w:w="187"/>
        <w:gridCol w:w="409"/>
        <w:gridCol w:w="409"/>
        <w:gridCol w:w="222"/>
        <w:gridCol w:w="109"/>
        <w:gridCol w:w="109"/>
        <w:gridCol w:w="109"/>
        <w:gridCol w:w="109"/>
        <w:gridCol w:w="109"/>
        <w:gridCol w:w="109"/>
        <w:gridCol w:w="377"/>
        <w:gridCol w:w="377"/>
        <w:gridCol w:w="285"/>
        <w:gridCol w:w="172"/>
        <w:gridCol w:w="172"/>
        <w:gridCol w:w="172"/>
        <w:gridCol w:w="172"/>
        <w:gridCol w:w="172"/>
        <w:gridCol w:w="172"/>
        <w:gridCol w:w="366"/>
        <w:gridCol w:w="366"/>
        <w:gridCol w:w="366"/>
      </w:tblGrid>
      <w:tr>
        <w:trPr/>
        <w:tc>
          <w:tcPr>
            <w:tcW w:w="10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Six months ended June 30,</w:t>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561"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516"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r>
      <w:tr>
        <w:trPr/>
        <w:tc>
          <w:tcPr>
            <w:tcW w:w="2526"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(unaudited)</w:t>
            </w:r>
          </w:p>
        </w:tc>
      </w:tr>
      <w:tr>
        <w:trPr/>
        <w:tc>
          <w:tcPr>
            <w:tcW w:w="252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105.6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223.7</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443.6</w:t>
            </w:r>
          </w:p>
        </w:tc>
      </w:tr>
      <w:tr>
        <w:trPr/>
        <w:tc>
          <w:tcPr>
            <w:tcW w:w="25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(97.0)</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(168.4)</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(160.2)</w:t>
            </w:r>
          </w:p>
        </w:tc>
      </w:tr>
      <w:tr>
        <w:trPr/>
        <w:tc>
          <w:tcPr>
            <w:tcW w:w="25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(551.0)</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(1,108.0)</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(1,034.7)</w:t>
            </w:r>
          </w:p>
        </w:tc>
      </w:tr>
      <w:tr>
        <w:trPr/>
        <w:tc>
          <w:tcPr>
            <w:tcW w:w="25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Sales and marketing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(40.1)</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(68.0)</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(33.4)</w:t>
            </w:r>
          </w:p>
        </w:tc>
      </w:tr>
      <w:tr>
        <w:trPr/>
        <w:tc>
          <w:tcPr>
            <w:tcW w:w="25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(157.7)</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(280.6)</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(224.6)</w:t>
            </w:r>
          </w:p>
        </w:tc>
      </w:tr>
      <w:tr>
        <w:trPr/>
        <w:tc>
          <w:tcPr>
            <w:tcW w:w="25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(248.1)</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(281.3)</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(165.7)</w:t>
            </w:r>
          </w:p>
        </w:tc>
      </w:tr>
      <w:tr>
        <w:trPr/>
        <w:tc>
          <w:tcPr>
            <w:tcW w:w="25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40.2</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57.0</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139.8</w:t>
            </w:r>
          </w:p>
        </w:tc>
      </w:tr>
      <w:tr>
        <w:trPr/>
        <w:tc>
          <w:tcPr>
            <w:tcW w:w="25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(948.1)</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(501.1)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(1,625.6)</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(1,035.2)</w:t>
            </w:r>
          </w:p>
        </w:tc>
      </w:tr>
      <w:tr>
        <w:trPr/>
        <w:tc>
          <w:tcPr>
            <w:tcW w:w="252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Finance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97.3</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217.9</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228.0</w:t>
            </w:r>
          </w:p>
        </w:tc>
      </w:tr>
      <w:tr>
        <w:trPr/>
        <w:tc>
          <w:tcPr>
            <w:tcW w:w="25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Finance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(7.9)</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(19.1)</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(40.9)</w:t>
            </w:r>
          </w:p>
        </w:tc>
      </w:tr>
      <w:tr>
        <w:trPr/>
        <w:tc>
          <w:tcPr>
            <w:tcW w:w="25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(858.7)</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(1,426.8)</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(848.1)</w:t>
            </w:r>
          </w:p>
        </w:tc>
      </w:tr>
      <w:tr>
        <w:trPr/>
        <w:tc>
          <w:tcPr>
            <w:tcW w:w="252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37.9</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74.1</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45.7</w:t>
            </w:r>
          </w:p>
        </w:tc>
      </w:tr>
      <w:tr>
        <w:trPr/>
        <w:tc>
          <w:tcPr>
            <w:tcW w:w="25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(820.8)</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(386.6)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(1,352.7)</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(802.4)</w:t>
            </w:r>
          </w:p>
        </w:tc>
      </w:tr>
      <w:tr>
        <w:trPr/>
        <w:tc>
          <w:tcPr>
            <w:tcW w:w="252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(3.24)</w:t>
            </w:r>
          </w:p>
        </w:tc>
        <w:tc>
          <w:tcPr>
            <w:tcW w:w="561"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7FACB1"/>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(5.34)</w:t>
            </w:r>
          </w:p>
        </w:tc>
        <w:tc>
          <w:tcPr>
            <w:tcW w:w="516"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(3.33)</w:t>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Important financial and operating terms and concepts are described in Item 5 of our Annual Report on Form 20-F as of and for the year ended December 31, 2025,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Non-IFRS Measures as Defined by BioNTech</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addition to our results determined in accordance with IFRS Accounting Standards, or IFRS results, we report certain adjusted, non-IFRS, measures used internally as a supplemental measure of our business performance. We believe that reporting these adjustments, and the non-IFRS measures that result, together with our IFRS results provides helpful complementary information to better understand our business performance and to facilitate comparability of business performance across different periods. These non-IFRS measures are also used by management for financial forecast and internal reporting purposes. Non-IFRS measures are intended to and may also provide useful information in evaluating performance relative to peer companies, many of which use similar non-IFRS measures to supplement their IFRS results.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998220"/>
                <wp:effectExtent l="0" t="0" r="0" b="0"/>
                <wp:wrapNone/>
                <wp:docPr id="143" name="Frame5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4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2" descr=""/>
                          <pic:cNvPicPr>
                            <a:picLocks noChangeAspect="1" noChangeArrowheads="1"/>
                          </pic:cNvPicPr>
                        </pic:nvPicPr>
                        <pic:blipFill>
                          <a:blip r:embed="rId9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4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3" descr=""/>
                          <pic:cNvPicPr>
                            <a:picLocks noChangeAspect="1" noChangeArrowheads="1"/>
                          </pic:cNvPicPr>
                        </pic:nvPicPr>
                        <pic:blipFill>
                          <a:blip r:embed="rId9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While non-IFRS measures may offer additional insights, our non-IFRS measures are not, and should not be viewed as, a substitute for their most directly comparable IFRS Accounting Standards measures, and should always be considered alongside our financial statements prepared in accordance with IFRS Accounting Standards.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Non-IFRS adjustments include certain items that are associated with discrete events or matters and that management does not consider indicative of our performance for the period, and thus are excluded from the measures based on IFRS Accounting Standards. Non-IFRS measures are also aligned with the financial forecast of our management, which do not include these events or matters given their nature.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non-IFRS measures exclude the following items in relation to our measures based on IFRS Accounting Standards:</w:t>
      </w:r>
    </w:p>
    <w:p>
      <w:pPr>
        <w:pStyle w:val="TextBody"/>
        <w:bidi w:val="0"/>
        <w:spacing w:lineRule="atLeast" w:line="300" w:before="0" w:after="120"/>
        <w:ind w:left="0" w:right="0" w:hanging="227"/>
        <w:jc w:val="both"/>
        <w:rPr/>
      </w:pPr>
      <w:r>
        <w:rPr>
          <w:color w:val="BECE33"/>
        </w:rPr>
        <w:t>–</w:t>
      </w:r>
      <w:r>
        <w:rPr>
          <w:rFonts w:ascii="Neue Haas Grotesk Display Pro 65 Medium;serif" w:hAnsi="Neue Haas Grotesk Display Pro 65 Medium;serif"/>
          <w:b w:val="false"/>
          <w:color w:val="080509"/>
          <w:sz w:val="20"/>
        </w:rPr>
        <w:t>Expenses and income from legal proceedings</w:t>
      </w:r>
      <w:r>
        <w:rPr>
          <w:rFonts w:ascii="Neue Haas Grotesk Display Pro 45 Light;serif" w:hAnsi="Neue Haas Grotesk Display Pro 45 Light;serif"/>
          <w:b w:val="false"/>
          <w:color w:val="080509"/>
          <w:sz w:val="20"/>
        </w:rPr>
        <w:t>, defined as: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Expenses (net of insurance recoveries) and income arising from certain legal proceedings (e.g., contractual-disputes, litigations, and government investigations), resulting from past events, that would result generally in a provision in accordance with IAS 37, an accrual, or outflow of resources (such as cash) recorded in our other operating result (other operating income or expense) in the period, which management does not consider indicative of the Company’s performance for the period and exceeds a minimum threshold of €10.0 million per matter. These expenses and income do not include expenses from obligations or income from receivables arising from agreements following the settlements or conclusions for future transactions and operations, or expenses for external legal advisory services or internal legal costs. The Company describes the key facts of the matter such as involved parties, dispute, jurisdiction, terms of a settlement or court-ordered judgment in the respective sections in the Notes to the Consolidated Financial Statements.</w:t>
      </w:r>
    </w:p>
    <w:p>
      <w:pPr>
        <w:pStyle w:val="TextBody"/>
        <w:bidi w:val="0"/>
        <w:spacing w:lineRule="atLeast" w:line="300" w:before="0" w:after="120"/>
        <w:ind w:left="0" w:right="0" w:hanging="227"/>
        <w:jc w:val="both"/>
        <w:rPr/>
      </w:pPr>
      <w:r>
        <w:rPr>
          <w:color w:val="BECE33"/>
        </w:rPr>
        <w:t>–</w:t>
      </w:r>
      <w:r>
        <w:rPr>
          <w:rFonts w:ascii="Neue Haas Grotesk Display Pro 65 Medium;serif" w:hAnsi="Neue Haas Grotesk Display Pro 65 Medium;serif"/>
          <w:b w:val="false"/>
          <w:color w:val="080509"/>
          <w:sz w:val="20"/>
        </w:rPr>
        <w:t>Impairment and reversal</w:t>
      </w:r>
      <w:r>
        <w:rPr>
          <w:rFonts w:ascii="Neue Haas Grotesk Display Pro 45 Light;serif" w:hAnsi="Neue Haas Grotesk Display Pro 45 Light;serif"/>
          <w:b w:val="false"/>
          <w:color w:val="080509"/>
          <w:sz w:val="20"/>
        </w:rPr>
        <w:t>, defined as: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Expenses in accordance with IAS 36 impairment of goodwill and impairment and reversals of impairments of intangible assets (IAS 38), property, plant and equipment (IAS 16) and right-of-use assets (IFRS 16) that relate to matters which management does not consider indicative of the Company’s performance for the period and that exceed a minimum threshold of €10.0 million per asset or group of assets. Write-downs of inventories (IAS 2) or impairments of other assets not covered by IAS 16, IAS 38 and IFRS 16 are not adjusted.</w:t>
      </w:r>
    </w:p>
    <w:p>
      <w:pPr>
        <w:pStyle w:val="TextBody"/>
        <w:bidi w:val="0"/>
        <w:spacing w:lineRule="atLeast" w:line="300" w:before="0" w:after="120"/>
        <w:ind w:left="0" w:right="0" w:hanging="227"/>
        <w:jc w:val="both"/>
        <w:rPr/>
      </w:pPr>
      <w:r>
        <w:rPr>
          <w:color w:val="BECE33"/>
        </w:rPr>
        <w:t>–</w:t>
      </w:r>
      <w:r>
        <w:rPr>
          <w:rFonts w:ascii="Neue Haas Grotesk Display Pro 65 Medium;serif" w:hAnsi="Neue Haas Grotesk Display Pro 65 Medium;serif"/>
          <w:b w:val="false"/>
          <w:color w:val="080509"/>
          <w:sz w:val="20"/>
        </w:rPr>
        <w:t>Employee-related expenses from restructuring</w:t>
      </w:r>
      <w:r>
        <w:rPr>
          <w:rFonts w:ascii="Neue Haas Grotesk Display Pro 45 Light;serif" w:hAnsi="Neue Haas Grotesk Display Pro 45 Light;serif"/>
          <w:b w:val="false"/>
          <w:color w:val="080509"/>
          <w:sz w:val="20"/>
        </w:rPr>
        <w:t>, defined as: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Major restructuring costs recognized in accordance with IAS 37 for streamlining operations and improving overall efficiency under specific Board approved programs that are of a significant scale and result in a structural change but do not relate to matters which management considers indicative of the Company’s performance for the period, where the costs of individual or related projects, including employee-related costs such as severance or outplacement, exceed a minimum threshold of €10.0 million. This does not include training or relocating continuing staff, marketing, investment in new systems and distribution networks, or consulting costs related to the restructuring.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998220"/>
                <wp:effectExtent l="0" t="0" r="0" b="0"/>
                <wp:wrapNone/>
                <wp:docPr id="146" name="Frame5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4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94" descr=""/>
                          <pic:cNvPicPr>
                            <a:picLocks noChangeAspect="1" noChangeArrowheads="1"/>
                          </pic:cNvPicPr>
                        </pic:nvPicPr>
                        <pic:blipFill>
                          <a:blip r:embed="rId9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4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5" descr=""/>
                          <pic:cNvPicPr>
                            <a:picLocks noChangeAspect="1" noChangeArrowheads="1"/>
                          </pic:cNvPicPr>
                        </pic:nvPicPr>
                        <pic:blipFill>
                          <a:blip r:embed="rId9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120"/>
        <w:ind w:left="0" w:right="0" w:hanging="227"/>
        <w:jc w:val="both"/>
        <w:rPr/>
      </w:pPr>
      <w:r>
        <w:rPr>
          <w:color w:val="BECE33"/>
        </w:rPr>
        <w:t>–</w:t>
      </w:r>
      <w:r>
        <w:rPr>
          <w:rFonts w:ascii="Neue Haas Grotesk Display Pro 65 Medium;serif" w:hAnsi="Neue Haas Grotesk Display Pro 65 Medium;serif"/>
          <w:b w:val="false"/>
          <w:color w:val="080509"/>
          <w:sz w:val="20"/>
        </w:rPr>
        <w:t>Income from bargain purchase and income and expenses from divestiture related items</w:t>
      </w:r>
      <w:r>
        <w:rPr>
          <w:rFonts w:ascii="Neue Haas Grotesk Display Pro 45 Light;serif" w:hAnsi="Neue Haas Grotesk Display Pro 45 Light;serif"/>
          <w:b w:val="false"/>
          <w:color w:val="080509"/>
          <w:sz w:val="20"/>
        </w:rPr>
        <w:t xml:space="preserve">, defined as: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Income from a bargain purchase resulting from a business combination according to IFRS 3/IFRS 10 and income and expenses from valuation of non-current assets as held for sale according to IFRS 5, above a minimum threshold of €10.0 million per item are adjusted, where management does not consider such income or expenses to be indicative of the Company’s performance for the period.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These non-IFRS adjustments result in the following adjusted measures based on IFRS Accounting Standards: adjusted expenses, adjusted operating profit/loss, adjusted profit/loss before tax, adjusted net profit/loss, and adjusted earnings/loss per share on both a basic and diluted basis (each referred to with the prefix “Adjusted” or as a whole “Adjusted Results”). The calculation of these and the adjusted results as a whole is based on the concepts of the applicable IFRS Accounting Standards, but includes the above described adjustments.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Due to their non-standardized nature, our adjusted results may not be directly comparable to those of other companies, unlike measures based on IFRS Accounting Standards.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following tables provide a reconciliation of our adjusted results to our measures based on IFRS Accounting Standards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582"/>
        <w:gridCol w:w="268"/>
        <w:gridCol w:w="270"/>
        <w:gridCol w:w="109"/>
        <w:gridCol w:w="109"/>
        <w:gridCol w:w="109"/>
        <w:gridCol w:w="109"/>
        <w:gridCol w:w="109"/>
        <w:gridCol w:w="109"/>
        <w:gridCol w:w="299"/>
        <w:gridCol w:w="299"/>
        <w:gridCol w:w="303"/>
        <w:gridCol w:w="109"/>
        <w:gridCol w:w="109"/>
        <w:gridCol w:w="109"/>
        <w:gridCol w:w="356"/>
        <w:gridCol w:w="356"/>
        <w:gridCol w:w="357"/>
        <w:gridCol w:w="109"/>
        <w:gridCol w:w="109"/>
        <w:gridCol w:w="109"/>
        <w:gridCol w:w="325"/>
        <w:gridCol w:w="325"/>
        <w:gridCol w:w="326"/>
        <w:gridCol w:w="109"/>
        <w:gridCol w:w="109"/>
        <w:gridCol w:w="109"/>
        <w:gridCol w:w="492"/>
        <w:gridCol w:w="492"/>
        <w:gridCol w:w="493"/>
        <w:gridCol w:w="109"/>
        <w:gridCol w:w="109"/>
        <w:gridCol w:w="109"/>
        <w:gridCol w:w="360"/>
        <w:gridCol w:w="360"/>
        <w:gridCol w:w="361"/>
        <w:gridCol w:w="109"/>
        <w:gridCol w:w="109"/>
        <w:gridCol w:w="109"/>
        <w:gridCol w:w="299"/>
        <w:gridCol w:w="299"/>
        <w:gridCol w:w="303"/>
        <w:gridCol w:w="109"/>
        <w:gridCol w:w="109"/>
        <w:gridCol w:w="173"/>
      </w:tblGrid>
      <w:tr>
        <w:trPr/>
        <w:tc>
          <w:tcPr>
            <w:tcW w:w="58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4" w:type="dxa"/>
            <w:gridSpan w:val="42"/>
            <w:tcBorders/>
            <w:tcMar>
              <w:top w:w="0" w:type="dxa"/>
              <w:left w:w="0" w:type="dxa"/>
              <w:bottom w:w="0" w:type="dxa"/>
              <w:right w:w="0" w:type="dxa"/>
            </w:tcMar>
            <w:vAlign w:val="center"/>
          </w:tcPr>
          <w:p>
            <w:pPr>
              <w:pStyle w:val="TableContents"/>
              <w:bidi w:val="0"/>
              <w:spacing w:lineRule="auto" w:line="336" w:before="0" w:after="80"/>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Non-IFRS Reconciliation for the three months ended June 30, 2026</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4" w:type="dxa"/>
            <w:gridSpan w:val="21"/>
            <w:tcBorders/>
            <w:tcMar>
              <w:top w:w="0" w:type="dxa"/>
              <w:left w:w="0" w:type="dxa"/>
              <w:bottom w:w="0" w:type="dxa"/>
              <w:right w:w="0" w:type="dxa"/>
            </w:tcMar>
            <w:vAlign w:val="center"/>
          </w:tcPr>
          <w:p>
            <w:pPr>
              <w:pStyle w:val="TableContents"/>
              <w:bidi w:val="0"/>
              <w:spacing w:lineRule="auto" w:line="336" w:before="0" w:after="80"/>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non-IFRS adjustments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0" w:type="dxa"/>
            <w:gridSpan w:val="3"/>
            <w:vMerge w:val="restart"/>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 xml:space="preserve">IFRS </w:t>
              <w:b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Expenses and income from legal proceedings</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Impairment and reversal</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Employee-related expenses from restructuring</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Income from bargain purchase and income and expenses from divestiture 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 xml:space="preserve">Adjusted </w:t>
              <w:br/>
              <w:t>Results</w:t>
            </w:r>
          </w:p>
        </w:tc>
        <w:tc>
          <w:tcPr>
            <w:tcW w:w="391"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336" w:before="0" w:after="80"/>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c>
          <w:tcPr>
            <w:tcW w:w="391"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(477.1)</w:t>
            </w:r>
          </w:p>
        </w:tc>
        <w:tc>
          <w:tcPr>
            <w:tcW w:w="391"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(63.5)</w:t>
            </w:r>
          </w:p>
        </w:tc>
        <w:tc>
          <w:tcPr>
            <w:tcW w:w="391"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(689.6)</w:t>
            </w:r>
          </w:p>
        </w:tc>
        <w:tc>
          <w:tcPr>
            <w:tcW w:w="391"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(858.7)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(600.2)</w:t>
            </w:r>
          </w:p>
        </w:tc>
        <w:tc>
          <w:tcPr>
            <w:tcW w:w="391"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65 Medium;serif" w:hAnsi="Neue Haas Grotesk Display Pro 65 Medium;serif"/>
                <w:b/>
                <w:color w:val="005A64"/>
                <w:sz w:val="13"/>
              </w:rPr>
              <w:t>Net loss</w:t>
            </w:r>
            <w:r>
              <w:rPr>
                <w:rFonts w:ascii="Neue Haas Grotesk Display Pro 65 Medium;serif" w:hAnsi="Neue Haas Grotesk Display Pro 65 Medium;serif"/>
                <w:b/>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(820.8)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(562.3)</w:t>
            </w:r>
          </w:p>
        </w:tc>
        <w:tc>
          <w:tcPr>
            <w:tcW w:w="391"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(3.24)</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(2.22)</w:t>
            </w:r>
          </w:p>
        </w:tc>
        <w:tc>
          <w:tcPr>
            <w:tcW w:w="391" w:type="dxa"/>
            <w:gridSpan w:val="3"/>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ind w:left="0" w:right="0" w:hanging="198"/>
        <w:jc w:val="both"/>
        <w:rPr/>
      </w:pPr>
      <w:r>
        <w:rPr>
          <w:rFonts w:ascii="Neue Haas Grotesk Display Pro 55 Roman;serif" w:hAnsi="Neue Haas Grotesk Display Pro 55 Roman;serif"/>
          <w:b w:val="false"/>
          <w:color w:val="107072"/>
          <w:sz w:val="10"/>
        </w:rPr>
        <w:t>(1)</w:t>
      </w:r>
      <w:r>
        <w:rPr>
          <w:color w:val="107072"/>
        </w:rPr>
        <w:t>    </w:t>
      </w:r>
      <w:r>
        <w:rPr>
          <w:rFonts w:ascii="Neue Haas Grotesk Display Pro 55 Roman;serif" w:hAnsi="Neue Haas Grotesk Display Pro 55 Roman;serif"/>
          <w:b w:val="false"/>
          <w:color w:val="107072"/>
          <w:sz w:val="15"/>
        </w:rPr>
        <w:t>Tax effects are not considered as part of our non-IFRS adjustments.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998220"/>
                <wp:effectExtent l="0" t="0" r="0" b="0"/>
                <wp:wrapNone/>
                <wp:docPr id="149" name="Frame5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5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96" descr=""/>
                          <pic:cNvPicPr>
                            <a:picLocks noChangeAspect="1" noChangeArrowheads="1"/>
                          </pic:cNvPicPr>
                        </pic:nvPicPr>
                        <pic:blipFill>
                          <a:blip r:embed="rId9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5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97" descr=""/>
                          <pic:cNvPicPr>
                            <a:picLocks noChangeAspect="1" noChangeArrowheads="1"/>
                          </pic:cNvPicPr>
                        </pic:nvPicPr>
                        <pic:blipFill>
                          <a:blip r:embed="rId9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05"/>
        <w:gridCol w:w="294"/>
        <w:gridCol w:w="296"/>
        <w:gridCol w:w="109"/>
        <w:gridCol w:w="109"/>
        <w:gridCol w:w="109"/>
        <w:gridCol w:w="109"/>
        <w:gridCol w:w="109"/>
        <w:gridCol w:w="109"/>
        <w:gridCol w:w="300"/>
        <w:gridCol w:w="300"/>
        <w:gridCol w:w="304"/>
        <w:gridCol w:w="109"/>
        <w:gridCol w:w="109"/>
        <w:gridCol w:w="109"/>
        <w:gridCol w:w="387"/>
        <w:gridCol w:w="387"/>
        <w:gridCol w:w="388"/>
        <w:gridCol w:w="110"/>
        <w:gridCol w:w="110"/>
        <w:gridCol w:w="110"/>
        <w:gridCol w:w="337"/>
        <w:gridCol w:w="337"/>
        <w:gridCol w:w="339"/>
        <w:gridCol w:w="110"/>
        <w:gridCol w:w="110"/>
        <w:gridCol w:w="110"/>
        <w:gridCol w:w="520"/>
        <w:gridCol w:w="520"/>
        <w:gridCol w:w="521"/>
        <w:gridCol w:w="110"/>
        <w:gridCol w:w="110"/>
        <w:gridCol w:w="110"/>
        <w:gridCol w:w="434"/>
        <w:gridCol w:w="434"/>
        <w:gridCol w:w="435"/>
        <w:gridCol w:w="109"/>
        <w:gridCol w:w="109"/>
        <w:gridCol w:w="109"/>
        <w:gridCol w:w="277"/>
        <w:gridCol w:w="277"/>
        <w:gridCol w:w="415"/>
      </w:tblGrid>
      <w:tr>
        <w:trPr/>
        <w:tc>
          <w:tcPr>
            <w:tcW w:w="4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336" w:before="0" w:after="80"/>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Non-IFRS Reconciliation for the three months ended June 30, 2025</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21"/>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non-IFRS adjustments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vMerge w:val="restart"/>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 xml:space="preserve">IFRS </w:t>
              <w:b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Expenses and income from legal proceedings</w:t>
            </w:r>
          </w:p>
        </w:tc>
        <w:tc>
          <w:tcPr>
            <w:tcW w:w="33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Impairment and reversal</w:t>
            </w:r>
          </w:p>
        </w:tc>
        <w:tc>
          <w:tcPr>
            <w:tcW w:w="33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Employee-related expenses from restructuring</w:t>
            </w:r>
          </w:p>
        </w:tc>
        <w:tc>
          <w:tcPr>
            <w:tcW w:w="33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Income from bargain purchase and income and expenses from divestiture 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 xml:space="preserve">Adjusted </w:t>
              <w:br/>
              <w:t>Results</w:t>
            </w:r>
          </w:p>
        </w:tc>
      </w:tr>
      <w:tr>
        <w:trPr/>
        <w:tc>
          <w:tcPr>
            <w:tcW w:w="9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(117.2)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27.8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(79.4)</w:t>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(501.1)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27.8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(463.3)</w:t>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(402.7)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27.8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(364.9)</w:t>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65 Medium;serif" w:hAnsi="Neue Haas Grotesk Display Pro 65 Medium;serif"/>
                <w:b/>
                <w:color w:val="005A64"/>
                <w:sz w:val="13"/>
              </w:rPr>
              <w:t>Net loss</w:t>
            </w:r>
            <w:r>
              <w:rPr>
                <w:rFonts w:ascii="Neue Haas Grotesk Display Pro 65 Medium;serif" w:hAnsi="Neue Haas Grotesk Display Pro 65 Medium;serif"/>
                <w:b/>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27.8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(348.8)</w:t>
            </w:r>
          </w:p>
        </w:tc>
      </w:tr>
      <w:tr>
        <w:trPr/>
        <w:tc>
          <w:tcPr>
            <w:tcW w:w="9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2" w:space="0" w:color="A8C7CA"/>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2" w:space="0" w:color="A8C7CA"/>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2" w:space="0" w:color="A8C7CA"/>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2" w:space="0" w:color="A8C7CA"/>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(1.45)</w:t>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ind w:left="0" w:right="0" w:hanging="198"/>
        <w:jc w:val="both"/>
        <w:rPr/>
      </w:pPr>
      <w:r>
        <w:rPr>
          <w:rFonts w:ascii="Neue Haas Grotesk Display Pro 55 Roman;serif" w:hAnsi="Neue Haas Grotesk Display Pro 55 Roman;serif"/>
          <w:b w:val="false"/>
          <w:color w:val="107072"/>
          <w:sz w:val="10"/>
        </w:rPr>
        <w:t>(1)</w:t>
      </w:r>
      <w:r>
        <w:rPr>
          <w:color w:val="107072"/>
        </w:rPr>
        <w:t>    </w:t>
      </w:r>
      <w:r>
        <w:rPr>
          <w:rFonts w:ascii="Neue Haas Grotesk Display Pro 55 Roman;serif" w:hAnsi="Neue Haas Grotesk Display Pro 55 Roman;serif"/>
          <w:b w:val="false"/>
          <w:color w:val="107072"/>
          <w:sz w:val="15"/>
        </w:rPr>
        <w:t>Tax effects are not considered as part of our non-IFRS adjustments.</w:t>
      </w:r>
    </w:p>
    <w:tbl>
      <w:tblPr>
        <w:tblW w:w="10205" w:type="dxa"/>
        <w:jc w:val="left"/>
        <w:tblInd w:w="0" w:type="dxa"/>
        <w:tblLayout w:type="fixed"/>
        <w:tblCellMar>
          <w:top w:w="28" w:type="dxa"/>
          <w:left w:w="28" w:type="dxa"/>
          <w:bottom w:w="28" w:type="dxa"/>
          <w:right w:w="28" w:type="dxa"/>
        </w:tblCellMar>
      </w:tblPr>
      <w:tblGrid>
        <w:gridCol w:w="582"/>
        <w:gridCol w:w="268"/>
        <w:gridCol w:w="271"/>
        <w:gridCol w:w="109"/>
        <w:gridCol w:w="109"/>
        <w:gridCol w:w="109"/>
        <w:gridCol w:w="109"/>
        <w:gridCol w:w="109"/>
        <w:gridCol w:w="109"/>
        <w:gridCol w:w="299"/>
        <w:gridCol w:w="299"/>
        <w:gridCol w:w="303"/>
        <w:gridCol w:w="109"/>
        <w:gridCol w:w="109"/>
        <w:gridCol w:w="109"/>
        <w:gridCol w:w="356"/>
        <w:gridCol w:w="356"/>
        <w:gridCol w:w="357"/>
        <w:gridCol w:w="109"/>
        <w:gridCol w:w="109"/>
        <w:gridCol w:w="109"/>
        <w:gridCol w:w="325"/>
        <w:gridCol w:w="325"/>
        <w:gridCol w:w="326"/>
        <w:gridCol w:w="109"/>
        <w:gridCol w:w="109"/>
        <w:gridCol w:w="109"/>
        <w:gridCol w:w="492"/>
        <w:gridCol w:w="492"/>
        <w:gridCol w:w="493"/>
        <w:gridCol w:w="109"/>
        <w:gridCol w:w="109"/>
        <w:gridCol w:w="109"/>
        <w:gridCol w:w="360"/>
        <w:gridCol w:w="360"/>
        <w:gridCol w:w="361"/>
        <w:gridCol w:w="109"/>
        <w:gridCol w:w="109"/>
        <w:gridCol w:w="109"/>
        <w:gridCol w:w="299"/>
        <w:gridCol w:w="299"/>
        <w:gridCol w:w="303"/>
        <w:gridCol w:w="109"/>
        <w:gridCol w:w="109"/>
        <w:gridCol w:w="172"/>
      </w:tblGrid>
      <w:tr>
        <w:trPr/>
        <w:tc>
          <w:tcPr>
            <w:tcW w:w="58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5" w:type="dxa"/>
            <w:gridSpan w:val="42"/>
            <w:tcBorders/>
            <w:tcMar>
              <w:top w:w="0" w:type="dxa"/>
              <w:left w:w="0" w:type="dxa"/>
              <w:bottom w:w="0" w:type="dxa"/>
              <w:right w:w="0" w:type="dxa"/>
            </w:tcMar>
            <w:vAlign w:val="center"/>
          </w:tcPr>
          <w:p>
            <w:pPr>
              <w:pStyle w:val="TableContents"/>
              <w:bidi w:val="0"/>
              <w:spacing w:lineRule="auto" w:line="336" w:before="0" w:after="80"/>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Non-IFRS Reconciliation for the six months ended June 30, 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c>
          <w:tcPr>
            <w:tcW w:w="558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4" w:type="dxa"/>
            <w:gridSpan w:val="21"/>
            <w:tcBorders/>
            <w:tcMar>
              <w:top w:w="0" w:type="dxa"/>
              <w:left w:w="0" w:type="dxa"/>
              <w:bottom w:w="0" w:type="dxa"/>
              <w:right w:w="0" w:type="dxa"/>
            </w:tcMar>
            <w:vAlign w:val="center"/>
          </w:tcPr>
          <w:p>
            <w:pPr>
              <w:pStyle w:val="TableContents"/>
              <w:bidi w:val="0"/>
              <w:spacing w:lineRule="auto" w:line="336" w:before="0" w:after="80"/>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non-IFRS adjustments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1" w:type="dxa"/>
            <w:gridSpan w:val="3"/>
            <w:vMerge w:val="restart"/>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336" w:before="0" w:after="283"/>
              <w:ind w:left="0" w:right="0" w:hanging="198"/>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 xml:space="preserve">IFRS </w:t>
              <w:b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Expenses and income from legal proceedings</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Impairment and reversal</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Employee-related expenses from restructuring</w:t>
            </w:r>
          </w:p>
        </w:tc>
        <w:tc>
          <w:tcPr>
            <w:tcW w:w="32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Income from bargain purchase and income and expenses from divestiture 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 xml:space="preserve">Adjusted </w:t>
              <w:br/>
              <w:t>Results</w:t>
            </w:r>
          </w:p>
        </w:tc>
        <w:tc>
          <w:tcPr>
            <w:tcW w:w="390"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c>
          <w:tcPr>
            <w:tcW w:w="390"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(1,108.0)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(1,004.2)</w:t>
            </w:r>
          </w:p>
        </w:tc>
        <w:tc>
          <w:tcPr>
            <w:tcW w:w="390"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(89.3)</w:t>
            </w:r>
          </w:p>
        </w:tc>
        <w:tc>
          <w:tcPr>
            <w:tcW w:w="390"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(1,625.6)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(1,329.8)</w:t>
            </w:r>
          </w:p>
        </w:tc>
        <w:tc>
          <w:tcPr>
            <w:tcW w:w="390"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(1,426.8)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(1,131.0)</w:t>
            </w:r>
          </w:p>
        </w:tc>
        <w:tc>
          <w:tcPr>
            <w:tcW w:w="390"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65 Medium;serif" w:hAnsi="Neue Haas Grotesk Display Pro 65 Medium;serif"/>
                <w:b/>
                <w:color w:val="005A64"/>
                <w:sz w:val="13"/>
              </w:rPr>
              <w:t>Net loss</w:t>
            </w:r>
            <w:r>
              <w:rPr>
                <w:rFonts w:ascii="Neue Haas Grotesk Display Pro 65 Medium;serif" w:hAnsi="Neue Haas Grotesk Display Pro 65 Medium;serif"/>
                <w:b/>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(1,352.7)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(1,056.9)</w:t>
            </w:r>
          </w:p>
        </w:tc>
        <w:tc>
          <w:tcPr>
            <w:tcW w:w="390"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(5.34)</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7FACB1"/>
              <w:bottom w:val="single" w:sz="8" w:space="0" w:color="BECE3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(4.17)</w:t>
            </w:r>
          </w:p>
        </w:tc>
        <w:tc>
          <w:tcPr>
            <w:tcW w:w="390" w:type="dxa"/>
            <w:gridSpan w:val="3"/>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ind w:left="0" w:right="0" w:hanging="198"/>
        <w:jc w:val="both"/>
        <w:rPr/>
      </w:pPr>
      <w:r>
        <w:rPr>
          <w:rFonts w:ascii="Neue Haas Grotesk Display Pro 55 Roman;serif" w:hAnsi="Neue Haas Grotesk Display Pro 55 Roman;serif"/>
          <w:b w:val="false"/>
          <w:color w:val="107072"/>
          <w:sz w:val="10"/>
        </w:rPr>
        <w:t>(1)</w:t>
      </w:r>
      <w:r>
        <w:rPr>
          <w:color w:val="107072"/>
        </w:rPr>
        <w:t>    </w:t>
      </w:r>
      <w:r>
        <w:rPr>
          <w:rFonts w:ascii="Neue Haas Grotesk Display Pro 55 Roman;serif" w:hAnsi="Neue Haas Grotesk Display Pro 55 Roman;serif"/>
          <w:b w:val="false"/>
          <w:color w:val="107072"/>
          <w:sz w:val="15"/>
        </w:rPr>
        <w:t>Tax effects are not considered as part of our non-IFRS adjustments.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998220"/>
                <wp:effectExtent l="0" t="0" r="0" b="0"/>
                <wp:wrapNone/>
                <wp:docPr id="152" name="Frame5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5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98" descr=""/>
                          <pic:cNvPicPr>
                            <a:picLocks noChangeAspect="1" noChangeArrowheads="1"/>
                          </pic:cNvPicPr>
                        </pic:nvPicPr>
                        <pic:blipFill>
                          <a:blip r:embed="rId9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5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9" descr=""/>
                          <pic:cNvPicPr>
                            <a:picLocks noChangeAspect="1" noChangeArrowheads="1"/>
                          </pic:cNvPicPr>
                        </pic:nvPicPr>
                        <pic:blipFill>
                          <a:blip r:embed="rId10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05"/>
        <w:gridCol w:w="294"/>
        <w:gridCol w:w="296"/>
        <w:gridCol w:w="109"/>
        <w:gridCol w:w="109"/>
        <w:gridCol w:w="109"/>
        <w:gridCol w:w="109"/>
        <w:gridCol w:w="109"/>
        <w:gridCol w:w="109"/>
        <w:gridCol w:w="300"/>
        <w:gridCol w:w="300"/>
        <w:gridCol w:w="304"/>
        <w:gridCol w:w="109"/>
        <w:gridCol w:w="109"/>
        <w:gridCol w:w="109"/>
        <w:gridCol w:w="388"/>
        <w:gridCol w:w="388"/>
        <w:gridCol w:w="389"/>
        <w:gridCol w:w="110"/>
        <w:gridCol w:w="110"/>
        <w:gridCol w:w="110"/>
        <w:gridCol w:w="338"/>
        <w:gridCol w:w="338"/>
        <w:gridCol w:w="339"/>
        <w:gridCol w:w="110"/>
        <w:gridCol w:w="110"/>
        <w:gridCol w:w="110"/>
        <w:gridCol w:w="520"/>
        <w:gridCol w:w="520"/>
        <w:gridCol w:w="521"/>
        <w:gridCol w:w="110"/>
        <w:gridCol w:w="110"/>
        <w:gridCol w:w="110"/>
        <w:gridCol w:w="434"/>
        <w:gridCol w:w="434"/>
        <w:gridCol w:w="436"/>
        <w:gridCol w:w="109"/>
        <w:gridCol w:w="109"/>
        <w:gridCol w:w="109"/>
        <w:gridCol w:w="277"/>
        <w:gridCol w:w="277"/>
        <w:gridCol w:w="409"/>
      </w:tblGrid>
      <w:tr>
        <w:trPr/>
        <w:tc>
          <w:tcPr>
            <w:tcW w:w="4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336" w:before="0" w:after="80"/>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Non-IFRS Reconciliation for the six months ended June 30, 2025</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5" w:type="dxa"/>
            <w:gridSpan w:val="21"/>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non-IFRS adjustments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vMerge w:val="restart"/>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(in millions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 xml:space="preserve">IFRS </w:t>
              <w:b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Expenses and income from legal proceedings</w:t>
            </w:r>
          </w:p>
        </w:tc>
        <w:tc>
          <w:tcPr>
            <w:tcW w:w="33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Impairment and reversal</w:t>
            </w:r>
          </w:p>
        </w:tc>
        <w:tc>
          <w:tcPr>
            <w:tcW w:w="33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Employee-related expenses from restructuring</w:t>
            </w:r>
          </w:p>
        </w:tc>
        <w:tc>
          <w:tcPr>
            <w:tcW w:w="33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Income from bargain purchase and income and expenses from divestiture 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 xml:space="preserve">Adjusted </w:t>
              <w:br/>
              <w:t>Results</w:t>
            </w:r>
          </w:p>
        </w:tc>
      </w:tr>
      <w:tr>
        <w:trPr/>
        <w:tc>
          <w:tcPr>
            <w:tcW w:w="9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op w:val="single" w:sz="8" w:space="0" w:color="005A64"/>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i/>
                <w:color w:val="005A64"/>
                <w:sz w:val="13"/>
              </w:rPr>
            </w:pPr>
            <w:r>
              <w:rPr>
                <w:rFonts w:ascii="Neue Haas Grotesk Display Pro 55 Roman;serif" w:hAnsi="Neue Haas Grotesk Display Pro 55 Roman;serif"/>
                <w:b w:val="false"/>
                <w:i/>
                <w:color w:val="005A64"/>
                <w:sz w:val="13"/>
              </w:rPr>
              <w:t>(unaudited)</w:t>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(165.7)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27.8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(127.9)</w:t>
            </w:r>
          </w:p>
        </w:tc>
      </w:tr>
      <w:tr>
        <w:trPr/>
        <w:tc>
          <w:tcPr>
            <w:tcW w:w="99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Other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124.8</w:t>
            </w:r>
          </w:p>
        </w:tc>
      </w:tr>
      <w:tr>
        <w:trPr/>
        <w:tc>
          <w:tcPr>
            <w:tcW w:w="99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(1,035.2)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27.8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(1,012.4)</w:t>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Loss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27.8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(825.3)</w:t>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65 Medium;serif" w:hAnsi="Neue Haas Grotesk Display Pro 65 Medium;serif"/>
                <w:b/>
                <w:color w:val="005A64"/>
                <w:sz w:val="13"/>
              </w:rPr>
              <w:t>Net loss</w:t>
            </w:r>
            <w:r>
              <w:rPr>
                <w:rFonts w:ascii="Neue Haas Grotesk Display Pro 65 Medium;serif" w:hAnsi="Neue Haas Grotesk Display Pro 65 Medium;serif"/>
                <w:b/>
                <w:color w:val="005A64"/>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(802.4)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27.8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3"/>
              </w:rPr>
            </w:pPr>
            <w:r>
              <w:rPr>
                <w:rFonts w:ascii="Neue Haas Grotesk Display Pro 65 Medium;serif" w:hAnsi="Neue Haas Grotesk Display Pro 65 Medium;serif"/>
                <w:b/>
                <w:color w:val="005A64"/>
                <w:sz w:val="13"/>
              </w:rPr>
              <w:t>(779.6)</w:t>
            </w:r>
          </w:p>
        </w:tc>
      </w:tr>
      <w:tr>
        <w:trPr/>
        <w:tc>
          <w:tcPr>
            <w:tcW w:w="995"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3"/>
              </w:rPr>
            </w:pPr>
            <w:r>
              <w:rPr>
                <w:rFonts w:ascii="Neue Haas Grotesk Display Pro 65 Medium;serif" w:hAnsi="Neue Haas Grotesk Display Pro 65 Medium;serif"/>
                <w:b/>
                <w:color w:val="3C9673"/>
                <w:sz w:val="13"/>
              </w:rPr>
              <w:t>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2" w:space="0" w:color="A8C7CA"/>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2" w:space="0" w:color="A8C7CA"/>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2" w:space="0" w:color="A8C7CA"/>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2" w:space="0" w:color="A8C7CA"/>
              <w:bottom w:val="single" w:sz="8" w:space="0" w:color="005A64"/>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3"/>
              </w:rPr>
            </w:pPr>
            <w:r>
              <w:rPr>
                <w:rFonts w:ascii="Neue Haas Grotesk Display Pro 55 Roman;serif" w:hAnsi="Neue Haas Grotesk Display Pro 55 Roman;serif"/>
                <w:b w:val="false"/>
                <w:color w:val="005A64"/>
                <w:sz w:val="13"/>
              </w:rPr>
              <w:t>(3.23)</w:t>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ind w:left="0" w:right="0" w:hanging="198"/>
        <w:jc w:val="both"/>
        <w:rPr/>
      </w:pPr>
      <w:r>
        <w:rPr>
          <w:rFonts w:ascii="Neue Haas Grotesk Display Pro 55 Roman;serif" w:hAnsi="Neue Haas Grotesk Display Pro 55 Roman;serif"/>
          <w:b w:val="false"/>
          <w:color w:val="107072"/>
          <w:sz w:val="10"/>
        </w:rPr>
        <w:t>(1)</w:t>
      </w:r>
      <w:r>
        <w:rPr>
          <w:color w:val="107072"/>
        </w:rPr>
        <w:t>    </w:t>
      </w:r>
      <w:r>
        <w:rPr>
          <w:rFonts w:ascii="Neue Haas Grotesk Display Pro 55 Roman;serif" w:hAnsi="Neue Haas Grotesk Display Pro 55 Roman;serif"/>
          <w:b w:val="false"/>
          <w:color w:val="107072"/>
          <w:sz w:val="15"/>
        </w:rPr>
        <w:t>Tax effects are not considered as part of our non-IFRS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Comparison of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72" w:type="dxa"/>
        <w:jc w:val="left"/>
        <w:tblInd w:w="0" w:type="dxa"/>
        <w:tblLayout w:type="fixed"/>
        <w:tblCellMar>
          <w:top w:w="28" w:type="dxa"/>
          <w:left w:w="28" w:type="dxa"/>
          <w:bottom w:w="28" w:type="dxa"/>
          <w:right w:w="28" w:type="dxa"/>
        </w:tblCellMar>
      </w:tblPr>
      <w:tblGrid>
        <w:gridCol w:w="890"/>
        <w:gridCol w:w="784"/>
        <w:gridCol w:w="786"/>
        <w:gridCol w:w="109"/>
        <w:gridCol w:w="109"/>
        <w:gridCol w:w="109"/>
        <w:gridCol w:w="109"/>
        <w:gridCol w:w="109"/>
        <w:gridCol w:w="109"/>
        <w:gridCol w:w="237"/>
        <w:gridCol w:w="237"/>
        <w:gridCol w:w="237"/>
        <w:gridCol w:w="237"/>
        <w:gridCol w:w="237"/>
        <w:gridCol w:w="237"/>
        <w:gridCol w:w="237"/>
        <w:gridCol w:w="237"/>
        <w:gridCol w:w="237"/>
        <w:gridCol w:w="237"/>
        <w:gridCol w:w="237"/>
        <w:gridCol w:w="237"/>
        <w:gridCol w:w="109"/>
        <w:gridCol w:w="109"/>
        <w:gridCol w:w="109"/>
        <w:gridCol w:w="109"/>
        <w:gridCol w:w="109"/>
        <w:gridCol w:w="109"/>
        <w:gridCol w:w="263"/>
        <w:gridCol w:w="263"/>
        <w:gridCol w:w="268"/>
        <w:gridCol w:w="109"/>
        <w:gridCol w:w="109"/>
        <w:gridCol w:w="109"/>
        <w:gridCol w:w="109"/>
        <w:gridCol w:w="109"/>
        <w:gridCol w:w="109"/>
        <w:gridCol w:w="248"/>
        <w:gridCol w:w="248"/>
        <w:gridCol w:w="316"/>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711"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w:t>
            </w:r>
          </w:p>
        </w:tc>
      </w:tr>
      <w:tr>
        <w:trPr/>
        <w:tc>
          <w:tcPr>
            <w:tcW w:w="246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COVID-19 vaccine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51.9</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(66)</w:t>
            </w:r>
          </w:p>
        </w:tc>
        <w:tc>
          <w:tcPr>
            <w:tcW w:w="316" w:type="dxa"/>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53.7</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(50)</w:t>
            </w:r>
          </w:p>
        </w:tc>
        <w:tc>
          <w:tcPr>
            <w:tcW w:w="316" w:type="dxa"/>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2460"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A8C7CA"/>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105.6</w:t>
            </w:r>
          </w:p>
        </w:tc>
        <w:tc>
          <w:tcPr>
            <w:tcW w:w="711"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(155.2)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(60)</w:t>
            </w:r>
          </w:p>
        </w:tc>
        <w:tc>
          <w:tcPr>
            <w:tcW w:w="316" w:type="dxa"/>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32" w:type="dxa"/>
        <w:jc w:val="left"/>
        <w:tblInd w:w="0" w:type="dxa"/>
        <w:tblLayout w:type="fixed"/>
        <w:tblCellMar>
          <w:top w:w="28" w:type="dxa"/>
          <w:left w:w="28" w:type="dxa"/>
          <w:bottom w:w="28" w:type="dxa"/>
          <w:right w:w="28" w:type="dxa"/>
        </w:tblCellMar>
      </w:tblPr>
      <w:tblGrid>
        <w:gridCol w:w="890"/>
        <w:gridCol w:w="784"/>
        <w:gridCol w:w="786"/>
        <w:gridCol w:w="109"/>
        <w:gridCol w:w="109"/>
        <w:gridCol w:w="109"/>
        <w:gridCol w:w="109"/>
        <w:gridCol w:w="109"/>
        <w:gridCol w:w="109"/>
        <w:gridCol w:w="217"/>
        <w:gridCol w:w="217"/>
        <w:gridCol w:w="217"/>
        <w:gridCol w:w="217"/>
        <w:gridCol w:w="217"/>
        <w:gridCol w:w="217"/>
        <w:gridCol w:w="217"/>
        <w:gridCol w:w="217"/>
        <w:gridCol w:w="217"/>
        <w:gridCol w:w="217"/>
        <w:gridCol w:w="217"/>
        <w:gridCol w:w="217"/>
        <w:gridCol w:w="109"/>
        <w:gridCol w:w="109"/>
        <w:gridCol w:w="109"/>
        <w:gridCol w:w="109"/>
        <w:gridCol w:w="109"/>
        <w:gridCol w:w="109"/>
        <w:gridCol w:w="263"/>
        <w:gridCol w:w="263"/>
        <w:gridCol w:w="268"/>
        <w:gridCol w:w="109"/>
        <w:gridCol w:w="109"/>
        <w:gridCol w:w="109"/>
        <w:gridCol w:w="109"/>
        <w:gridCol w:w="109"/>
        <w:gridCol w:w="109"/>
        <w:gridCol w:w="248"/>
        <w:gridCol w:w="248"/>
        <w:gridCol w:w="316"/>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651"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w:t>
            </w:r>
          </w:p>
        </w:tc>
      </w:tr>
      <w:tr>
        <w:trPr/>
        <w:tc>
          <w:tcPr>
            <w:tcW w:w="246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COVID-19 vaccine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118.8</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286.3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(59)</w:t>
            </w:r>
          </w:p>
        </w:tc>
        <w:tc>
          <w:tcPr>
            <w:tcW w:w="316" w:type="dxa"/>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104.9</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(33)</w:t>
            </w:r>
          </w:p>
        </w:tc>
        <w:tc>
          <w:tcPr>
            <w:tcW w:w="316" w:type="dxa"/>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2460"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2" w:space="0" w:color="A8C7CA"/>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223.7</w:t>
            </w:r>
          </w:p>
        </w:tc>
        <w:tc>
          <w:tcPr>
            <w:tcW w:w="651"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443.6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(219.9)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(50)</w:t>
            </w:r>
          </w:p>
        </w:tc>
        <w:tc>
          <w:tcPr>
            <w:tcW w:w="316" w:type="dxa"/>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COVID-19 Vaccine Revenues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COVID-19 vaccine revenues decreased by €101.4 million, or 66%, from €153.3 million during the three months ended June 30, 2025, to €51.9 million during the three months ended June 30, 2026, and decreased by €167.5 million, or 59%, from €286.3 million during the six months ended June 30, 2025, to €118.8 million during the six months ended June 30, 2026. The decreases for the three and six months ended June 30, 2026, each compared with the corresponding prior</w:t>
        <w:noBreakHyphen/>
        <w:t xml:space="preserve">year period, were mainly driven by a lower volume of doses sold during the three and six months ended June 30, 2026. Our COVID-19 vaccine revenues are subject to seasonal effects in the fall and winter of the northern hemisphere. </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Other Revenues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remaining other revenues decreased by €53.8 million, or 50%, from €107.5 million during the three months ended June 30, 2025, to €53.7 million during the three months ended June 30, 2026, and decreased by €52.4 million, or 33%, from €157.3 million during the six months ended June 30, 2025,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998220"/>
                <wp:effectExtent l="0" t="0" r="0" b="0"/>
                <wp:wrapNone/>
                <wp:docPr id="155" name="Frame5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49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5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0" descr=""/>
                          <pic:cNvPicPr>
                            <a:picLocks noChangeAspect="1" noChangeArrowheads="1"/>
                          </pic:cNvPicPr>
                        </pic:nvPicPr>
                        <pic:blipFill>
                          <a:blip r:embed="rId10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5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01" descr=""/>
                          <pic:cNvPicPr>
                            <a:picLocks noChangeAspect="1" noChangeArrowheads="1"/>
                          </pic:cNvPicPr>
                        </pic:nvPicPr>
                        <pic:blipFill>
                          <a:blip r:embed="rId10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color w:val="080509"/>
        </w:rPr>
      </w:pPr>
      <w:r>
        <w:rPr>
          <w:color w:val="080509"/>
        </w:rPr>
        <w:t>€</w:t>
      </w:r>
      <w:r>
        <w:rPr>
          <w:rFonts w:ascii="Neue Haas Grotesk Display Pro 45 Light;serif" w:hAnsi="Neue Haas Grotesk Display Pro 45 Light;serif"/>
          <w:b w:val="false"/>
          <w:color w:val="080509"/>
          <w:sz w:val="20"/>
        </w:rPr>
        <w:t xml:space="preserve">104.9 million during the six months ended June 30, 2026, and primarily comprise revenues resulting from our pandemic preparedness contract with the German government.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Cost of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cost of sales increased by €20.6 million, or 27%, from €76.4 million during the three months ended June 30, 2025, to €97.0 million during the three months ended June 30, 2026, and increased by €8.2 million, or 5%, from €160.2 million during the six months ended June 30, 2025, to €168.4 million during the six months ended June 30, 2026. The increases for the three and six months ended June 30, 2026, each compared with the corresponding prior</w:t>
        <w:noBreakHyphen/>
        <w:t>year period, were mainly driven by the inclusion of degressive amortization charges related to assets acquired in connection with the acquisition of CureVac N.V., or CureVac, partially offset by lower expenses arising from inventory write-downs to net realizable value due to inventories expected to be unsellable, not fulfilling the specification defined by our quality standards, shelf-life expiry or destruction of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Research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406"/>
        <w:gridCol w:w="1225"/>
        <w:gridCol w:w="1216"/>
        <w:gridCol w:w="109"/>
        <w:gridCol w:w="109"/>
        <w:gridCol w:w="109"/>
        <w:gridCol w:w="109"/>
        <w:gridCol w:w="109"/>
        <w:gridCol w:w="109"/>
        <w:gridCol w:w="275"/>
        <w:gridCol w:w="275"/>
        <w:gridCol w:w="237"/>
        <w:gridCol w:w="227"/>
        <w:gridCol w:w="227"/>
        <w:gridCol w:w="227"/>
        <w:gridCol w:w="227"/>
        <w:gridCol w:w="227"/>
        <w:gridCol w:w="227"/>
        <w:gridCol w:w="275"/>
        <w:gridCol w:w="275"/>
        <w:gridCol w:w="237"/>
        <w:gridCol w:w="109"/>
        <w:gridCol w:w="109"/>
        <w:gridCol w:w="109"/>
        <w:gridCol w:w="109"/>
        <w:gridCol w:w="109"/>
        <w:gridCol w:w="109"/>
        <w:gridCol w:w="220"/>
        <w:gridCol w:w="220"/>
        <w:gridCol w:w="228"/>
        <w:gridCol w:w="109"/>
        <w:gridCol w:w="109"/>
        <w:gridCol w:w="109"/>
        <w:gridCol w:w="109"/>
        <w:gridCol w:w="109"/>
        <w:gridCol w:w="109"/>
        <w:gridCol w:w="233"/>
        <w:gridCol w:w="233"/>
        <w:gridCol w:w="326"/>
      </w:tblGrid>
      <w:tr>
        <w:trPr/>
        <w:tc>
          <w:tcPr>
            <w:tcW w:w="140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84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Change</w:t>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681"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w:t>
            </w:r>
          </w:p>
        </w:tc>
      </w:tr>
      <w:tr>
        <w:trPr/>
        <w:tc>
          <w:tcPr>
            <w:tcW w:w="384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External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(200.0)</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(233.9)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w:t>
            </w:r>
          </w:p>
        </w:tc>
        <w:tc>
          <w:tcPr>
            <w:tcW w:w="326" w:type="dxa"/>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384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(169.5)</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(164.1)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3 </w:t>
            </w:r>
          </w:p>
        </w:tc>
        <w:tc>
          <w:tcPr>
            <w:tcW w:w="326" w:type="dxa"/>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384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Depreciation, amortization and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(108.6)</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366 </w:t>
            </w:r>
          </w:p>
        </w:tc>
        <w:tc>
          <w:tcPr>
            <w:tcW w:w="326" w:type="dxa"/>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384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6"/>
              </w:rPr>
              <w:t>Other</w:t>
            </w:r>
            <w:r>
              <w:rPr>
                <w:rFonts w:ascii="Neue Haas Grotesk Display Pro 55 Roman;serif" w:hAnsi="Neue Haas Grotesk Display Pro 55 Roman;serif"/>
                <w:b w:val="false"/>
                <w:color w:val="005A64"/>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(72.9)</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(17)</w:t>
            </w:r>
          </w:p>
        </w:tc>
        <w:tc>
          <w:tcPr>
            <w:tcW w:w="326" w:type="dxa"/>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3847"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 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A8C7CA"/>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(551.0)</w:t>
            </w:r>
          </w:p>
        </w:tc>
        <w:tc>
          <w:tcPr>
            <w:tcW w:w="681"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(509.1)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pPr>
            <w:r>
              <w:rPr>
                <w:rFonts w:ascii="Neue Haas Grotesk Display Pro 65 Medium;serif" w:hAnsi="Neue Haas Grotesk Display Pro 65 Medium;serif"/>
                <w:b/>
                <w:color w:val="005A64"/>
                <w:sz w:val="16"/>
              </w:rPr>
              <w:t>8</w:t>
            </w:r>
            <w:r>
              <w:rPr>
                <w:color w:val="005A64"/>
              </w:rPr>
              <w:t> </w:t>
            </w:r>
          </w:p>
        </w:tc>
        <w:tc>
          <w:tcPr>
            <w:tcW w:w="326" w:type="dxa"/>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w:t>
            </w:r>
          </w:p>
        </w:tc>
      </w:tr>
    </w:tbl>
    <w:p>
      <w:pPr>
        <w:pStyle w:val="TextBody"/>
        <w:bidi w:val="0"/>
        <w:spacing w:lineRule="auto" w:line="288" w:before="0" w:after="320"/>
        <w:ind w:left="0" w:right="0" w:hanging="198"/>
        <w:jc w:val="both"/>
        <w:rPr/>
      </w:pPr>
      <w:r>
        <w:rPr>
          <w:rFonts w:ascii="Neue Haas Grotesk Display Pro 55 Roman;serif" w:hAnsi="Neue Haas Grotesk Display Pro 55 Roman;serif"/>
          <w:b w:val="false"/>
          <w:color w:val="107072"/>
          <w:sz w:val="10"/>
        </w:rPr>
        <w:t>(1)</w:t>
      </w:r>
      <w:r>
        <w:rPr>
          <w:color w:val="107072"/>
        </w:rPr>
        <w:t>    </w:t>
      </w:r>
      <w:r>
        <w:rPr>
          <w:rFonts w:ascii="Neue Haas Grotesk Display Pro 55 Roman;serif" w:hAnsi="Neue Haas Grotesk Display Pro 55 Roman;serif"/>
          <w:b w:val="false"/>
          <w:color w:val="107072"/>
          <w:sz w:val="15"/>
        </w:rPr>
        <w:t>Includes cost allocations for services received from other functions as a bundle, comprising, among others, employee-related and other allocated costs that cannot be separately distinguished or assigned to the line items presented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47"/>
        <w:gridCol w:w="1161"/>
        <w:gridCol w:w="1139"/>
        <w:gridCol w:w="109"/>
        <w:gridCol w:w="109"/>
        <w:gridCol w:w="109"/>
        <w:gridCol w:w="109"/>
        <w:gridCol w:w="109"/>
        <w:gridCol w:w="109"/>
        <w:gridCol w:w="330"/>
        <w:gridCol w:w="330"/>
        <w:gridCol w:w="302"/>
        <w:gridCol w:w="201"/>
        <w:gridCol w:w="201"/>
        <w:gridCol w:w="201"/>
        <w:gridCol w:w="201"/>
        <w:gridCol w:w="201"/>
        <w:gridCol w:w="201"/>
        <w:gridCol w:w="330"/>
        <w:gridCol w:w="330"/>
        <w:gridCol w:w="302"/>
        <w:gridCol w:w="109"/>
        <w:gridCol w:w="109"/>
        <w:gridCol w:w="109"/>
        <w:gridCol w:w="109"/>
        <w:gridCol w:w="109"/>
        <w:gridCol w:w="109"/>
        <w:gridCol w:w="224"/>
        <w:gridCol w:w="224"/>
        <w:gridCol w:w="232"/>
        <w:gridCol w:w="109"/>
        <w:gridCol w:w="109"/>
        <w:gridCol w:w="109"/>
        <w:gridCol w:w="109"/>
        <w:gridCol w:w="109"/>
        <w:gridCol w:w="109"/>
        <w:gridCol w:w="233"/>
        <w:gridCol w:w="233"/>
        <w:gridCol w:w="320"/>
      </w:tblGrid>
      <w:tr>
        <w:trPr/>
        <w:tc>
          <w:tcPr>
            <w:tcW w:w="134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4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Change</w:t>
            </w:r>
          </w:p>
        </w:tc>
      </w:tr>
      <w:tr>
        <w:trPr/>
        <w:tc>
          <w:tcPr>
            <w:tcW w:w="3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BECD32"/>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603"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w:t>
            </w:r>
          </w:p>
        </w:tc>
      </w:tr>
      <w:tr>
        <w:trPr/>
        <w:tc>
          <w:tcPr>
            <w:tcW w:w="3647"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External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(441.2)</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w:t>
            </w:r>
          </w:p>
        </w:tc>
        <w:tc>
          <w:tcPr>
            <w:tcW w:w="320" w:type="dxa"/>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364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(333.0)</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(318.3)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5 </w:t>
            </w:r>
          </w:p>
        </w:tc>
        <w:tc>
          <w:tcPr>
            <w:tcW w:w="320" w:type="dxa"/>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364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Depreciation, amortization and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(174.6)</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262 </w:t>
            </w:r>
          </w:p>
        </w:tc>
        <w:tc>
          <w:tcPr>
            <w:tcW w:w="320" w:type="dxa"/>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3647"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80"/>
              <w:jc w:val="left"/>
              <w:rPr/>
            </w:pPr>
            <w:r>
              <w:rPr>
                <w:rFonts w:ascii="Neue Haas Grotesk Display Pro 55 Roman;serif" w:hAnsi="Neue Haas Grotesk Display Pro 55 Roman;serif"/>
                <w:b w:val="false"/>
                <w:color w:val="005A64"/>
                <w:sz w:val="16"/>
              </w:rPr>
              <w:t>Other</w:t>
            </w:r>
            <w:r>
              <w:rPr>
                <w:rFonts w:ascii="Neue Haas Grotesk Display Pro 55 Roman;serif" w:hAnsi="Neue Haas Grotesk Display Pro 55 Roman;serif"/>
                <w:b w:val="false"/>
                <w:color w:val="005A64"/>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(159.2)</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(171.9)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w:t>
            </w:r>
          </w:p>
        </w:tc>
        <w:tc>
          <w:tcPr>
            <w:tcW w:w="320" w:type="dxa"/>
            <w:tcBorders>
              <w:top w:val="single" w:sz="2" w:space="0" w:color="A8C7CA"/>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w:t>
            </w:r>
          </w:p>
        </w:tc>
      </w:tr>
      <w:tr>
        <w:trPr/>
        <w:tc>
          <w:tcPr>
            <w:tcW w:w="3647"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 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A8C7CA"/>
              <w:bottom w:val="single" w:sz="8" w:space="0" w:color="BECD32"/>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(1,108.0)</w:t>
            </w:r>
          </w:p>
        </w:tc>
        <w:tc>
          <w:tcPr>
            <w:tcW w:w="603"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(1,034.7)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(73.3)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pPr>
            <w:r>
              <w:rPr>
                <w:rFonts w:ascii="Neue Haas Grotesk Display Pro 65 Medium;serif" w:hAnsi="Neue Haas Grotesk Display Pro 65 Medium;serif"/>
                <w:b/>
                <w:color w:val="005A64"/>
                <w:sz w:val="16"/>
              </w:rPr>
              <w:t>7</w:t>
            </w:r>
            <w:r>
              <w:rPr>
                <w:color w:val="005A64"/>
              </w:rPr>
              <w:t> </w:t>
            </w:r>
          </w:p>
        </w:tc>
        <w:tc>
          <w:tcPr>
            <w:tcW w:w="320" w:type="dxa"/>
            <w:tcBorders>
              <w:top w:val="single" w:sz="2" w:space="0" w:color="A8C7CA"/>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w:t>
            </w:r>
          </w:p>
        </w:tc>
      </w:tr>
    </w:tbl>
    <w:p>
      <w:pPr>
        <w:pStyle w:val="TextBody"/>
        <w:bidi w:val="0"/>
        <w:spacing w:lineRule="auto" w:line="288" w:before="60" w:after="320"/>
        <w:ind w:left="0" w:right="0" w:hanging="198"/>
        <w:jc w:val="both"/>
        <w:rPr/>
      </w:pPr>
      <w:r>
        <w:rPr>
          <w:rFonts w:ascii="Neue Haas Grotesk Display Pro 55 Roman;serif" w:hAnsi="Neue Haas Grotesk Display Pro 55 Roman;serif"/>
          <w:b w:val="false"/>
          <w:color w:val="107072"/>
          <w:sz w:val="10"/>
        </w:rPr>
        <w:t>(1)</w:t>
      </w:r>
      <w:r>
        <w:rPr>
          <w:color w:val="107072"/>
        </w:rPr>
        <w:t>    </w:t>
      </w:r>
      <w:r>
        <w:rPr>
          <w:rFonts w:ascii="Neue Haas Grotesk Display Pro 55 Roman;serif" w:hAnsi="Neue Haas Grotesk Display Pro 55 Roman;serif"/>
          <w:b w:val="false"/>
          <w:color w:val="107072"/>
          <w:sz w:val="15"/>
        </w:rPr>
        <w:t>Includes cost allocations for services received from other functions as a bundle, comprising, among others, employee-related and other allocated costs that cannot be separately distinguished or assigned to the line items presented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research and development expenses increased by €41.9 million, or 8%, from €509.1 million during the three months ended June 30, 2025, to €551.0 million during the three months ended June 30, 2026, and increased by €73.3 million, or 7%, from €1,034.7 million during the six months ended June 30, 2025, to €1,108.0 million during the six months ended June 30, 2026. The increases for the three and six months ended June 30, 2026, each compared with the corresponding prior</w:t>
        <w:noBreakHyphen/>
        <w:t xml:space="preserve">year period, were mainly driven by higher expenses for our immuno-oncology, or IO, and antibody-drug conjugate, or ADC, programs, in particular pumitamig and gotistobart, by impairments related to early clinical-stage product candidates recorded in June 2026 (see Note 6 to the unaudited interim condensed consolidated financial statements included elsewhere in this Quarterly Report) as well as research and development costs from the inclusion of operations from CureVac, which was acquired in late 2025. The year-to-date period was also impacted by an impairment related to BNT331 recorded 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998220"/>
                <wp:effectExtent l="0" t="0" r="0" b="0"/>
                <wp:wrapNone/>
                <wp:docPr id="158" name="Frame5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5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02" descr=""/>
                          <pic:cNvPicPr>
                            <a:picLocks noChangeAspect="1" noChangeArrowheads="1"/>
                          </pic:cNvPicPr>
                        </pic:nvPicPr>
                        <pic:blipFill>
                          <a:blip r:embed="rId10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6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03" descr=""/>
                          <pic:cNvPicPr>
                            <a:picLocks noChangeAspect="1" noChangeArrowheads="1"/>
                          </pic:cNvPicPr>
                        </pic:nvPicPr>
                        <pic:blipFill>
                          <a:blip r:embed="rId10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March 2026 (see Note 6 to the unaudited interim condensed consolidated financial statements included elsewhere in this Quarterly Report). The quarterly and year-to-date increases were partially offset by lower costs on non-focus programs and positive effects from cost shares with our collaboration partners. We do not track research and development expenses by product candidate and the costs that are directly attributable to individual product candidates represent only a portion of our research and development expenses, while almost half of our current research and development expenses consist of costs that support multiple programs.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adjusted research and development expenses decreased by €32.0 million, or 6%, from €509.1 million during the three months ended June 30, 2025, to €477.1 million during the three months ended June 30, 2026, and decreased by €30.5 million, or 3%, from €1,034.7 million during the six months ended June 30, 2025, to €1,004.2 million during the six months ended June 30, 2026. For the three months ended June 30, 2026, our adjusted research and development expenses exclude impairment losses of €73.9 million related to early clinical-stage product candidates, which are outside our focus programs, since the likelihood of finalizing out-licensing agreements for these product candidates was considered unlikely as of June 30, 2026. For the six months ended June 30, 2026, our adjusted research and development expenses exclude impairment losses of €103.8 million, including an additional impairment loss related to BNT331, recorded in March 2026, following management’s decision to pause the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Sales and Marketing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sales and marketing expenses increased by €20.4 million, or 104%, from €19.7 million during the three months ended June 30, 2025, to €40.1 million during the three months ended June 30, 2026, and increased by €34.6 million, or 104%, from €33.4 million during the six months ended June 30, 2025 to €68.0 million during the six months ended June 30, 2026. The increases for the three and six months ended June 30, 2026, each compared with the corresponding prior</w:t>
        <w:noBreakHyphen/>
        <w:t>year period, were mainly driven by pre</w:t>
        <w:noBreakHyphen/>
        <w:t>launch activities for late-stage programs as well as our ongoing commercial build</w:t>
        <w:noBreakHyphen/>
        <w:t>up, particularly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general and administrative expenses increased by €40.0 million, or 34%, from €117.7 million during the three months ended June 30, 2025, to €157.7 million during the three months ended June 30, 2026, and increased by €56.0 million, or 25%, from €224.6 million during the six months ended June 30, 2025, to €280.6 million during the six months ended June 30, 2026. The increases for the three and six months ended June 30, 2026, each compared with the corresponding prior</w:t>
        <w:noBreakHyphen/>
        <w:t>year period, were primarily driven by the inclusion of CureVac operations acquired in late 2025, as well as expenses associated with BioNTech’s global initiative on scaling processes and ERP infrastructure to strengthen operational execution. This was partly offset by cost reductions resulting from the execution of initiatives related to our pipeline prioritization and increased cost discipline.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998220"/>
                <wp:effectExtent l="0" t="0" r="0" b="0"/>
                <wp:wrapNone/>
                <wp:docPr id="161" name="Frame5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6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04" descr=""/>
                          <pic:cNvPicPr>
                            <a:picLocks noChangeAspect="1" noChangeArrowheads="1"/>
                          </pic:cNvPicPr>
                        </pic:nvPicPr>
                        <pic:blipFill>
                          <a:blip r:embed="rId10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6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05" descr=""/>
                          <pic:cNvPicPr>
                            <a:picLocks noChangeAspect="1" noChangeArrowheads="1"/>
                          </pic:cNvPicPr>
                        </pic:nvPicPr>
                        <pic:blipFill>
                          <a:blip r:embed="rId10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Other Operating Result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total other operating result decreased by €168.9 million from a negative result of €39.0 million during the three months ended June 30, 2025, to a negative result of €207.9 million during the three months ended June 30, 2026, and decreased by €198.4 million from a negative result of €25.9 million during the six months ended June 30, 2025, to a negative result of €224.3 million during the six months ended June 30, 2026. The decreases for the three and six months ended June 30, 2026, each compared with the corresponding prior</w:t>
        <w:noBreakHyphen/>
        <w:t>year period, were mainly driven by pipeline prioritization costs, while other effects nearly offset each other. For the three and six months ended June 30, 2026, our pipeline prioritization costs amounted to €221.5 million and €240.2 million, respectively, compared to €43.6 million and €43.6 million in the respective prior year periods.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For the three months ended June 30, 2026, our adjusted other operating expenses exclude employee-related costs of €97.6 million and impairment losses of €87.0 million, compared to €27.8 million and €10.0 million, respectively, during the prior year quarter. For the six months ended June 30, 2026, our adjusted other operating expenses exclude employee-related costs of €105.0 million and impairment losses of €87.0 million, compared to €27.8 million and €10.0 million, respectively, during the prior year period. In addition, for the six months ended June 30, 2025 our adjusted other operating income excludes a bargain purchase of €15.0 million. As a result, our adjusted total other operating result decreased by €22.1 million from a negative adjusted other operating result of €1.2 million during the three months ended June 30, 2025, to a negative adjusted other operating result of €23.3 million during the three months ended June 30, 2026, and decreased by €29.2 million from a negative adjusted other operating result of €3.1 million during the six months ended June 30, 2025, to a negative adjusted other operating result of €32.3 million during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Finance Result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finance result during the three and six months ended June 30, 2026 and 2025 was mainly derived from returns, such as interest, resulting from our security investments as well as fair value adjustments of our money market funds. Our total finance result decreased by €9.0 million, or 9%, from a positive finance result of €98.4 million during the three months ended June 30, 2025, to a positive finance result of €89.4 million during the three months ended June 30, 2026, and increased by €11.7 million, or 6%, from a positive finance result of €187.1 million during the six months ended June 30, 2025, to a positive finance result of €198.8 million during the six months ended June 30, 2026. The quarterly decrease was primarily driven by lower positive fair value effects of our money market funds, while the year-to-date increase was mainly due to positive impacts from foreign exchange differences, primarily derived from our security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income taxes increased by €21.8 million from €16.1 million of tax income during the three months ended June 30, 2025, to €37.9 million of tax income during the three months ended June 30, 2026, and increased by €28.4 million from €45.7 million of tax income during the six months ended June 30, 2025, to €74.1 million of tax income during the six months ended June 30, 2026. The effective income tax rate for the six months ended June 30, 2026 was approximately 5.2% and approximately 5.4% for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998220"/>
                <wp:effectExtent l="0" t="0" r="0" b="0"/>
                <wp:wrapNone/>
                <wp:docPr id="164" name="Frame5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6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06" descr=""/>
                          <pic:cNvPicPr>
                            <a:picLocks noChangeAspect="1" noChangeArrowheads="1"/>
                          </pic:cNvPicPr>
                        </pic:nvPicPr>
                        <pic:blipFill>
                          <a:blip r:embed="rId10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6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07" descr=""/>
                          <pic:cNvPicPr>
                            <a:picLocks noChangeAspect="1" noChangeArrowheads="1"/>
                          </pic:cNvPicPr>
                        </pic:nvPicPr>
                        <pic:blipFill>
                          <a:blip r:embed="rId10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Related Party Transactions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Related party transactions that occurred during the three and six months ended June 30, 2026 and 2025, are explained in Note 12 to the unaudited interim condensed consolidated financial statements included elsewhere in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Critical Accounting Policies and Use of Estimates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unaudited interim condensed consolidated financial statements for the three and six months ended June 30, 2026 and 2025 have been prepared in accordance with IAS 34 Interim Financial Reporting.</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critical accounting policies and the use of estimates are explained in Note 2 to the unaudited interim condensed consolidated financial statements included elsewhere in this Quarterly Report and further discussed in Note 3 to our audited consolidated financial statements of our Annual Report on Form 20-F as of and for the year ended December 31, 2025,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Legal Proceedings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are and may be involved in various legal proceedings, including patent litigation, product liability and other product-related litigation, as well as other legal proceedings that arise from time to time in the ordinary course of business, including, but not limited to, personal injury, consumer, off-label promotion, securities, antitrust, employment law, tax, environmental, and/or other claims or investigations.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Certain pending matters to which we are a party are discussed below.</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For a description of the risks relating to these and other legal proceedings we face and may in the future face and our assessments thereof, see “Risk Factors” in this Quarterly Report.</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Moderna Proceedings</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 xml:space="preserve">Germany </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Infringement Proceedings – EP’949 and EP’565</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Comirnaty’s infringement of two European patents, 3590949B1, or EP’949, and 3718565B1, or EP’565. With respect to EP’565, on November 7, 2023, the Opposition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998220"/>
                <wp:effectExtent l="0" t="0" r="0" b="0"/>
                <wp:wrapNone/>
                <wp:docPr id="167" name="Frame6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6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08" descr=""/>
                          <pic:cNvPicPr>
                            <a:picLocks noChangeAspect="1" noChangeArrowheads="1"/>
                          </pic:cNvPicPr>
                        </pic:nvPicPr>
                        <pic:blipFill>
                          <a:blip r:embed="rId10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6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09" descr=""/>
                          <pic:cNvPicPr>
                            <a:picLocks noChangeAspect="1" noChangeArrowheads="1"/>
                          </pic:cNvPicPr>
                        </pic:nvPicPr>
                        <pic:blipFill>
                          <a:blip r:embed="rId11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Division of the EPO revoked EP’565 after a one-day oral hearing held in the co-pending opposition proceeding, and on December 7, 2023, it issued the written decision for revoking EP’565. On February 7, 2024, Moderna appealed the Opposition Division’s revocation decision on EP’565. On September 17, 2025, the EPO Technical Board of Appeal issued a preliminary opinion noting that it believes EP’565 is likely invalid. An oral hearing took place on January 27, 2026, at the conclusion of which the Technical Board of Appeal affirmed the revocation of EP’565. On April 29, 2026, the EPO Technical Board of Appeal issued a written decision finally revoking EP’565. On May 7, 2026, Moderna withdrew its infringement proceedings with respect to EP’565. On May 22, 2026, Pfizer and BioNTech consented to the withdrawal and the proceedings were dismissed.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With respect to EP’949,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The Düsseldorf Regional Court held an infringement hearing on January 21, 2025, and on March 5, 2025, it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On May 29, 2026, the EPO Technical Board of Appeal issued a preliminary opinion noting that it believes EP’949 is likely invalid. An oral hearing in this appeal has been scheduled for September 8-10, 2026. Moderna has not yet taken steps to enforce the Düsseldorf Regional Court’s first-instance decision on infringement. </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United Kingdom</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August 2022, Moderna filed a lawsuit asserting Comirnaty’s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UK High Court held a hearing on September 25, 2024, during which the Court granted Pfizer and BioNTech permission to appeal its judgment regarding the validity of EP’949, and declined Moderna’s permission to appeal its judgment regarding validity of EP’565. On October 16, 2024, Moderna sought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998220"/>
                <wp:effectExtent l="0" t="0" r="0" b="0"/>
                <wp:wrapNone/>
                <wp:docPr id="170" name="Frame6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7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0" descr=""/>
                          <pic:cNvPicPr>
                            <a:picLocks noChangeAspect="1" noChangeArrowheads="1"/>
                          </pic:cNvPicPr>
                        </pic:nvPicPr>
                        <pic:blipFill>
                          <a:blip r:embed="rId11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7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1" descr=""/>
                          <pic:cNvPicPr>
                            <a:picLocks noChangeAspect="1" noChangeArrowheads="1"/>
                          </pic:cNvPicPr>
                        </pic:nvPicPr>
                        <pic:blipFill>
                          <a:blip r:embed="rId11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UK Court of Appeal held an oral hearing on the appeal of EP’949 on July 10-11, 2025. On August 1, 2025, the UK Court of Appeal issued a judgment agreeing with the UK High Court that EP‘949 is valid, and dismissed our appeal. We applied for permission to appeal this decision to the UK Supreme Court, and on December 8, 2025, the UK Supreme Court denied permission to appeal. Accordingly, the UK designation of EP‘949 is valid and infringed. However, Moderna has not yet taken steps to enforce this final judgment on infringement. Additionally, EP‘949 is currently subject to opposition proceedings at the EPO. The Opposition Division initially issued a preliminary opinion noting that EP‘949 is invalid, but in May 2024, issued a first-instance decision finding EP‘949 valid. BioNTech and Pfizer appealed this first-instance decision. On May 29, 2026, the EPO Technical Board of Appeal issued a preliminary opinion noting that it believes EP’949 is likely invalid. The oral hearing in this appeal is scheduled for September 8-10, 2026. </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United States</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 xml:space="preserve">U.S. District Court Litigation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August 2022, Moderna filed a lawsuit in the U.S. District Court for the District of Massachusetts against us and our wholly owned subsidiaries BioNTech Manufacturing GmbH and BioNTech US Inc. and Pfizer Inc. alleging Comirnaty’s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pStyle w:val="TextBody"/>
        <w:bidi w:val="0"/>
        <w:spacing w:lineRule="auto" w:line="288" w:before="200" w:after="120"/>
        <w:jc w:val="left"/>
        <w:rPr>
          <w:rFonts w:ascii="Neue Haas Grotesk Display Pro 55 Roman;serif" w:hAnsi="Neue Haas Grotesk Display Pro 55 Roman;serif"/>
          <w:b w:val="false"/>
          <w:color w:val="005A64"/>
          <w:sz w:val="20"/>
        </w:rPr>
      </w:pPr>
      <w:r>
        <w:rPr>
          <w:rFonts w:ascii="Neue Haas Grotesk Display Pro 55 Roman;serif" w:hAnsi="Neue Haas Grotesk Display Pro 55 Roman;serif"/>
          <w:b w:val="false"/>
          <w:color w:val="005A64"/>
          <w:sz w:val="20"/>
        </w:rPr>
        <w:t>Inter Partes Review</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appealed this decision, and the appeal is pending.</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Netherlands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September 2022, Moderna filed a lawsuit against us and our wholly owned subsidiary BioNTech Manufacturing GmbH and Pfizer B.V., Pfizer Export B.V., C.P. Pharmaceuticals International C.V. and Pfizer Inc. in the District Court of The Hague alleging Comirnaty’s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occurred on September 22, 2025, with a decision expected around September 2026. The infringement proceedings with respect to EP’565 have been withdrawn and therefore dismissed, following the EPO’s final revocation of EP’565 in January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998220"/>
                <wp:effectExtent l="0" t="0" r="0" b="0"/>
                <wp:wrapNone/>
                <wp:docPr id="173" name="Frame6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7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2" descr=""/>
                          <pic:cNvPicPr>
                            <a:picLocks noChangeAspect="1" noChangeArrowheads="1"/>
                          </pic:cNvPicPr>
                        </pic:nvPicPr>
                        <pic:blipFill>
                          <a:blip r:embed="rId11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7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13" descr=""/>
                          <pic:cNvPicPr>
                            <a:picLocks noChangeAspect="1" noChangeArrowheads="1"/>
                          </pic:cNvPicPr>
                        </pic:nvPicPr>
                        <pic:blipFill>
                          <a:blip r:embed="rId11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120"/>
        <w:jc w:val="left"/>
        <w:rPr/>
      </w:pPr>
      <w:r>
        <w:rPr>
          <w:rFonts w:ascii="Neue Haas Grotesk Display Pro 65 Medium;serif" w:hAnsi="Neue Haas Grotesk Display Pro 65 Medium;serif"/>
          <w:b/>
          <w:color w:val="005A64"/>
          <w:sz w:val="20"/>
        </w:rPr>
        <w:t>Ireland</w:t>
      </w:r>
      <w:r>
        <w:rPr>
          <w:color w:val="005A64"/>
        </w:rPr>
        <w:t xml:space="preserve">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May 2023, Moderna filed a lawsuit against us and our wholly owned subsidiary BioNTech Manufacturing GmbH, Pfizer Inc., Pfizer Healthcare Ireland, Pfizer Ireland Pharmaceuticals, and C.P. Pharmaceuticals International C.V. alleging Comirnaty’s infringement of EP’949 and EP’565 in the High Court of Ireland. On February 26, 2024, the High Court of Ireland stayed the lawsuit pending the final determination of the EPO opposition proceedings for EP’949 and EP’565 (in each case including any appeals). </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Belgium</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May 2023, Moderna filed a lawsuit against us, our wholly owned subsidiary BioNTech Manufacturing GmbH, Pfizer Inc. and Pfizer Manufacturing Belgium alleging Comirnaty’s infringement of EP’949 and EP’565 in the Brussels Dutch-speaking Enterprise Court. On May 29, 2024, the parties filed a joint request to stay the proceedings, which was entered by the Court. On June 30, 2026, the Brussels Court confirmed the withdrawal of Moderna’s infringement proceedings with respect to EP’565 following Moderna’s request to withdraw these proceedings.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Arbutus and Genevant Proceedings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Comirnaty, and seeking monetary relief. This proceeding is currently pending.</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GlaxoSmithKline Proceedings</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United States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April 2024, GlaxoSmithKline Biologicals SA and GlaxoSmithKline LLC, or GSK, filed a lawsuit against Pfizer and us and our wholly owned subsidiaries BioNTech Manufacturing GmbH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998220"/>
                <wp:effectExtent l="0" t="0" r="0" b="0"/>
                <wp:wrapNone/>
                <wp:docPr id="176" name="Frame6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7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14" descr=""/>
                          <pic:cNvPicPr>
                            <a:picLocks noChangeAspect="1" noChangeArrowheads="1"/>
                          </pic:cNvPicPr>
                        </pic:nvPicPr>
                        <pic:blipFill>
                          <a:blip r:embed="rId11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7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5" descr=""/>
                          <pic:cNvPicPr>
                            <a:picLocks noChangeAspect="1" noChangeArrowheads="1"/>
                          </pic:cNvPicPr>
                        </pic:nvPicPr>
                        <pic:blipFill>
                          <a:blip r:embed="rId11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BioNTech US Inc. in the U.S. District Court for the District of Delaware alleging that the cationic lipid used in Comirnaty infringes U.S. Patent Nos. 11,638,693; 11,638,694; 11,666,534; 11,766,401; and 11,786,467; and seeking monetary relief. On August 14, 2024, GSK filed an amended complaint to assert infringement of three additional patents, U.S. Patent Nos. 11,759,422; 11,655,475; and 11,851,660. A trial is scheduled to occur in June 2027. This proceeding is currently pending.</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Ireland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July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 </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Unified Patent Court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July 2025, GlaxoSmithKline Biologicals SA filed two lawsuits against BioNTech SE, BioNTech Europe GmbH, BioNTech Manufacturing GmbH, and BioNTech Manufacturing Marburg GmbH, as well as 26 Pfizer entities, in the Unified Patent Court (Hague Division). In the first lawsuit, GSK alleges Comirnaty’s infringement of European Patent No. 2,590,626, or EP’626, and in the second lawsuit, GSK alleges Comirnaty’s infringement of European Patent Nos. 4,066,856, or EP’856, and 4,226,941, or EP’941. Oral hearings wherein the UPC will hear the parties’ arguments regarding infringement and invalidity of EP’626, EP’856, and EP’941 have been scheduled for September 3, 2026 and September 30-October 3, 2026. These proceedings are currently pending. </w:t>
      </w:r>
    </w:p>
    <w:p>
      <w:pPr>
        <w:pStyle w:val="TextBody"/>
        <w:bidi w:val="0"/>
        <w:spacing w:lineRule="auto" w:line="264" w:before="200" w:after="120"/>
        <w:jc w:val="left"/>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United Kingdom</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September 2025, we and Pfizer filed a revocation action against GlaxoSmithKline Biologics S.A. in the Business and Property Courts of England and Wales, in the U.K. High Court, requesting revocation of European Patent Nos. 2,590,626, 4,066,856, and 4,226,941. On October 7, 2025, GSK filed a defense and counterclaim for infringement against BioNTech SE and BioNTech Manufacturing GmbH, alleging Comirnaty’s infringement of European Patent Nos. 2,590,626, 4,066,856, and 4,226,941. A trial has been scheduled for February 2027. This proceeding is currently pending.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June 30, 2026. However, it is currently impractical for us to estimate with sufficient reliability the respective contingent liabilities.</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Promosome Proceedings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January 2025, Promosome LLC, or Promosome, filed a lawsuit against us and Pfizer in the Unified Patent Court, or UPC, Munich Division, alleging that Comirnaty infringes European Patent No. 2,401,365, or EP’365, and seeking monetary relief. An oral hearing wherein the UPC heard the parties’ arguments regarding infringement and invalidity was held on May 12, 2026. On July 7, 2026, the UPC issued a written decision finding EP’365 to be invalid and not infringed. This decision is appealable by Promosome.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998220"/>
                <wp:effectExtent l="0" t="0" r="0" b="0"/>
                <wp:wrapNone/>
                <wp:docPr id="179" name="Frame6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8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16" descr=""/>
                          <pic:cNvPicPr>
                            <a:picLocks noChangeAspect="1" noChangeArrowheads="1"/>
                          </pic:cNvPicPr>
                        </pic:nvPicPr>
                        <pic:blipFill>
                          <a:blip r:embed="rId11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8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17" descr=""/>
                          <pic:cNvPicPr>
                            <a:picLocks noChangeAspect="1" noChangeArrowheads="1"/>
                          </pic:cNvPicPr>
                        </pic:nvPicPr>
                        <pic:blipFill>
                          <a:blip r:embed="rId11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constitutes a contingent liability as of the balance sheet date. However, it is currently impractical for us to estimate with sufficient reliability the contingent liability. </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Bayer/Monsanto Proceedings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January 2026, Bayer CropScience LLC, Monsanto Company, and Monsanto Technology, LLC, or collectively, Bayer, filed a lawsuit against us and Pfizer in the United States District Court for the District of Delaware, alleging that Comirnaty infringes U.S. Patent No. 7,741,118 and seeking monetary relief. This proceeding is currently pending.</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believe we have strong defenses against the allegations claimed relative to the patent and intend to vigorously defend ourselves in the lawsuit mentioned above. However, our analysis of Bayer’s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constitutes a contingent liability as of June 30, 2026. However, it is currently impractical for us to estimate with sufficient reliability the contingent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Overview</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Given our strong financial, scientific and operational accomplishments, we believe we have the resources to diligently allocate our current capital to drive a multi-platform strategy and deliver a fully integrated global biotechnology company. We focus our research and development, or R&amp;D, on rapidly advancing our diversified clinical oncology pipeline with synergistic potential and maintaining leadership position in COVID-19 vaccine business. We plan to continue investing in the acceleration of late-stage trial execution for our immuno-oncology and antibody-drug-conjugates programs as well as our mRNA cancer immunotherapies. As a science and innovation driven company, we will continue to focus investments on R&amp;D and scaling the business for commercial readiness in oncology in 2026.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of June 30, 2026, we had cash and cash equivalents of €9,741.0 million, current security investments disclosed as financial assets of €5,035.1 million and non-current security investments disclosed as financial assets of €1,858.1 million accumulating to €16,634.2 million in cash, cash equivalents and security investments. In general, the aim is to protect and maximize the financial resources available for further research and development projects.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Cash and cash equivalents and financial securities are invested in accordance with our asset management and investment policy, primarily with a focus on liquidity and capital preservation, and consist primarily of cash in bank accounts and on hand as well as long- and short-term financial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998220"/>
                <wp:effectExtent l="0" t="0" r="0" b="0"/>
                <wp:wrapNone/>
                <wp:docPr id="182" name="Frame6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8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18" descr=""/>
                          <pic:cNvPicPr>
                            <a:picLocks noChangeAspect="1" noChangeArrowheads="1"/>
                          </pic:cNvPicPr>
                        </pic:nvPicPr>
                        <pic:blipFill>
                          <a:blip r:embed="rId11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8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19" descr=""/>
                          <pic:cNvPicPr>
                            <a:picLocks noChangeAspect="1" noChangeArrowheads="1"/>
                          </pic:cNvPicPr>
                        </pic:nvPicPr>
                        <pic:blipFill>
                          <a:blip r:embed="rId12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Cash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following table summarizes the primary sources and uses of cash for each period presented:</w:t>
      </w:r>
    </w:p>
    <w:tbl>
      <w:tblPr>
        <w:tblW w:w="10205" w:type="dxa"/>
        <w:jc w:val="left"/>
        <w:tblInd w:w="0" w:type="dxa"/>
        <w:tblLayout w:type="fixed"/>
        <w:tblCellMar>
          <w:top w:w="28" w:type="dxa"/>
          <w:left w:w="28" w:type="dxa"/>
          <w:bottom w:w="28" w:type="dxa"/>
          <w:right w:w="28" w:type="dxa"/>
        </w:tblCellMar>
      </w:tblPr>
      <w:tblGrid>
        <w:gridCol w:w="1756"/>
        <w:gridCol w:w="1260"/>
        <w:gridCol w:w="1264"/>
        <w:gridCol w:w="109"/>
        <w:gridCol w:w="109"/>
        <w:gridCol w:w="109"/>
        <w:gridCol w:w="109"/>
        <w:gridCol w:w="109"/>
        <w:gridCol w:w="109"/>
        <w:gridCol w:w="271"/>
        <w:gridCol w:w="271"/>
        <w:gridCol w:w="196"/>
        <w:gridCol w:w="141"/>
        <w:gridCol w:w="141"/>
        <w:gridCol w:w="141"/>
        <w:gridCol w:w="141"/>
        <w:gridCol w:w="141"/>
        <w:gridCol w:w="141"/>
        <w:gridCol w:w="237"/>
        <w:gridCol w:w="237"/>
        <w:gridCol w:w="143"/>
        <w:gridCol w:w="109"/>
        <w:gridCol w:w="109"/>
        <w:gridCol w:w="109"/>
        <w:gridCol w:w="109"/>
        <w:gridCol w:w="109"/>
        <w:gridCol w:w="109"/>
        <w:gridCol w:w="278"/>
        <w:gridCol w:w="278"/>
        <w:gridCol w:w="270"/>
        <w:gridCol w:w="135"/>
        <w:gridCol w:w="135"/>
        <w:gridCol w:w="135"/>
        <w:gridCol w:w="135"/>
        <w:gridCol w:w="135"/>
        <w:gridCol w:w="135"/>
        <w:gridCol w:w="241"/>
        <w:gridCol w:w="241"/>
        <w:gridCol w:w="298"/>
      </w:tblGrid>
      <w:tr>
        <w:trPr/>
        <w:tc>
          <w:tcPr>
            <w:tcW w:w="17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280"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16"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16" w:space="0" w:color="BECD32"/>
            </w:tcBorders>
            <w:tcMar>
              <w:left w:w="0" w:type="dxa"/>
              <w:bottom w:w="0" w:type="dxa"/>
              <w:right w:w="0" w:type="dxa"/>
            </w:tcMar>
            <w:vAlign w:val="center"/>
          </w:tcPr>
          <w:p>
            <w:pPr>
              <w:pStyle w:val="TableContents"/>
              <w:bidi w:val="0"/>
              <w:spacing w:before="0" w:after="283"/>
              <w:ind w:left="0" w:right="0" w:hanging="198"/>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12"/>
            <w:tcBorders/>
            <w:tcMar>
              <w:top w:w="0" w:type="dxa"/>
              <w:left w:w="0" w:type="dxa"/>
              <w:bottom w:w="0" w:type="dxa"/>
              <w:right w:w="0" w:type="dxa"/>
            </w:tcMar>
            <w:vAlign w:val="center"/>
          </w:tcPr>
          <w:p>
            <w:pPr>
              <w:pStyle w:val="TableContents"/>
              <w:bidi w:val="0"/>
              <w:spacing w:lineRule="auto" w:line="336" w:before="0" w:after="283"/>
              <w:jc w:val="center"/>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Six months ended June 30,</w:t>
            </w:r>
          </w:p>
        </w:tc>
      </w:tr>
      <w:tr>
        <w:trPr/>
        <w:tc>
          <w:tcPr>
            <w:tcW w:w="4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423"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D32"/>
              <w:left w:val="single" w:sz="8" w:space="0" w:color="BECD32"/>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2026</w:t>
            </w:r>
          </w:p>
        </w:tc>
        <w:tc>
          <w:tcPr>
            <w:tcW w:w="405" w:type="dxa"/>
            <w:gridSpan w:val="3"/>
            <w:tcBorders>
              <w:top w:val="single" w:sz="8" w:space="0" w:color="BECD3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2025</w:t>
            </w:r>
          </w:p>
        </w:tc>
      </w:tr>
      <w:tr>
        <w:trPr/>
        <w:tc>
          <w:tcPr>
            <w:tcW w:w="428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288" w:before="0" w:after="283"/>
              <w:jc w:val="left"/>
              <w:rPr>
                <w:rFonts w:ascii="Neue Haas Grotesk Display Pro 65 Medium;serif" w:hAnsi="Neue Haas Grotesk Display Pro 65 Medium;serif"/>
                <w:b/>
                <w:color w:val="3C9673"/>
                <w:sz w:val="16"/>
              </w:rPr>
            </w:pPr>
            <w:r>
              <w:rPr>
                <w:rFonts w:ascii="Neue Haas Grotesk Display Pro 65 Medium;serif" w:hAnsi="Neue Haas Grotesk Display Pro 65 Medium;serif"/>
                <w:b/>
                <w:color w:val="3C9673"/>
                <w:sz w:val="16"/>
              </w:rPr>
              <w:t>Net cash flows from /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5A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(410.5)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(634.2)</w:t>
            </w:r>
          </w:p>
        </w:tc>
      </w:tr>
      <w:tr>
        <w:trPr/>
        <w:tc>
          <w:tcPr>
            <w:tcW w:w="428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(100.1)</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2,550.5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1,182.4</w:t>
            </w:r>
          </w:p>
        </w:tc>
      </w:tr>
      <w:tr>
        <w:trPr/>
        <w:tc>
          <w:tcPr>
            <w:tcW w:w="428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(108.5)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(82.1)</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(27.1)</w:t>
            </w:r>
          </w:p>
        </w:tc>
      </w:tr>
      <w:tr>
        <w:trPr/>
        <w:tc>
          <w:tcPr>
            <w:tcW w:w="428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 cash inflow / (outflow) before change in cash and cash equivalents resulting from exchange rate differences and other valuation effects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(198.1)</w:t>
            </w:r>
          </w:p>
        </w:tc>
        <w:tc>
          <w:tcPr>
            <w:tcW w:w="423"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D32"/>
              <w:bottom w:val="single" w:sz="8" w:space="0" w:color="BECD32"/>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2,057.9</w:t>
            </w:r>
          </w:p>
        </w:tc>
        <w:tc>
          <w:tcPr>
            <w:tcW w:w="405" w:type="dxa"/>
            <w:gridSpan w:val="3"/>
            <w:tcBorders>
              <w:bottom w:val="single" w:sz="8" w:space="0" w:color="BECD3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left w:val="single" w:sz="8" w:space="0" w:color="BECD3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521.1</w:t>
            </w:r>
          </w:p>
        </w:tc>
      </w:tr>
    </w:tbl>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Operating Activities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derive cash flows from operations primarily from the sale of products and services rendered. Our cash flows from operating activities are significantly influenced by cash we generate from our COVID-19 vaccine collaboration under which we receive a share of our collaboration partner’s gross profit as well as cash we receive from out-licensing and our use of cash for operating expenses and working capital to support the business.</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Our net cash flows from operating activities for the three months ended June 30, 2026 were €10.5 million. </w:t>
      </w:r>
      <w:r>
        <w:rPr>
          <w:rFonts w:ascii="Neue Haas Grotesk Display Pro 45 Light;serif" w:hAnsi="Neue Haas Grotesk Display Pro 45 Light;serif"/>
          <w:b w:val="false"/>
          <w:color w:val="080509"/>
          <w:sz w:val="20"/>
          <w:shd w:fill="FFFFFF" w:val="clear"/>
        </w:rPr>
        <w:t>Cash payments for our operating activities exceeded our cash received from our revenue streams for the</w:t>
      </w:r>
      <w:r>
        <w:rPr>
          <w:color w:val="080509"/>
        </w:rPr>
        <w:t xml:space="preserve"> </w:t>
      </w:r>
      <w:r>
        <w:rPr>
          <w:rFonts w:ascii="Neue Haas Grotesk Display Pro 45 Light;serif" w:hAnsi="Neue Haas Grotesk Display Pro 45 Light;serif"/>
          <w:b w:val="false"/>
          <w:color w:val="080509"/>
          <w:sz w:val="20"/>
        </w:rPr>
        <w:t>three months ended June 30, 2026, resulting in a cash outflow of €62.6 million. On the other hand, we generated positive cash contributions from interest and other payments related to the security investments of €70.8 million and grants of €33.7 million, which were partly offset by tax payments of €16.1 million and by share-based payment programs of €13.0 million.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net cash flows from operating activities for the three months ended June 30, 2025 were €146.5 million. Cash received from our revenue streams exceeded payments for our operating activities for the three months ended June 30, 2025, resulting in a cash inflow of €94.7 million. Additionally, we generated positive cash contributions from interest and other payments related to the security investments of €73.1 million and grants of €7.8 million, which were partly offset by tax payments of €14.9 million and by share-based payment programs of €11.5 million.</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Our net cash flows used in operating activities for the six months ended June 30, 2026 were €410.5 million. </w:t>
      </w:r>
      <w:r>
        <w:rPr>
          <w:rFonts w:ascii="Neue Haas Grotesk Display Pro 45 Light;serif" w:hAnsi="Neue Haas Grotesk Display Pro 45 Light;serif"/>
          <w:b w:val="false"/>
          <w:color w:val="080509"/>
          <w:sz w:val="20"/>
          <w:shd w:fill="FFFFFF" w:val="clear"/>
        </w:rPr>
        <w:t xml:space="preserve">Cash payments for our operating activities exceeded our cash received from our revenue streams for the six months ended June 30, 2026, resulting in a cash outflow of €537.5 million. On the other hand, we generated positive cash contributions from interest and other payments related to the security investments of €157.4 million and grants of €48.0 million, which were partly offset by tax payments of €57.7 million </w:t>
      </w:r>
      <w:r>
        <w:rPr>
          <w:rFonts w:ascii="Neue Haas Grotesk Display Pro 45 Light;serif" w:hAnsi="Neue Haas Grotesk Display Pro 45 Light;serif"/>
          <w:b w:val="false"/>
          <w:color w:val="080509"/>
          <w:sz w:val="20"/>
        </w:rPr>
        <w:t>and by share-based payment programs of €15.1 million.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net cash flows used in operating activities for the six months ended June 30, 2025 were €634.2 million. Cash payments for our operating activities exceeded our cash received from our revenue streams for the six months ended June 30, 2025, resulting in a cash outflow of €808.9 million. On the other hand, we generated positive cash contributions from interest and other payments related to the security investments of €191.7 million and grants of €31.0 million, which were partly offset by tax payments of €27.1 million and by share-based payment programs of €15.1 million.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998220"/>
                <wp:effectExtent l="0" t="0" r="0" b="0"/>
                <wp:wrapNone/>
                <wp:docPr id="185" name="Frame6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59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8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0" descr=""/>
                          <pic:cNvPicPr>
                            <a:picLocks noChangeAspect="1" noChangeArrowheads="1"/>
                          </pic:cNvPicPr>
                        </pic:nvPicPr>
                        <pic:blipFill>
                          <a:blip r:embed="rId12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8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21" descr=""/>
                          <pic:cNvPicPr>
                            <a:picLocks noChangeAspect="1" noChangeArrowheads="1"/>
                          </pic:cNvPicPr>
                        </pic:nvPicPr>
                        <pic:blipFill>
                          <a:blip r:embed="rId12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Investing Activities</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Our net cash flows used in investing activities for the three months ended June 30, 2026 were €100.1 million</w:t>
      </w:r>
      <w:r>
        <w:rPr>
          <w:rFonts w:ascii="Neue Haas Grotesk Display Pro 45 Light;serif" w:hAnsi="Neue Haas Grotesk Display Pro 45 Light;serif"/>
          <w:b w:val="false"/>
          <w:color w:val="080509"/>
          <w:sz w:val="20"/>
          <w:shd w:fill="FFFFFF" w:val="clear"/>
        </w:rPr>
        <w:t>. The amount includes €48.1 million mainly r</w:t>
      </w:r>
      <w:r>
        <w:rPr>
          <w:rFonts w:ascii="Neue Haas Grotesk Display Pro 45 Light;serif" w:hAnsi="Neue Haas Grotesk Display Pro 45 Light;serif"/>
          <w:b w:val="false"/>
          <w:color w:val="080509"/>
          <w:sz w:val="20"/>
        </w:rPr>
        <w:t>epresenting net payments</w:t>
      </w:r>
      <w:r>
        <w:rPr>
          <w:color w:val="080509"/>
          <w:shd w:fill="FFFFFF" w:val="clear"/>
        </w:rPr>
        <w:t xml:space="preserve"> </w:t>
      </w:r>
      <w:r>
        <w:rPr>
          <w:rFonts w:ascii="Neue Haas Grotesk Display Pro 45 Light;serif" w:hAnsi="Neue Haas Grotesk Display Pro 45 Light;serif"/>
          <w:b w:val="false"/>
          <w:color w:val="080509"/>
          <w:sz w:val="20"/>
          <w:shd w:fill="FFFFFF" w:val="clear"/>
        </w:rPr>
        <w:t>in security investments. The payments in property, plant and equipment of €54.6 million related to investments in building our facilities in Mainz, Germany, China and elsewhere.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net cash flows used in investing activities for the three months ended June 30, 2025 were €64.4 million. The amount includes €34.7 million mainly representing net payments in security investments. The net payments in property, plant and equipment and intangible assets of €29.7 million are related to investments in building our laboratory and office facilities in Mainz, Germany and elsewhere. </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Our </w:t>
      </w:r>
      <w:r>
        <w:rPr>
          <w:rFonts w:ascii="Neue Haas Grotesk Display Pro 45 Light;serif" w:hAnsi="Neue Haas Grotesk Display Pro 45 Light;serif"/>
          <w:b w:val="false"/>
          <w:color w:val="080509"/>
          <w:sz w:val="20"/>
          <w:shd w:fill="FFFFFF" w:val="clear"/>
        </w:rPr>
        <w:t>net cash flows from investing activities for the six months ended June 30, 2026 were €2,550.5 million. The amount includes €2,679.8 million, mainly representing net repayments from matured security investments. The payments in property, plant and equipment of €111.4 million related to investments in building our facilities in Mainz, Germany, China and elsewhere.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net cash flows from investing activities for the six months ended June 30, 2025 were €1,182.4 million. This amount includes €1,908.2 million, mainly consisting of repayments from matured security investments offset by a payment of €565.1 million for the settlement of our pre-existing relationship in connection with the License and Collaboration Agreement with Biotheus Inc., or Biotheus, entered into in November 2023, which is separate from the remaining purchase price to be transferred for the acquired business of Biotheus. Other offsetting effects are the remaining net cash outflow for the Biotheus business combination of €78.5 million and net payments in property, plant and equipment of €75.0 million related to investments in building our laboratory and office facilities in Mainz, Germany and elsewhere.</w:t>
      </w:r>
    </w:p>
    <w:p>
      <w:pPr>
        <w:pStyle w:val="TextBody"/>
        <w:bidi w:val="0"/>
        <w:spacing w:lineRule="auto" w:line="264" w:before="240" w:after="160"/>
        <w:jc w:val="left"/>
        <w:rPr>
          <w:rFonts w:ascii="Neue Haas Grotesk Display Pro 55 Roman;serif" w:hAnsi="Neue Haas Grotesk Display Pro 55 Roman;serif"/>
          <w:b w:val="false"/>
          <w:color w:val="005A64"/>
          <w:sz w:val="22"/>
        </w:rPr>
      </w:pPr>
      <w:r>
        <w:rPr>
          <w:rFonts w:ascii="Neue Haas Grotesk Display Pro 55 Roman;serif" w:hAnsi="Neue Haas Grotesk Display Pro 55 Roman;serif"/>
          <w:b w:val="false"/>
          <w:color w:val="005A64"/>
          <w:sz w:val="22"/>
        </w:rPr>
        <w:t>Financing Activities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net cash flows used in financing activities for the three months ended June 30, 2026 were €108.5 million and mainly related to payments for the share repurchase program of €129.2 million and to lease payments of €11.3 million. These payments were partly offset by proceeds from loans and borrowings of €37.8 million.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net cash flows used in financing activities for the three months ended June 30, 2025 were €13.3 million and mainly related to our lease payments of €9.6 million.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net cash flows used in financing activities for the six months ended June 30, 2026 were €82.1 million and mainly related to payments for the share repurchase program of €129.2 million and to lease payments of €23.2 million. These payments were partly offset by proceeds from loans and borrowings of €76.2 million.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net cash flows used in financing activities for the six months ended June 30, 2025 were €27.1 million and mainly related to our lease payments of €18.9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998220"/>
                <wp:effectExtent l="0" t="0" r="0" b="0"/>
                <wp:wrapNone/>
                <wp:docPr id="188" name="Frame6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8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22" descr=""/>
                          <pic:cNvPicPr>
                            <a:picLocks noChangeAspect="1" noChangeArrowheads="1"/>
                          </pic:cNvPicPr>
                        </pic:nvPicPr>
                        <pic:blipFill>
                          <a:blip r:embed="rId12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9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3" descr=""/>
                          <pic:cNvPicPr>
                            <a:picLocks noChangeAspect="1" noChangeArrowheads="1"/>
                          </pic:cNvPicPr>
                        </pic:nvPicPr>
                        <pic:blipFill>
                          <a:blip r:embed="rId12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Operation and Funding Requirements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part of our capital allocation strategy, we expect to continue to incur significant and increasing operating expenses for the foreseeable future. We anticipate that our expenses will increase substantially if and as we and our collaborators: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continue or expand our research or development of our programs in preclinical development;</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continue or expand the scope of our clinical trials for our product candidates;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initiate additional preclinical, clinical, or other trials for our product candidates, including under our collaboration agreements;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continue to invest in our immunotherapy platforms to conduct research to identify novel technologies;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change or increase our manufacturing capacity or capability;</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change or add additional suppliers;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 xml:space="preserve">add additional infrastructure to our quality control, quality assurance, legal, compliance and other groups to support our operations as a public company and our product development and commercialization efforts, including new and expanded sites globally; </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attract and retain skilled personnel;</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seek marketing approvals and reimbursement for our product candidates;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 xml:space="preserve">enhance our commercial infrastructure for other product candidates for which we are seeking to obtain marketing approval; </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seek to identify and validate additional product candidates;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acquire or in-license other product candidates and technologies;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acquire other companies;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make milestone or other payments under any in-license agreements;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maintain, protect, defend, enforce and expand our intellectual property portfolio;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experience any delays or encounter issues with any of the above.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are a party to license and research and development agreements with universities and other third parties, as well as patent assignment agreements, under which we have obtained rights to patents, patent applications and know-how. We enter into contracts in the normal course of business with CROs for clinical trials and clinical and commercial supply manufacturing, and with vendors for preclinical research studies and for other services and products for operating purposes. We work together with CMOs who manufacture our product candidates and products, and enter into lease agreements to lease laboratory, GMP manufacturing, storage and office spaces. Purchase obligations under our agreements, to the extent that they are quantifiable and not cancellable, have been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998220"/>
                <wp:effectExtent l="0" t="0" r="0" b="0"/>
                <wp:wrapNone/>
                <wp:docPr id="191" name="Frame6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9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4" descr=""/>
                          <pic:cNvPicPr>
                            <a:picLocks noChangeAspect="1" noChangeArrowheads="1"/>
                          </pic:cNvPicPr>
                        </pic:nvPicPr>
                        <pic:blipFill>
                          <a:blip r:embed="rId12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9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25" descr=""/>
                          <pic:cNvPicPr>
                            <a:picLocks noChangeAspect="1" noChangeArrowheads="1"/>
                          </pic:cNvPicPr>
                        </pic:nvPicPr>
                        <pic:blipFill>
                          <a:blip r:embed="rId12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considered when defining our guidance for future cash commitments. The following table shows our significant committed cash outflow within one year and for the years 2027 and beyond.</w:t>
      </w:r>
    </w:p>
    <w:tbl>
      <w:tblPr>
        <w:tblW w:w="10205" w:type="dxa"/>
        <w:jc w:val="left"/>
        <w:tblInd w:w="0" w:type="dxa"/>
        <w:tblLayout w:type="fixed"/>
        <w:tblCellMar>
          <w:top w:w="28" w:type="dxa"/>
          <w:left w:w="28" w:type="dxa"/>
          <w:bottom w:w="28" w:type="dxa"/>
          <w:right w:w="28" w:type="dxa"/>
        </w:tblCellMar>
      </w:tblPr>
      <w:tblGrid>
        <w:gridCol w:w="1478"/>
        <w:gridCol w:w="1303"/>
        <w:gridCol w:w="1309"/>
        <w:gridCol w:w="109"/>
        <w:gridCol w:w="109"/>
        <w:gridCol w:w="109"/>
        <w:gridCol w:w="109"/>
        <w:gridCol w:w="109"/>
        <w:gridCol w:w="109"/>
        <w:gridCol w:w="109"/>
        <w:gridCol w:w="425"/>
        <w:gridCol w:w="368"/>
        <w:gridCol w:w="370"/>
        <w:gridCol w:w="109"/>
        <w:gridCol w:w="109"/>
        <w:gridCol w:w="109"/>
        <w:gridCol w:w="328"/>
        <w:gridCol w:w="307"/>
        <w:gridCol w:w="308"/>
        <w:gridCol w:w="109"/>
        <w:gridCol w:w="109"/>
        <w:gridCol w:w="109"/>
        <w:gridCol w:w="428"/>
        <w:gridCol w:w="406"/>
        <w:gridCol w:w="408"/>
        <w:gridCol w:w="109"/>
        <w:gridCol w:w="109"/>
        <w:gridCol w:w="109"/>
        <w:gridCol w:w="214"/>
        <w:gridCol w:w="214"/>
        <w:gridCol w:w="218"/>
        <w:gridCol w:w="109"/>
        <w:gridCol w:w="109"/>
        <w:gridCol w:w="159"/>
      </w:tblGrid>
      <w:tr>
        <w:trPr/>
        <w:tc>
          <w:tcPr>
            <w:tcW w:w="147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16"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22"/>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June 30, 2026</w:t>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i/>
                <w:color w:val="005A64"/>
                <w:sz w:val="16"/>
              </w:rPr>
            </w:pPr>
            <w:r>
              <w:rPr>
                <w:rFonts w:ascii="Neue Haas Grotesk Display Pro 55 Roman;serif" w:hAnsi="Neue Haas Grotesk Display Pro 55 Roman;serif"/>
                <w:b w:val="false"/>
                <w:i/>
                <w:color w:val="005A64"/>
                <w:sz w:val="16"/>
              </w:rPr>
              <w:t>(in millions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ECE33"/>
              <w:left w:val="single" w:sz="8" w:space="0" w:color="BECE3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Less than 1 year</w:t>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 to 5 years</w:t>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More than 5 years</w:t>
            </w:r>
          </w:p>
        </w:tc>
        <w:tc>
          <w:tcPr>
            <w:tcW w:w="327" w:type="dxa"/>
            <w:gridSpan w:val="3"/>
            <w:tcBorders>
              <w:top w:val="single" w:sz="8" w:space="0" w:color="BECE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BECE33"/>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w:t>
            </w:r>
          </w:p>
        </w:tc>
        <w:tc>
          <w:tcPr>
            <w:tcW w:w="377" w:type="dxa"/>
            <w:gridSpan w:val="3"/>
            <w:tcBorders>
              <w:top w:val="single" w:sz="8" w:space="0" w:color="BECE33"/>
              <w:right w:val="single" w:sz="8" w:space="0" w:color="BECE3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Commitments under purchase agreements for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color w:val="005A64"/>
              </w:rPr>
            </w:pPr>
            <w:r>
              <w:rPr>
                <w:color w:val="005A6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5A64"/>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80.6</w:t>
            </w:r>
          </w:p>
        </w:tc>
        <w:tc>
          <w:tcPr>
            <w:tcW w:w="377"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lef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Contractual obligation to acquire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179.9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311.1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55 Roman;serif" w:hAnsi="Neue Haas Grotesk Display Pro 55 Roman;serif"/>
                <w:b w:val="false"/>
                <w:color w:val="005A64"/>
                <w:sz w:val="16"/>
              </w:rPr>
            </w:pPr>
            <w:r>
              <w:rPr>
                <w:rFonts w:ascii="Neue Haas Grotesk Display Pro 55 Roman;serif" w:hAnsi="Neue Haas Grotesk Display Pro 55 Roman;serif"/>
                <w:b w:val="false"/>
                <w:color w:val="005A64"/>
                <w:sz w:val="16"/>
              </w:rPr>
              <w:t>194.4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tcBorders>
            <w:tcMar>
              <w:top w:w="30" w:type="dxa"/>
              <w:left w:w="0" w:type="dxa"/>
              <w:bottom w:w="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685.4</w:t>
            </w:r>
          </w:p>
        </w:tc>
        <w:tc>
          <w:tcPr>
            <w:tcW w:w="377" w:type="dxa"/>
            <w:gridSpan w:val="3"/>
            <w:tcBorders>
              <w:right w:val="single" w:sz="8" w:space="0" w:color="BECE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op w:val="single" w:sz="2" w:space="0" w:color="7FACB1"/>
              <w:bottom w:val="single" w:sz="8" w:space="0" w:color="005A64"/>
            </w:tcBorders>
            <w:tcMar>
              <w:top w:w="30" w:type="dxa"/>
              <w:left w:w="0" w:type="dxa"/>
              <w:bottom w:w="30" w:type="dxa"/>
              <w:right w:w="0" w:type="dxa"/>
            </w:tcMar>
            <w:vAlign w:val="center"/>
          </w:tcPr>
          <w:p>
            <w:pPr>
              <w:pStyle w:val="TableContents"/>
              <w:bidi w:val="0"/>
              <w:spacing w:lineRule="auto" w:line="336" w:before="0" w:after="283"/>
              <w:jc w:val="lef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ECE33"/>
              <w:bottom w:val="single" w:sz="8" w:space="0" w:color="BECE33"/>
            </w:tcBorders>
            <w:tcMar>
              <w:top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254.6</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317.0</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194.4</w:t>
            </w:r>
          </w:p>
        </w:tc>
        <w:tc>
          <w:tcPr>
            <w:tcW w:w="327" w:type="dxa"/>
            <w:gridSpan w:val="3"/>
            <w:tcBorders>
              <w:bottom w:val="single" w:sz="8" w:space="0" w:color="BECE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7FACB1"/>
              <w:bottom w:val="single" w:sz="8" w:space="0" w:color="BECE33"/>
            </w:tcBorders>
            <w:tcMar>
              <w:top w:w="30" w:type="dxa"/>
              <w:left w:w="0" w:type="dxa"/>
              <w:bottom w:w="30" w:type="dxa"/>
              <w:right w:w="0" w:type="dxa"/>
            </w:tcMar>
            <w:vAlign w:val="center"/>
          </w:tcPr>
          <w:p>
            <w:pPr>
              <w:pStyle w:val="TableContents"/>
              <w:bidi w:val="0"/>
              <w:spacing w:lineRule="auto" w:line="336" w:before="0" w:after="283"/>
              <w:jc w:val="right"/>
              <w:rPr>
                <w:rFonts w:ascii="Neue Haas Grotesk Display Pro 65 Medium;serif" w:hAnsi="Neue Haas Grotesk Display Pro 65 Medium;serif"/>
                <w:b/>
                <w:color w:val="005A64"/>
                <w:sz w:val="16"/>
              </w:rPr>
            </w:pPr>
            <w:r>
              <w:rPr>
                <w:rFonts w:ascii="Neue Haas Grotesk Display Pro 65 Medium;serif" w:hAnsi="Neue Haas Grotesk Display Pro 65 Medium;serif"/>
                <w:b/>
                <w:color w:val="005A64"/>
                <w:sz w:val="16"/>
              </w:rPr>
              <w:t>766.0</w:t>
            </w:r>
          </w:p>
        </w:tc>
        <w:tc>
          <w:tcPr>
            <w:tcW w:w="377" w:type="dxa"/>
            <w:gridSpan w:val="3"/>
            <w:tcBorders>
              <w:bottom w:val="single" w:sz="8" w:space="0" w:color="BECE33"/>
              <w:right w:val="single" w:sz="8" w:space="0" w:color="BECE3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are subject to all of the risks related to the development and commercialization of pharmaceutical products, and we may encounter unforeseen expenses, difficulties, complications, delays and other unknown factors that may adversely affect our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future funding requirements, both near and long term, will depend on many factors, including, but not limited to:</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initiation, progress, timing, costs, and results of preclinical or nonclinical studies and clinical trials for our product candidates;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amount and timing of revenues and associated costs from sales of our COVID-19 vaccine;</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results of research and our other platform activities;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clinical development plans we establish for our product candidates;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terms of any agreements with our current or future collaborators, and the achievement of any milestone payments under such agreements to be paid to us or our collaborators;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number and characteristics of product candidates that we develop or may in-license;</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outcome, timing and cost of meeting regulatory requirements established by the FDA, the EMA and other comparable regulatory authorities;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effect of competing technological and market developments, including other products that may compete with one or more of our product candidates;</w:t>
      </w:r>
    </w:p>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cost and timing of completion and further expansion of clinical and commercial scale manufacturing activities sufficient to support all of our current and future programs;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998220"/>
                <wp:effectExtent l="0" t="0" r="0" b="0"/>
                <wp:wrapNone/>
                <wp:docPr id="194" name="Frame6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9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26" descr=""/>
                          <pic:cNvPicPr>
                            <a:picLocks noChangeAspect="1" noChangeArrowheads="1"/>
                          </pic:cNvPicPr>
                        </pic:nvPicPr>
                        <pic:blipFill>
                          <a:blip r:embed="rId12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9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7" descr=""/>
                          <pic:cNvPicPr>
                            <a:picLocks noChangeAspect="1" noChangeArrowheads="1"/>
                          </pic:cNvPicPr>
                        </pic:nvPicPr>
                        <pic:blipFill>
                          <a:blip r:embed="rId12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240"/>
        <w:ind w:left="0" w:right="0" w:hanging="227"/>
        <w:jc w:val="both"/>
        <w:rPr/>
      </w:pPr>
      <w:r>
        <w:rPr>
          <w:color w:val="BECE33"/>
        </w:rPr>
        <w:t>–</w:t>
      </w:r>
      <w:r>
        <w:rPr>
          <w:rFonts w:ascii="Neue Haas Grotesk Display Pro 45 Light;serif" w:hAnsi="Neue Haas Grotesk Display Pro 45 Light;serif"/>
          <w:b w:val="false"/>
          <w:color w:val="080509"/>
          <w:sz w:val="20"/>
        </w:rPr>
        <w:t>the cost of establishing sales, marketing, and distribution capabilities for any product candidates for which we may receive marketing approval and reimbursement in regions where we choose to commercialize our products on our own;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terms of any ADS repurchases we make.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Risk Factors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business is subject to various risks, including those described below. You should consider carefully the risks and uncertainties described below and in our future filings. If any such risks are 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Risk Factor Summary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business is dependent on the successful development, regulatory approval and commercialization of new medicinal product candidates based on our technology platforms, particularly our oncology assets including pumitamig and our antibody-drug conjugate, or ADC, clinical assets. If we and our collaborators are unable to obtain approval for and effectively commercialize our product candidates for the treatment of patients in their intended indications, our business would be significantly harmed.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are developing product candidates and services, including our oncology pipeline and ADC product candidates, in an environment of rapid technological and scientific change, including evolving standards of care, and our failure to effectively compete would prevent us from achieving significant market penetration. Most of our competitors have significantly greater resources than we do and we may not be able to compete successfully.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product candidates may not work as intended, may cause undesirable effects or may have other properties that could delay or prevent their regulatory approval, limit the commercial profile of an approved label, or result in significant negative consequences following marketing approval, if any.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If we are not successful in discovering, developing and commercializing additional product candidates beyond our current portfolio, our ability to expand our business and achieve our strategic objectives would be impaired.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Demand for our COVID-19 vaccine, though difficult to predict, is expected to continue to decrease in the near future. Changing market dynamics, including as a result of government policy and public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998220"/>
                <wp:effectExtent l="0" t="0" r="0" b="0"/>
                <wp:wrapNone/>
                <wp:docPr id="197" name="Frame7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9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28" descr=""/>
                          <pic:cNvPicPr>
                            <a:picLocks noChangeAspect="1" noChangeArrowheads="1"/>
                          </pic:cNvPicPr>
                        </pic:nvPicPr>
                        <pic:blipFill>
                          <a:blip r:embed="rId12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19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29" descr=""/>
                          <pic:cNvPicPr>
                            <a:picLocks noChangeAspect="1" noChangeArrowheads="1"/>
                          </pic:cNvPicPr>
                        </pic:nvPicPr>
                        <pic:blipFill>
                          <a:blip r:embed="rId13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sentiment, will impact our revenue, which currently depends heavily on sales of our COVID-19 vaccine, and result in challenges relating to production of our COVID-19 vaccine.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reported revenue is partially based on preliminary estimates of COVID-19 vaccine sales and costs from Pfizer Inc., or Pfizer, that are likely to change in future periods, which may impact our reported financial results.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Other companies or organizations may challenge our intellectual property rights or may assert intellectual property rights that prevent us from developing and commercializing our COVID-19 vaccine or our product candidates and other technologies, or that negatively affect our results of operations.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Even if we obtain regulatory approval for our product candidates, the products may not gain the market acceptance among physicians, patients, hospitals, treatment centers and others in the medical community necessary for commercial success.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operating results may fluctuate significantly, which makes our future operating results difficult to predict. If our operating results fall below expectations, the price of the ADSs representing our shares could decline.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If we identify material weaknesses in our internal control over financial reporting and fail to remediate such material weaknesses, we may not be able to report our financial results accurately or to prevent fraud.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As a “foreign private issuer,” we are exempt from a number of rules under U.S. securities laws, as well as Nasdaq rules, and we are permitted to file less information with the Securities and Exchange Commission, or the SEC, than U.S. companies. This may limit the information available to holders of the ADSs and may make our ordinary shares and the ADSs less attractive to investors.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approved product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If our efforts to obtain, maintain, protect, defend and/or enforce the intellectual property related to our COVID-19 vaccine or our product candidates and technologies are not adequate, we may not be able to compete effectively in our market.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have experienced and may continue to experience significant volatility in the market price of the ADSs representing our ordinary shares.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principal shareholders and management own a significant percentage of our ordinary shares and will be able to exert significant control over matters subject to shareholder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998220"/>
                <wp:effectExtent l="0" t="0" r="0" b="0"/>
                <wp:wrapNone/>
                <wp:docPr id="200" name="Frame7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0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30" descr=""/>
                          <pic:cNvPicPr>
                            <a:picLocks noChangeAspect="1" noChangeArrowheads="1"/>
                          </pic:cNvPicPr>
                        </pic:nvPicPr>
                        <pic:blipFill>
                          <a:blip r:embed="rId13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0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1" descr=""/>
                          <pic:cNvPicPr>
                            <a:picLocks noChangeAspect="1" noChangeArrowheads="1"/>
                          </pic:cNvPicPr>
                        </pic:nvPicPr>
                        <pic:blipFill>
                          <a:blip r:embed="rId13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Risks Related to our Business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business is dependent on the successful development, regulatory approval and commercialization of new medicinal product candidates based on our technology platforms, particularly our oncology assets including pumitamig and our antibody-drug conjugate, or ADC, clinical assets. If we and our collaborators are unable to obtain approval for and effectively commercialize our product candidates for the treatment of patients in their intended indications, our business would be significantly harmed.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Even if we complete the necessary preclinical studies and clinical trials, the marketing approval process is expensive, time-consuming and uncertain, and we may not be able to obtain full approvals, or may only obtain partial approvals, in the requested indication for the commercialization of product candidates we may develop. Any product candidates we may develop and the activities associated with their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required to commercialize any of our product candidates, we and our collaborators must demonstrate through extensive preclinical studies and clinical trials that our product candidates are safe and effective for their intended use in the relevant target population.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Failure to obtain marketing approval for a product candidate will prevent us from commercializing the product candidate in a given jurisdiction. Although our COVID-19 vaccine has received emergency use authorization and/or regulatory approvals in certain countries, it is possible that none of our other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We expect to submit initial BLAs/MAAs for our product candidates in the United States, the European Union and in other countries globally. In some of these jurisdictions, mRNA-based medicinal products may be classified in different ways and may be subject to specific requirements. Securing regulatory approval requires the submission of extensive quality,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Clinical benefit and risk are regularly assessed during development, and any new medicinal product we develop may turn out to be insufficiently, i.e., not clinically meaningfully, effective, or may prove to have unacceptable adverse effects, or other characteristics that may preclude our obtaining marketing approval or prevent or limit commercial use.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process of obtaining marketing approvals in the United States, the European Union and elsewhere is expensive, and if additional clinical trials are required, may take many years. Timing can vary substantially based upon a variety of factors, including the type, complexity and novelty of the product candidates involved. Changes in marketing approval policies and standards of care during the development period, changes in or the enactment of additional statutes or regulations, or changes in regulatory review for each submitted product application may cause delays in the approval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998220"/>
                <wp:effectExtent l="0" t="0" r="0" b="0"/>
                <wp:wrapNone/>
                <wp:docPr id="203" name="Frame7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0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2" descr=""/>
                          <pic:cNvPicPr>
                            <a:picLocks noChangeAspect="1" noChangeArrowheads="1"/>
                          </pic:cNvPicPr>
                        </pic:nvPicPr>
                        <pic:blipFill>
                          <a:blip r:embed="rId13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0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33" descr=""/>
                          <pic:cNvPicPr>
                            <a:picLocks noChangeAspect="1" noChangeArrowheads="1"/>
                          </pic:cNvPicPr>
                        </pic:nvPicPr>
                        <pic:blipFill>
                          <a:blip r:embed="rId13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rejection of an application. The FDA, EMA and comparable regulatory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panel of experts, referred to as an Advisory Committee, or other regulatory authority recommends non-approval or restrictions on approval. For example, the FDA’s approval of our LP.8.1-adapted monovalent COVID-19 vaccine is in a narrower population than our previous variant-adapted vaccines. In addition, we may experience delays or rejections based upon additional government regulation from future legislation or administrative action, or changes in regulatory agency policy during the period of product development, clinical trials, and the review process. Officials appointed by the U.S. presidential administration to oversee the agencies involved with approval of drugs and biologics may seek to change regulatory requirements for approval or the approach to reviewing applications. Together with changes of regulatory policy priorities and allocated resources, this could cause further delays, expense or non-approvals.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Regulatory agencies also may approve a product candidate for fewer or more limited indications or patient populations than requested or may grant approval subject to the conduct of post-marketing studies. In addition, regulatory agencies may not approve the labeling claims that are necessary or desirable for the successful commercialization of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are developing product candidates and services, including our oncology pipeline and ADC product candidates, in an environment of rapid technological and scientific change, including evolving standards of care, and geopolitical uncertainties, and our failure to effectively compete would prevent us from achieving significant market penetration. Most of our competitors have significantly greater resources than we do and we may not be able to compete successfully.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998220"/>
                <wp:effectExtent l="0" t="0" r="0" b="0"/>
                <wp:wrapNone/>
                <wp:docPr id="206" name="Frame7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0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34" descr=""/>
                          <pic:cNvPicPr>
                            <a:picLocks noChangeAspect="1" noChangeArrowheads="1"/>
                          </pic:cNvPicPr>
                        </pic:nvPicPr>
                        <pic:blipFill>
                          <a:blip r:embed="rId13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0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35" descr=""/>
                          <pic:cNvPicPr>
                            <a:picLocks noChangeAspect="1" noChangeArrowheads="1"/>
                          </pic:cNvPicPr>
                        </pic:nvPicPr>
                        <pic:blipFill>
                          <a:blip r:embed="rId13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greater financial, technical and human resources than we have at every stage of the discovery, development, manufacture and commercialization of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more extensive experience in preclinical testing, conducting</w:t>
      </w:r>
      <w:r>
        <w:rPr>
          <w:color w:val="080509"/>
          <w:shd w:fill="FFFFFF" w:val="clear"/>
        </w:rPr>
        <w:t xml:space="preserve"> </w:t>
      </w:r>
      <w:r>
        <w:rPr>
          <w:rFonts w:ascii="Neue Haas Grotesk Display Pro 45 Light;serif" w:hAnsi="Neue Haas Grotesk Display Pro 45 Light;serif"/>
          <w:b w:val="false"/>
          <w:color w:val="080509"/>
          <w:sz w:val="20"/>
          <w:shd w:fill="FFFFFF" w:val="clear"/>
        </w:rPr>
        <w:t>clinical trials, obtaining regulatory approvals and manufacturing, marketing and selling drug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product candidates that are based on previously tested or accepted technologies;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products that have been approved or are in late stages of development;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collaborative arrangements in our target markets with leading companies and research institutions.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will continue to face intense competition from products that have already been approved and accepted by the medical community for the treatment of the conditions for which we may develop products in the future. We also expect to face competition from new products that enter the market. There are a number of products currently under development, which may become commercially available in the future, for the treatment of conditions for which we are trying, or may in the future try, to develop drugs. These drugs may be more effective, safer, less expensive, or marketed and sold more effectively than any products we develop.</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anticipate competing with the largest pharmaceutical companies in the world, many of which are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 We also face competition from other companies and institutions that continue to invest in innovation in the ADC field.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we successfully develop other product candidates, and obtain approval for them, we will face competition based on many different factors,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shd w:fill="FFFFFF" w:val="clear"/>
        </w:rPr>
        <w:t>the safety and effectiveness of our products relative to alternative therapies, if any;</w:t>
      </w:r>
    </w:p>
    <w:p>
      <w:pPr>
        <w:pStyle w:val="TextBody"/>
        <w:bidi w:val="0"/>
        <w:spacing w:lineRule="atLeast" w:line="300" w:before="0" w:after="300"/>
        <w:ind w:left="0" w:right="0" w:hanging="227"/>
        <w:jc w:val="both"/>
        <w:rPr/>
      </w:pPr>
      <w:r>
        <w:rPr>
          <w:color w:val="BECE33"/>
          <w:shd w:fill="FFFFFF" w:val="clear"/>
        </w:rPr>
        <w:t>–</w:t>
      </w:r>
      <w:r>
        <w:rPr>
          <w:rFonts w:ascii="Neue Haas Grotesk Display Pro 45 Light;serif" w:hAnsi="Neue Haas Grotesk Display Pro 45 Light;serif"/>
          <w:b w:val="false"/>
          <w:color w:val="080509"/>
          <w:sz w:val="20"/>
          <w:shd w:fill="FFFFFF" w:val="clear"/>
        </w:rPr>
        <w:t>the ease with which our products can be administered and the extent to which patients accept relatively new routes of administration;</w:t>
      </w:r>
    </w:p>
    <w:p>
      <w:pPr>
        <w:pStyle w:val="TextBody"/>
        <w:bidi w:val="0"/>
        <w:spacing w:lineRule="atLeast" w:line="300" w:before="0" w:after="300"/>
        <w:ind w:left="0" w:right="0" w:hanging="227"/>
        <w:jc w:val="both"/>
        <w:rPr/>
      </w:pPr>
      <w:r>
        <w:rPr>
          <w:color w:val="BECE33"/>
          <w:shd w:fill="FFFFFF" w:val="clear"/>
        </w:rPr>
        <w:t>–</w:t>
      </w:r>
      <w:r>
        <w:rPr>
          <w:rFonts w:ascii="Neue Haas Grotesk Display Pro 45 Light;serif" w:hAnsi="Neue Haas Grotesk Display Pro 45 Light;serif"/>
          <w:b w:val="false"/>
          <w:color w:val="080509"/>
          <w:sz w:val="20"/>
          <w:shd w:fill="FFFFFF" w:val="clear"/>
        </w:rPr>
        <w:t>the timing and scope of regulatory approvals for these products;</w:t>
      </w:r>
    </w:p>
    <w:p>
      <w:pPr>
        <w:pStyle w:val="TextBody"/>
        <w:bidi w:val="0"/>
        <w:spacing w:lineRule="atLeast" w:line="300" w:before="0" w:after="300"/>
        <w:ind w:left="0" w:right="0" w:hanging="227"/>
        <w:jc w:val="both"/>
        <w:rPr/>
      </w:pPr>
      <w:r>
        <w:rPr>
          <w:color w:val="BECE33"/>
          <w:shd w:fill="FFFFFF" w:val="clear"/>
        </w:rPr>
        <w:t>–</w:t>
      </w:r>
      <w:r>
        <w:rPr>
          <w:rFonts w:ascii="Neue Haas Grotesk Display Pro 45 Light;serif" w:hAnsi="Neue Haas Grotesk Display Pro 45 Light;serif"/>
          <w:b w:val="false"/>
          <w:color w:val="080509"/>
          <w:sz w:val="20"/>
          <w:shd w:fill="FFFFFF" w:val="clear"/>
        </w:rPr>
        <w:t>the availability and cost of manufacturing and commercialization capabilities;</w:t>
      </w:r>
    </w:p>
    <w:p>
      <w:pPr>
        <w:pStyle w:val="TextBody"/>
        <w:bidi w:val="0"/>
        <w:spacing w:lineRule="atLeast" w:line="300" w:before="0" w:after="300"/>
        <w:ind w:left="0" w:right="0" w:hanging="227"/>
        <w:jc w:val="both"/>
        <w:rPr/>
      </w:pPr>
      <w:r>
        <w:rPr>
          <w:color w:val="BECE33"/>
          <w:shd w:fill="FFFFFF" w:val="clear"/>
        </w:rPr>
        <w:t>–</w:t>
      </w:r>
      <w:r>
        <w:rPr>
          <w:rFonts w:ascii="Neue Haas Grotesk Display Pro 45 Light;serif" w:hAnsi="Neue Haas Grotesk Display Pro 45 Light;serif"/>
          <w:b w:val="false"/>
          <w:color w:val="080509"/>
          <w:sz w:val="20"/>
          <w:shd w:fill="FFFFFF" w:val="clear"/>
        </w:rPr>
        <w:t>the price of any approved immunotherapy;</w:t>
      </w:r>
    </w:p>
    <w:p>
      <w:pPr>
        <w:pStyle w:val="TextBody"/>
        <w:bidi w:val="0"/>
        <w:spacing w:lineRule="atLeast" w:line="300" w:before="0" w:after="300"/>
        <w:ind w:left="0" w:right="0" w:hanging="227"/>
        <w:jc w:val="both"/>
        <w:rPr/>
      </w:pPr>
      <w:r>
        <w:rPr>
          <w:color w:val="BECE33"/>
          <w:shd w:fill="FFFFFF" w:val="clear"/>
        </w:rPr>
        <w:t>–</w:t>
      </w:r>
      <w:r>
        <w:rPr>
          <w:rFonts w:ascii="Neue Haas Grotesk Display Pro 45 Light;serif" w:hAnsi="Neue Haas Grotesk Display Pro 45 Light;serif"/>
          <w:b w:val="false"/>
          <w:color w:val="080509"/>
          <w:sz w:val="20"/>
          <w:shd w:fill="FFFFFF" w:val="clear"/>
        </w:rPr>
        <w:t>reimbursement coverage; and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998220"/>
                <wp:effectExtent l="0" t="0" r="0" b="0"/>
                <wp:wrapNone/>
                <wp:docPr id="209" name="Frame7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1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6" descr=""/>
                          <pic:cNvPicPr>
                            <a:picLocks noChangeAspect="1" noChangeArrowheads="1"/>
                          </pic:cNvPicPr>
                        </pic:nvPicPr>
                        <pic:blipFill>
                          <a:blip r:embed="rId13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1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37" descr=""/>
                          <pic:cNvPicPr>
                            <a:picLocks noChangeAspect="1" noChangeArrowheads="1"/>
                          </pic:cNvPicPr>
                        </pic:nvPicPr>
                        <pic:blipFill>
                          <a:blip r:embed="rId13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shd w:fill="FFFFFF" w:val="clear"/>
        </w:rPr>
        <w:t>–</w:t>
      </w:r>
      <w:r>
        <w:rPr>
          <w:rFonts w:ascii="Neue Haas Grotesk Display Pro 45 Light;serif" w:hAnsi="Neue Haas Grotesk Display Pro 45 Light;serif"/>
          <w:b w:val="false"/>
          <w:color w:val="080509"/>
          <w:sz w:val="20"/>
          <w:shd w:fill="FFFFFF" w:val="clear"/>
        </w:rPr>
        <w:t>intellectual property position.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also face competition in the rapidly growing and developing artificial intelligence, or AI, industry. Our competitors may develop or commercialize products and services with significant advantages over any products we develop based on any of the factors listed above or on other factors. In addition, our competitors may develop collaborations with or receive funding from larger pharmaceutical, biotechnology or technology companies, providing them with an advantage over us. Our competitors therefore may be more successful in commercializing their products and services than we are, which could adversely affect our competitive position and business. Competitive products and services may make any products and services we develop obsolete or non-competitive before we can recover the expenses of developing and commercializing such products, if approved, and services.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product candidates may not work as intended, may cause undesirable effects or may have other properties that could delay or prevent their regulatory approval, limit the commercial profile of an approved label, or result in significant negative consequences following marketing approval, if any.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with most medicinal products, use of our product candidates could be associated with undesirable effects or adverse events which can vary in severity from minor reactions to death and in frequency from infrequent to prevalent. The potential for adverse events is especially acute in the oncology setting, where patients may have advanced disease, impaired organ function, compromised immune and other systems and may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adverse reactions that negatively affect the benefit/risk assessment.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If unacceptable side effects arise in the development of our product candidates, we, the FDA, competent authorities of EU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product liability claims. In addition, these side effects may not be appropriately recognized or managed by the treating medical staff. We are committed to training medical personnel using our product candidates to understand the side effect profiles for our clinical trials, as well as providing guidance to prescribers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 </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Clinical trials are strictly regulated and monitored by sponsors, independent data and safety monitoring boards, ethics committees, and regulatory agencies. Despite adequate risk minimization measures, unexpected events may occur that could adversely impact patients’ safety and/or affect our ability to obtain regulatory approvals and, if approved, commercialize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our ongoing and planned clinical trials, we have contracted, and are expected to continue to contract, with academic medical centers and hospitals experienced in the assessment and management of toxicities arising during clinical trials. Nonetheless, these centers and hospitals may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998220"/>
                <wp:effectExtent l="0" t="0" r="0" b="0"/>
                <wp:wrapNone/>
                <wp:docPr id="212" name="Frame7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13"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38" descr=""/>
                          <pic:cNvPicPr>
                            <a:picLocks noChangeAspect="1" noChangeArrowheads="1"/>
                          </pic:cNvPicPr>
                        </pic:nvPicPr>
                        <pic:blipFill>
                          <a:blip r:embed="rId13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14"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39" descr=""/>
                          <pic:cNvPicPr>
                            <a:picLocks noChangeAspect="1" noChangeArrowheads="1"/>
                          </pic:cNvPicPr>
                        </pic:nvPicPr>
                        <pic:blipFill>
                          <a:blip r:embed="rId14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the EMA or other comparable regulatory authority delaying, suspending or terminating one or more of our clinical trials, and which could jeopardize regulatory approval. The centers using our products, if and when approved, could also have difficulty managing any adverse effects of our products, or use medicines that do not adequately control such undesirable effects or that have a detrimental impact on the efficacy of the treatment.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even if we successfully advance our product candidates into and through clinical trials, such trials will likely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effects and safety consequences of taking our product candidates over a multi-year period.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any of our product candidates receives marketing approval and we or others later identify undesirable effects caused by such products, a number of potentially significant negative consequences could result,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regulatory authorities may withdraw their approval of the product;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be required to recall a product or change the way such product is administered to patients;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additional restrictions may be imposed on the marketing of the particular product or the manufacturing processes for the product or any component thereof;</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regulatory authorities may require the addition of labeling statements, such as a “black box” warning or a contraindication;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be required to implement a Risk Evaluation and Mitigation Strategy, or REMS, or create a Medication Guide outlining the risks of such side effects for distribution to patients;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could be sued and held liable for harm caused to patients;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product may become less competitive;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reputation may be negatively impacted.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998220"/>
                <wp:effectExtent l="0" t="0" r="0" b="0"/>
                <wp:wrapNone/>
                <wp:docPr id="215" name="Frame7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69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1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40" descr=""/>
                          <pic:cNvPicPr>
                            <a:picLocks noChangeAspect="1" noChangeArrowheads="1"/>
                          </pic:cNvPicPr>
                        </pic:nvPicPr>
                        <pic:blipFill>
                          <a:blip r:embed="rId14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1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41" descr=""/>
                          <pic:cNvPicPr>
                            <a:picLocks noChangeAspect="1" noChangeArrowheads="1"/>
                          </pic:cNvPicPr>
                        </pic:nvPicPr>
                        <pic:blipFill>
                          <a:blip r:embed="rId14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had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Clinical development involves a lengthy and expensive process with an uncertain outcome, and delays can occur for a variety of reasons outside of our control. Clinical trials of our product candidates may be delayed,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we have optimized in the past and may in the future optimize our manufacturing processes, including through changes to the scale and site of manufacturing, which may lead to additional studies (including bridging and bioequivalence studies) or potentially significant changes in our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998220"/>
                <wp:effectExtent l="0" t="0" r="0" b="0"/>
                <wp:wrapNone/>
                <wp:docPr id="218" name="Frame7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1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42" descr=""/>
                          <pic:cNvPicPr>
                            <a:picLocks noChangeAspect="1" noChangeArrowheads="1"/>
                          </pic:cNvPicPr>
                        </pic:nvPicPr>
                        <pic:blipFill>
                          <a:blip r:embed="rId14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2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43" descr=""/>
                          <pic:cNvPicPr>
                            <a:picLocks noChangeAspect="1" noChangeArrowheads="1"/>
                          </pic:cNvPicPr>
                        </pic:nvPicPr>
                        <pic:blipFill>
                          <a:blip r:embed="rId14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clinical trial designs, requiring additional cost and time, and, as a consequence, lead to a delay in plans for progressing one or more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outcome of our preclinical studies and our early clinical trials may not be predictive of the success of later clinical trials, and interim results of a clinical trial do not necessarily predict final results;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be unable to establish clinical endpoints that applicable regulatory authorities would consider clinically meaningful;</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 an effort to optimize product features, we have made in the past and may continue to make changes to our product candidates after we commence clinical trials of a medicine which may require us to repeat earlier stages of clinical testing or delay later-stage testing of the medicine;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clinical trials of any product candidates may fail to show safety or efficacy, or may produce negative or inconclusive results, and we may decide, or regulators may require us, to conduct additional nonclinical studies or clinical trials, or we may decide to abandon product development programs;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differences in trial design between early-stage clinical trials and later-stage clinical trials may make it difficult to extrapolate the results of earlier clinical trials to later clinical trials;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product candidates may have undesirable effects or other unexpected characteristics. One or more of such effects or events could cause regulators to impose a clinical hold on the applicable trial, or cause us or our investigators, IRBs or ethics committees to suspend or terminate the trial of that product candidate or any other of our product candidates for which a clinical trial may be ongoing;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number of trial participants required for clinical trials of any product candidates may be larger than we anticipate, identification of trial participants for such trials may be limited, enrollment in these clinical trials may be slower than we anticipate due to perceived adverse effects, limited patient populations, competitive trials, or other reasons, or participants may withdraw from clinical trials or fail to return for post-treatment follow-up at a higher rate than we anticipate;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despite robust sponsor oversight, our and our collaborators’ third-party contractors may fail to comply with regulatory requirements or meet their contractual obligations in a timely manner, or at all, or may deviate from the clinical trial protocol or withdraw from the trial, which may require the addition of new clinical trial sites;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regulators may elect to impose a clinical hold, or we, our investigators, IRBs or ethics committees may elect to suspend or terminate clinical research or trials for various reasons, including noncompliance with regulatory requirements or a finding that the participants are being exposed to an unacceptable benefit-risk ratio;</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998220"/>
                <wp:effectExtent l="0" t="0" r="0" b="0"/>
                <wp:wrapNone/>
                <wp:docPr id="221" name="Frame7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2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44" descr=""/>
                          <pic:cNvPicPr>
                            <a:picLocks noChangeAspect="1" noChangeArrowheads="1"/>
                          </pic:cNvPicPr>
                        </pic:nvPicPr>
                        <pic:blipFill>
                          <a:blip r:embed="rId14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2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45" descr=""/>
                          <pic:cNvPicPr>
                            <a:picLocks noChangeAspect="1" noChangeArrowheads="1"/>
                          </pic:cNvPicPr>
                        </pic:nvPicPr>
                        <pic:blipFill>
                          <a:blip r:embed="rId14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with respect to infectious disease vaccine trials in particular, we have to wait for a particular level of infection in the placebo arm in order to assess protection provided by vaccine, and we cannot control the rate of exposure or infection, which can make timing uncertain;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patient characteristics, the rate of disease progression, and other external influences beyond our control can make the timing of analysis uncertain, particularly in the case of later-stage oncology trials;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cost of preclinical or nonclinical testing and studies and clinical trials of any product candidates may be greater than we anticipate;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supply or quality of our product candidates or other materials necessary to conduct clinical trials may be insufficient or inadequate;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safety or efficacy concerns regarding our product candidates may result from any concerns arising from nonclinical or clinical testing of other therapies targeting a similar disease state or other therapies, such as gene therapy, that are perceived as similar to ours;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FDA or other regulatory authorities may require us to submit additional data, such as long-term toxicology studies, or impose other requirements before permitting us to initiate a clinical trial.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could also encounter delays if a clinical trial is suspended or placed on hold by us, the FDA, or other regulatory authorities, ethics committees, or the IRBs of the institutions in which such trials are being conducted, or if such trial is recommended for suspension or termination by the DSMB. In the event a trial is suspended or placed on hold, it may, upon further analysis, be terminated altogether. If a pivotal trial is terminated, the relevant program may also be subject to delays or termination.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998220"/>
                <wp:effectExtent l="0" t="0" r="0" b="0"/>
                <wp:wrapNone/>
                <wp:docPr id="224" name="Frame7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2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46" descr=""/>
                          <pic:cNvPicPr>
                            <a:picLocks noChangeAspect="1" noChangeArrowheads="1"/>
                          </pic:cNvPicPr>
                        </pic:nvPicPr>
                        <pic:blipFill>
                          <a:blip r:embed="rId14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2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47" descr=""/>
                          <pic:cNvPicPr>
                            <a:picLocks noChangeAspect="1" noChangeArrowheads="1"/>
                          </pic:cNvPicPr>
                        </pic:nvPicPr>
                        <pic:blipFill>
                          <a:blip r:embed="rId14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FDA often adheres to the Advisory Committee’s recommendations. Accordingly, the regulatory approval pathway for our product candidates may be uncertain, complex, expensive and lengthy, and approval may not be certain.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must also complete extensive work on CMC activities that require extensive manufacturing processes and analytical development, which are uncertain and lengthy.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Significant additional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or the suspension of development, of our product candidates may harm our business, financial condition and prospects significantly. </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In addition, on June 28, 2024, the Supreme Court overturned the </w:t>
      </w:r>
      <w:r>
        <w:rPr>
          <w:rFonts w:ascii="Neue Haas Grotesk Display Pro 45 Light;serif" w:hAnsi="Neue Haas Grotesk Display Pro 45 Light;serif"/>
          <w:b w:val="false"/>
          <w:i/>
          <w:color w:val="080509"/>
          <w:sz w:val="20"/>
        </w:rPr>
        <w:t>Chevron</w:t>
      </w:r>
      <w:r>
        <w:rPr>
          <w:color w:val="080509"/>
        </w:rPr>
        <w:t xml:space="preserve"> </w:t>
      </w:r>
      <w:r>
        <w:rPr>
          <w:rFonts w:ascii="Neue Haas Grotesk Display Pro 45 Light;serif" w:hAnsi="Neue Haas Grotesk Display Pro 45 Light;serif"/>
          <w:b w:val="false"/>
          <w:color w:val="080509"/>
          <w:sz w:val="20"/>
        </w:rPr>
        <w:t xml:space="preserve">doctrine in the combined cases of </w:t>
      </w:r>
      <w:r>
        <w:rPr>
          <w:rFonts w:ascii="Neue Haas Grotesk Display Pro 45 Light;serif" w:hAnsi="Neue Haas Grotesk Display Pro 45 Light;serif"/>
          <w:b w:val="false"/>
          <w:i/>
          <w:color w:val="080509"/>
          <w:sz w:val="20"/>
        </w:rPr>
        <w:t>Loper Bright Enterprises v. Raimondo</w:t>
      </w:r>
      <w:r>
        <w:rPr>
          <w:color w:val="080509"/>
        </w:rPr>
        <w:t xml:space="preserve"> </w:t>
      </w:r>
      <w:r>
        <w:rPr>
          <w:rFonts w:ascii="Neue Haas Grotesk Display Pro 45 Light;serif" w:hAnsi="Neue Haas Grotesk Display Pro 45 Light;serif"/>
          <w:b w:val="false"/>
          <w:color w:val="080509"/>
          <w:sz w:val="20"/>
        </w:rPr>
        <w:t xml:space="preserve">and </w:t>
      </w:r>
      <w:r>
        <w:rPr>
          <w:rFonts w:ascii="Neue Haas Grotesk Display Pro 45 Light;serif" w:hAnsi="Neue Haas Grotesk Display Pro 45 Light;serif"/>
          <w:b w:val="false"/>
          <w:i/>
          <w:color w:val="080509"/>
          <w:sz w:val="20"/>
        </w:rPr>
        <w:t>Relentless Inc. v. Department of Commerce</w:t>
      </w:r>
      <w:r>
        <w:rPr>
          <w:rFonts w:ascii="Neue Haas Grotesk Display Pro 45 Light;serif" w:hAnsi="Neue Haas Grotesk Display Pro 45 Light;serif"/>
          <w:b w:val="false"/>
          <w:color w:val="080509"/>
          <w:sz w:val="20"/>
        </w:rPr>
        <w:t xml:space="preserve">. The </w:t>
      </w:r>
      <w:r>
        <w:rPr>
          <w:rFonts w:ascii="Neue Haas Grotesk Display Pro 45 Light;serif" w:hAnsi="Neue Haas Grotesk Display Pro 45 Light;serif"/>
          <w:b w:val="false"/>
          <w:i/>
          <w:color w:val="080509"/>
          <w:sz w:val="20"/>
        </w:rPr>
        <w:t>Chevron</w:t>
      </w:r>
      <w:r>
        <w:rPr>
          <w:color w:val="080509"/>
        </w:rPr>
        <w:t xml:space="preserve"> </w:t>
      </w:r>
      <w:r>
        <w:rPr>
          <w:rFonts w:ascii="Neue Haas Grotesk Display Pro 45 Light;serif" w:hAnsi="Neue Haas Grotesk Display Pro 45 Light;serif"/>
          <w:b w:val="false"/>
          <w:color w:val="080509"/>
          <w:sz w:val="20"/>
        </w:rPr>
        <w:t xml:space="preserve">doctrine gave deference to regulatory agencies in litigation against the FDA and other agencies. In addition, the Supreme Court decided </w:t>
      </w:r>
      <w:r>
        <w:rPr>
          <w:rFonts w:ascii="Neue Haas Grotesk Display Pro 45 Light;serif" w:hAnsi="Neue Haas Grotesk Display Pro 45 Light;serif"/>
          <w:b w:val="false"/>
          <w:i/>
          <w:color w:val="080509"/>
          <w:sz w:val="20"/>
        </w:rPr>
        <w:t>Corner Post, Inc. v. Board of Governors of the Federal Reserve System</w:t>
      </w:r>
      <w:r>
        <w:rPr>
          <w:rFonts w:ascii="Neue Haas Grotesk Display Pro 45 Light;serif" w:hAnsi="Neue Haas Grotesk Display Pro 45 Light;serif"/>
          <w:b w:val="false"/>
          <w:color w:val="080509"/>
          <w:sz w:val="20"/>
        </w:rPr>
        <w:t>, which lengthened the time in which some challenges to agency rules can be initiated. As a result of these cases, more plaintiffs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we or our collaborators encounter difficulties enrolling participants in our clinical trials, our clinical development activities could be delayed or otherwise adversely affected.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a specific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998220"/>
                <wp:effectExtent l="0" t="0" r="0" b="0"/>
                <wp:wrapNone/>
                <wp:docPr id="227" name="Frame8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2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48" descr=""/>
                          <pic:cNvPicPr>
                            <a:picLocks noChangeAspect="1" noChangeArrowheads="1"/>
                          </pic:cNvPicPr>
                        </pic:nvPicPr>
                        <pic:blipFill>
                          <a:blip r:embed="rId14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2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49" descr=""/>
                          <pic:cNvPicPr>
                            <a:picLocks noChangeAspect="1" noChangeArrowheads="1"/>
                          </pic:cNvPicPr>
                        </pic:nvPicPr>
                        <pic:blipFill>
                          <a:blip r:embed="rId15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severity of the disease under investigation;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complexity and design of the study protocol;</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size of the patient population;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eligibility criteria for the study in question;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proximity and availability of clinical study sites for prospective trial participants;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availability of competing therapies and clinical trials, including between our own clinical trials;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efforts to facilitate timely enrollment in clinical trials;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patient referral practices of physicians;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ability to monitor trial participants adequately during and after treatment;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ability to recruit clinical trial investigators with the appropriate competencies and experience;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clinicians’ and trial participants’ perceptions of the potential advantages and side effects of the product candidate being studied in relation to other available therapies, including any new drugs or treatments that may be approved for the indications we are investigating;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our ability to obtain and maintain participant informed consent;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major changes in the approval status of competitor investigational products during the clinical trial period;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risk that trial participants enrolled in clinical trials will not complete a clinical trial.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addition, our clinical trials may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therapeutic novelty in contrast to more traditional methods for disease treatment and prevention, potential trial participants and their doctors may be inclined to use conventional therapies or other investigational therapies rather than enroll trial participants in any future clinical trial involving more novel product candidates. Additionally, if new product candidates, such as gene editing therapies, show encouraging results, potential trial participants and their doctors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998220"/>
                <wp:effectExtent l="0" t="0" r="0" b="0"/>
                <wp:wrapNone/>
                <wp:docPr id="230" name="Frame8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31"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50" descr=""/>
                          <pic:cNvPicPr>
                            <a:picLocks noChangeAspect="1" noChangeArrowheads="1"/>
                          </pic:cNvPicPr>
                        </pic:nvPicPr>
                        <pic:blipFill>
                          <a:blip r:embed="rId15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32"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51" descr=""/>
                          <pic:cNvPicPr>
                            <a:picLocks noChangeAspect="1" noChangeArrowheads="1"/>
                          </pic:cNvPicPr>
                        </pic:nvPicPr>
                        <pic:blipFill>
                          <a:blip r:embed="rId15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our collaborators, and other third parties on whom we rely conduct various activities, including research, clinical trials, manufacturing and, where approved, marketing, in jurisdictions across the globe. Such activities are subject to a variety of risks which could materially and adversely affect our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activities increasingly span different jurisdictions. For example, clinical trials of our product candidates are currently being conducted in several countries, and we plan to commercialize our product candidates, if approved, globally. Accordingly, we are subject to additional risks related to operating in multiple countries,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differing regulatory requirements in such countries;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differences in the standard of care across jurisdictions, which complicates the choice of adequate comparator therapies in global trials;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unexpected changes in tariffs, trade barriers, price and exchange controls and other regulatory requirements;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increased difficulties in managing the logistics and transportation of storing and shipping product candidates produced in Germany and shipping the product candidate to the patient abroad;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import and export requirements and restrictions;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restrictions on transfers of information, including certain technologies and personal data;</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economic weakness, including inflation, or changes to the political climate, public sentiment, and government policy preferences in certain economies and markets;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compliance with tax, employment, immigration and labor laws for employees living or traveling abroad;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taxes, including withholding of payroll taxes;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currency fluctuations, which could result in increased operating expenses and reduced revenue, and other obligations incident to doing business in another country;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difficulties staffing and managing operations outside of Germany;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workforce uncertainty in countries where labor unrest is more common;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998220"/>
                <wp:effectExtent l="0" t="0" r="0" b="0"/>
                <wp:wrapNone/>
                <wp:docPr id="233" name="Frame8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3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52" descr=""/>
                          <pic:cNvPicPr>
                            <a:picLocks noChangeAspect="1" noChangeArrowheads="1"/>
                          </pic:cNvPicPr>
                        </pic:nvPicPr>
                        <pic:blipFill>
                          <a:blip r:embed="rId15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3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53" descr=""/>
                          <pic:cNvPicPr>
                            <a:picLocks noChangeAspect="1" noChangeArrowheads="1"/>
                          </pic:cNvPicPr>
                        </pic:nvPicPr>
                        <pic:blipFill>
                          <a:blip r:embed="rId15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differing payor reimbursement regimes, governmental payors or patient self-pay systems, and price controls;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potential liability under the U.S. Foreign Corrupt Practices Act of 1977 or comparable regulations in other jurisdictions;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challenges enforcing our contractual and intellectual property rights, especially in those countries that do not respect and protect intellectual property rights to the same extent as Germany and the United States;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production shortages resulting from any events affecting raw material supply or manufacturing capabilities abroad;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business interruptions resulting from geopolitical actions, including war and terrorism, or public health epidemics or pandemics.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part of our global operations, we and our collaborators rely on relationships with entities based in various jurisdictions, including for clinical research and manufacturing activities and other regional operational needs. Such relationships may involve the use of our or others’ intellectual property. We expect to continue to rely on such entities, which include locally-based contract manufacturing organizations, or CMOs, and CROs, in the future. For example, we and our collaborators rely on WuXi Biologics Co., Ltd. and its affiliates for outsourcing activities related to manufacturing and the supply chain, research and development, certain IP, and commercialization readiness for certain of our product candidates. Such entities are subject to evolving local regulatory requirements, and may also be subject to U.S. and EU legislation, including the recently enacted U.S. BIOSECURE Act, sanctions, trade restrictions, and/or other regulations. Such requirements could increase the cost or reduce the supply of material available to us, delay or restrict the procurement or supply of such material, or have an adverse affect on our ability to secure significant commitments from governments to purchase our potential therapies.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Further, governments may turn, and have turned, to trade barriers to protect their domestic industries against foreign imports, thereby increasing our cost to operate globally. If significant tariffs or other restrictions are imposed on imports by the United States and related countermeasures are taken by impacted countries, our business, including operating results, cash flows, and financial condition, may be adversely affected. Recently, trade and tariff policies among the United States and other countries have been unsettled and are subject to frequent changes. The U.S. government has imposed tariffs and other trade restrictions on goods across a range of industries, and such actions have at times prompted retaliatory measures by affected countries such as China, Canada and the European Union. While tariffs with certain countries have been temporarily reduced or paused, the imposition of new tariffs will likely be met with further reciprocal tariffs, thus increasing the possibility of a global trade war. If further tariffs are imposed on a broader range of imports, or if retaliatory trade measures are enacted by affected countries, these factors could significantly increase the cost to our global clinical research and manufacturing activities, adversely affect the commercial sale of our COVID-19 vaccines, and harm our competitive position in key markets. Additionally, ongoing trade tensions and uncertainty regarding future trade policies could negatively impact global economic conditions and consumer confidence, further affecting our global operations.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998220"/>
                <wp:effectExtent l="0" t="0" r="0" b="0"/>
                <wp:wrapNone/>
                <wp:docPr id="236" name="Frame8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3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54" descr=""/>
                          <pic:cNvPicPr>
                            <a:picLocks noChangeAspect="1" noChangeArrowheads="1"/>
                          </pic:cNvPicPr>
                        </pic:nvPicPr>
                        <pic:blipFill>
                          <a:blip r:embed="rId15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3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55" descr=""/>
                          <pic:cNvPicPr>
                            <a:picLocks noChangeAspect="1" noChangeArrowheads="1"/>
                          </pic:cNvPicPr>
                        </pic:nvPicPr>
                        <pic:blipFill>
                          <a:blip r:embed="rId15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noted above, we and our partners have conducted and are expecting in the future to conduct clinical trials for our product candidates at clinical sites located outside of the United States. Although the FDA may accept data from clinical trials outside the United States that are not conducted under an IND, acceptance of this data in support of a marketing application or IND requires the clinical trial to have been conducted in accordance with GCPs, and that the FDA is able to validate the data from the clinical trial through an onsite inspection if it deems such inspection necessary. Where data from non-U.S. clinical trials are intended to serve as the sole basis for marketing approval in the United States, the FDA will not approve the application on the basis of non-U.S.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There can be no assurance the FDA will accept data from clinical trials conducted outside of the United States in support of a marketing application. If the FDA does not accept data from our clinical trials of our product candidates, it would likely result in the need for additional clinical trials, which would be costly and time-consuming and delay or permanently halt our development of a product candidate.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These and other risks associated with our international operations and our collaborations with our collaborators may materially adversely affect our ability to attain or maintain profitable operations.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disclose publicly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top-line data that we report differ from actual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998220"/>
                <wp:effectExtent l="0" t="0" r="0" b="0"/>
                <wp:wrapNone/>
                <wp:docPr id="239" name="Frame8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4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56" descr=""/>
                          <pic:cNvPicPr>
                            <a:picLocks noChangeAspect="1" noChangeArrowheads="1"/>
                          </pic:cNvPicPr>
                        </pic:nvPicPr>
                        <pic:blipFill>
                          <a:blip r:embed="rId15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4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57" descr=""/>
                          <pic:cNvPicPr>
                            <a:picLocks noChangeAspect="1" noChangeArrowheads="1"/>
                          </pic:cNvPicPr>
                        </pic:nvPicPr>
                        <pic:blipFill>
                          <a:blip r:embed="rId15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results, or if others, including regulatory authorities, disagree with the conclusions reached, our ability to obtain approval for, and commercialize, product candidates may be harmed, which could significantly harm our business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Results of earlier studies and trials of our product candidates may not be predictive of future trial results.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planned clinical trials or those of our collaborators may be less efficacious or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There is typically an extremely high rate of attrition for product candidates across categories of medicines proceeding through clinical trials.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Many of our product candidates are being developed or are intended to be co-administered with other developmental therapies or approved medicines. For example, autogene cevumeran (BNT122/RO7198457) is being developed to be co-administered with checkpoint inhibitors. Such combinations may have additional side effects, which may be difficult to predict in future clinical trials.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regulatory authorities, ethics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998220"/>
                <wp:effectExtent l="0" t="0" r="0" b="0"/>
                <wp:wrapNone/>
                <wp:docPr id="242" name="Frame8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43"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58" descr=""/>
                          <pic:cNvPicPr>
                            <a:picLocks noChangeAspect="1" noChangeArrowheads="1"/>
                          </pic:cNvPicPr>
                        </pic:nvPicPr>
                        <pic:blipFill>
                          <a:blip r:embed="rId15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44"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59" descr=""/>
                          <pic:cNvPicPr>
                            <a:picLocks noChangeAspect="1" noChangeArrowheads="1"/>
                          </pic:cNvPicPr>
                        </pic:nvPicPr>
                        <pic:blipFill>
                          <a:blip r:embed="rId16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we are not successful in discovering, developing and commercializing additional product candidates beyond our current portfolio, our ability to expand our business and achieve our strategic objectives would be impaired.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Although a substantial amount of our efforts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develop and commercialize such products successfully for many reasons, including the following: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research methodology used may not be successful in identifying potential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competitors may develop alternatives that render our product candidates obsolete;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product candidates we develop may nevertheless be covered by third parties’ patents or other exclusive rights;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product candidate may, on further study, be shown to have harmful side effects or other characteristics that indicate it is unlikely to be effective or otherwise does not meet applicable regulatory criteria;</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discontinue the development of a product candidate;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product candidate may not be capable of being produced in commercial quantities at an acceptable cost, or at all;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an approved product may not be accepted as safe and effective by trial participants, the medical community or third-party payors.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we are unsuccessful in identifying and developing additional products, our potential for growth may be impaired.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998220"/>
                <wp:effectExtent l="0" t="0" r="0" b="0"/>
                <wp:wrapNone/>
                <wp:docPr id="245" name="Frame8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79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4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60" descr=""/>
                          <pic:cNvPicPr>
                            <a:picLocks noChangeAspect="1" noChangeArrowheads="1"/>
                          </pic:cNvPicPr>
                        </pic:nvPicPr>
                        <pic:blipFill>
                          <a:blip r:embed="rId16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4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61" descr=""/>
                          <pic:cNvPicPr>
                            <a:picLocks noChangeAspect="1" noChangeArrowheads="1"/>
                          </pic:cNvPicPr>
                        </pic:nvPicPr>
                        <pic:blipFill>
                          <a:blip r:embed="rId16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mRNA drug development carries substantial clinical development and regulatory risks due to limited regulatory experience with mRNA immunotherapies.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To our knowledge, other than our, Moderna, Inc.’s and Arcturus Therapeutics’ vaccines, no mRNA immunotherapies have been approved or received emergency use authorization or conditional marketing authorization to date by the FDA or the EMA. Successful discovery and development of mRNA-based (and other) immunotherapies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for many reasons,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discovery efforts aimed at identifying potential immunotherapies may not be successful;</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nonclinical or preclinical study results may show product candidates to be less effective than desired or have harmful or problematic side effects;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clinical trial results may show the product candidates to be less effective than expected, including a failure to meet one or more endpoints or have unacceptable side effects or toxicities;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manufacturing or distribution failures or insufficient supply of GMP materials for clinical trials or higher than expected cost could delay or set back clinical trials, or make our product candidates commercially unattractive;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improvements in the manufacturing processes may not be sufficient to satisfy the clinical or commercial demand of our product candidates or regulatory requirements for clinical trials;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changes that we make to optimize our manufacturing, testing or formulating of GMP materials could impact the safety, tolerability and efficacy of our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pricing or reimbursement issues or other factors could delay clinical trials or make any immunotherapy uneconomical or noncompetitive with other therapies;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changing social and political preferences regarding vaccines and mRNA therapies;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proprietary rights, products and technologies of our competitors may prevent our immunotherapies from being commercialized.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For administrative purposes, some mRNA products may be classified together with gene therapy products by the FDA or other regulatory agencies. Unlike certain gene therapies that irreversibly alter cell DNA and may be subsequently subject to specific safety concerns, mRNA products are not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998220"/>
                <wp:effectExtent l="0" t="0" r="0" b="0"/>
                <wp:wrapNone/>
                <wp:docPr id="248" name="Frame8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4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62" descr=""/>
                          <pic:cNvPicPr>
                            <a:picLocks noChangeAspect="1" noChangeArrowheads="1"/>
                          </pic:cNvPicPr>
                        </pic:nvPicPr>
                        <pic:blipFill>
                          <a:blip r:embed="rId16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5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63" descr=""/>
                          <pic:cNvPicPr>
                            <a:picLocks noChangeAspect="1" noChangeArrowheads="1"/>
                          </pic:cNvPicPr>
                        </pic:nvPicPr>
                        <pic:blipFill>
                          <a:blip r:embed="rId16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designed to localize to the cell nucleus or interact with the genome. Side effects observed in other gene therapies, however, could negatively impact the perception of immunotherapies despite the differences in mechanism. In addition, unclear or inconsistent regulatory classification of mRNA products may result in uncertainties regarding the regulatory requirements and pathways for marketing approval. On the other hand, mRNA-based vaccines for the prevention of infectious diseases, like our COVID-19 vaccine, are not currently classified as gene therapies in most regions. The regulatory pathway for an individualized therapy, such as our Individualized Neoantigen Specific Immunotherapy, or iNeST, an mRNA-based immunotherapy where each patient receives a different combination of mRNAs, remains undetermined. The number and design of the clinical and preclinical studies required for the approval of these types of medicines have not been established, may be different from those required for advanced medicinal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future success depends on our ability to retain key employees, consultants and advisors and to attract, retain and motivate qualified senior management and scientific personnel.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as well as a current global shortage of these highly qualified individuals. The loss of any of these persons’ services may adversely impact the achievement of our research, development, financing and commercialization objectives. We are also aware of physical threats made against certain of these people. In response to these threats, we have deployed personal protection for such individuals and increased our security generally. We currently do not have “key person” insurance on any of our employees.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Recruiting and retaining other qualified employees, consultants and advisors for our business, including scientific and technical personnel, will be critical to our success as well. Competition for skilled personnel, including in mRNA research, clinical development, clinical operations, regulatory affairs, therapeutic area management, manufacturing, and AI,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and the failure to succeed in preclinical studies or clinical trials or in applications for marketing approval may make it more challenging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998220"/>
                <wp:effectExtent l="0" t="0" r="0" b="0"/>
                <wp:wrapNone/>
                <wp:docPr id="251" name="Frame8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52"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64" descr=""/>
                          <pic:cNvPicPr>
                            <a:picLocks noChangeAspect="1" noChangeArrowheads="1"/>
                          </pic:cNvPicPr>
                        </pic:nvPicPr>
                        <pic:blipFill>
                          <a:blip r:embed="rId16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53"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65" descr=""/>
                          <pic:cNvPicPr>
                            <a:picLocks noChangeAspect="1" noChangeArrowheads="1"/>
                          </pic:cNvPicPr>
                        </pic:nvPicPr>
                        <pic:blipFill>
                          <a:blip r:embed="rId16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employees, principal investigators and consultants may engage in misconduct or other improper activities, including non-compliance with regulatory standards and requirements and insider trading, which could have an adverse effect on the results of our operations.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are exposed to the risk of fraud or other misconduct by our employees, principal investigators and consultants, despite our robust efforts to prevent such misconduct through sponsor oversight. Misconduct by these parties could include intentional failures to comply with FDA regulations or the regulations applicable in the European Union and other jurisdictions, to provide accurate information to the FDA, the EMA and other regulatory authorities, to comply with healthcare fraud and abuse laws and regulations in the United States and abroad, to report financial information or data accurately or to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Employment-related disputes, including employee litigation and unfavorable publicity, could negatively affect our future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From time to time we may be subject to claims by our employees or regulatory authorities with respect to employment and workplace matters, including lawsuits or proceedings against us regarding injury, creating a hostile workplace,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 related lawsuits have had to terminate management or other key personnel, and have suffered reputational harm that has negatively impacted their business. If we were to face any employment-related claims, our business could be negatively affected.</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illegal distribution and sale by third parties of counterfeit versions of our COVID-19 vaccine, or, if approved, our other product candidates, could have a negative impact on our financial performance or reputation.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Third parties have in the past and may continue to illegally distribute and sell counterfeit versions of COVID-19 vaccines. Counterfeit products are frequently unsafe or ineffective, and may even be life-threatening. Counterfeit medicines may contain harmful substances or the wrong dosage. However,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998220"/>
                <wp:effectExtent l="0" t="0" r="0" b="0"/>
                <wp:wrapNone/>
                <wp:docPr id="254" name="Frame8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5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66" descr=""/>
                          <pic:cNvPicPr>
                            <a:picLocks noChangeAspect="1" noChangeArrowheads="1"/>
                          </pic:cNvPicPr>
                        </pic:nvPicPr>
                        <pic:blipFill>
                          <a:blip r:embed="rId16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5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67" descr=""/>
                          <pic:cNvPicPr>
                            <a:picLocks noChangeAspect="1" noChangeArrowheads="1"/>
                          </pic:cNvPicPr>
                        </pic:nvPicPr>
                        <pic:blipFill>
                          <a:blip r:embed="rId16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to distributors and users, counterfeit products may be visually indistinguishable from the authentic version.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Reports of adverse reactions to counterfeit products, increased levels of counterfeiting, or unsafe vaccines could materially affect public confidence in our COVID-19 vaccine or other product candidates. It is possible that adverse events caused by unsafe counterfeit vaccines will mistakenly be attributed to our COVID-19 vaccine, or, if approved, our other product candidates. In addition, thefts of inventory at warehouses, plants or while in-transit, which are subsequently improperly stored and which are sold through unauthorized channels, could adversely impact patient safety, our reputation, and our business. Public loss of confidence in the integrity of our COVID-19 vaccine or, if approved, our other product candidates, as a result of counterfeiting or theft could have a material adverse effect on our business, results of operations, and financial condition.</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of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EU General Data Protection Regulation, or the GDPR, relevant law of an EU member state, HIPAA, and other relevant state and federal privacy laws in the United States or in other jurisdictions.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While we have not experienced any material system failures, accidents or security breaches to date, in December 2020, we were informed by the EMA that the agency was subject to a cyberattack and that some documents relating to our regulatory submission for our COVID-19 vaccine candidate, which was stored on an EMA server, had been unlawfully accessed. None of our systems were breached in connection with this incident and we are unaware that any study participants were identified through the data being accessed.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have put systems and procedures in place to minimize the likelihood of such incidents reoccurring; however, we cannot guarantee that third parties will not be able to gain unauthorized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998220"/>
                <wp:effectExtent l="0" t="0" r="0" b="0"/>
                <wp:wrapNone/>
                <wp:docPr id="257" name="Frame9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5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68" descr=""/>
                          <pic:cNvPicPr>
                            <a:picLocks noChangeAspect="1" noChangeArrowheads="1"/>
                          </pic:cNvPicPr>
                        </pic:nvPicPr>
                        <pic:blipFill>
                          <a:blip r:embed="rId16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5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69" descr=""/>
                          <pic:cNvPicPr>
                            <a:picLocks noChangeAspect="1" noChangeArrowheads="1"/>
                          </pic:cNvPicPr>
                        </pic:nvPicPr>
                        <pic:blipFill>
                          <a:blip r:embed="rId17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access to or otherwise breach our systems in the future. Any such unauthorized access or breach could adversely affect our business, results of operations and financial condition.</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Product liability lawsuits against us could cause us to incur substantial liabilities and could limit commercialization of our current or future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face an inherent risk of product liability exposure related to the testing of any of our current or future product candidates in clinical trials, and an even greater risk related to any commercialized products, such as our COVID-19 vaccine. We have received product liability claims against our COVID-19 vaccine, and expect to receive additional product liability claims in the future. If we cannot successfully defend ourselves against claims that our products and/or our product candidates have caused injuries, we could incur substantial liabilities. Regardless of merit or eventual outcome, liability claims may result in: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decreased demand for any product or product candidate that we may develop;</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loss of revenue;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substantial monetary awards to patients, healthy volunteers or their children;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significant time and costs to defend the related litigation;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withdrawal of clinical trial participants;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inability to commercialize any products or product candidates that we may develop;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injury to our reputation and significant negative media attention.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carry clinical trial insurance and product liability insurance, which we believe to be sufficient in light of our current clinical programs and commercial operations. However, the amount of coverage we have obtained may not be adequate, and we may seek to further increase insurance coverage limits as our pipeline moves towards commercialization. As we evolve, we may not be able to maintain insurance coverage at a reasonable cost or in sufficient amounts to protect us against losses due to liability. On occasion, large judgments have been awarded in class action lawsuits based on drugs or medical treatments that had unanticipated adverse effects. A successful product liability claim or series of claims brought against us could cause the price of the ADSs to decline and, if judgments exceed our insurance coverage, could adversely affect our results of operations and business.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our products become subject to a product recall it could harm our reputation, business and financial results.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FDA and similar governmental authorities in other jurisdictions have the authority to require the recall of certain commercialized products. In the case of the FDA, the authority to require a recall of a biologic product must be based on an FDA finding that a batch, lot or other quantity of the biologic product presents an imminent or substantial hazard to the public health. In addition, some governmental bodies outside the United States have the authority to require the recall of any product or product candidate in the event of material deficiencies or defects in design or manufacture. Manufacturers may, under their own initiative, recall a product if any material deficiency in a product is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998220"/>
                <wp:effectExtent l="0" t="0" r="0" b="0"/>
                <wp:wrapNone/>
                <wp:docPr id="260" name="Frame9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6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70" descr=""/>
                          <pic:cNvPicPr>
                            <a:picLocks noChangeAspect="1" noChangeArrowheads="1"/>
                          </pic:cNvPicPr>
                        </pic:nvPicPr>
                        <pic:blipFill>
                          <a:blip r:embed="rId17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6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71" descr=""/>
                          <pic:cNvPicPr>
                            <a:picLocks noChangeAspect="1" noChangeArrowheads="1"/>
                          </pic:cNvPicPr>
                        </pic:nvPicPr>
                        <pic:blipFill>
                          <a:blip r:embed="rId17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found. A government-mandated or voluntary recall by us could occur as a result of manufacturing errors, design or labeling defects or other deficiencies and issues.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Recalls of any of our products or, if approved, our product candidates, would divert managerial and financial resources and have an adverse effect on our financial condition and results of operations. A recall announcement could harm our reputation with customers and negatively affect our sales, if any.</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Issues in the development and use of AI, combined with an uncertain regulatory environment, may result in reputational harm, liability or other adverse consequences to our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are investing in AI technology systems, including through our acquisition of InstaDeep, and such systems are complex and rapidly changing. We face significant competition from other companies with respect to our AI and machine learning services, along with an evolving regulatory landscape. The introduction of AI into the development and manufacturing of our product candidates, or the provision of services relating to AI technologies and applications, may result in new or enhanced governmental or regulatory scrutiny, litigation, intellectual property risks, confidentiality or security risks, ethical concerns or other complications that could harm our business, reputation or financial condition.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Uncertainty around AI may require additional investment in the development and maintenance of proprietary datasets and development of appropriate protections and safeguards for handling the use of customer data with AI technologies, which may be costly and could impact our expenses. In addition, AI may create content that appears correct but is inaccurate or flawed, and if created by third parties, may be mistakenly attributed to us. Our customers or others may rely on or use this flawed content to their detriment, which may expose us to brand or reputational harm, competitive harm or legal liability. </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ability to effectively monitor and respond to the rapid and ongoing developments and expectations relating to environmental, social and governance, or ESG, matters, including related social expectations and concerns, may impose unexpected costs or result in reputational or other harm that could have a material adverse effect on our business, financial condition, cash flows and results of operations and could cause the price of ADSs representing our ordinary shares to decline.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There are rapid and ongoing developments and changing, sometimes conflicting, expectations relating to ESG matters and factors such as the environmental impact of our operations, access to our COVID-19 vaccine, corporate governance, our product stewardship practices, management of business ethics, human rights due diligence in our own operations and our supply chain, and workforce development. At the same time, ESG matters, including climate change, are the subject of increased politicization, particularly in the United States. These factors may result in increased regulatory, social or other scrutiny on us.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believe we must address climate risks from our own contribution to climate change (inside-out perspective), risks to our own operations due to physical effects of climate change as well as transition risks (outside-in perspective), and interactions between both perspectives. To this end, we have set ourselves near-term scienced-based emissions reduction targets for our own operations (scope 1, 2) and for our supply chain (supplier engagement target for scope 3), validated by the Science Based Targets initiative, or SBTi, in early February 2024.</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998220"/>
                <wp:effectExtent l="0" t="0" r="0" b="0"/>
                <wp:wrapNone/>
                <wp:docPr id="263" name="Frame9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64"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72" descr=""/>
                          <pic:cNvPicPr>
                            <a:picLocks noChangeAspect="1" noChangeArrowheads="1"/>
                          </pic:cNvPicPr>
                        </pic:nvPicPr>
                        <pic:blipFill>
                          <a:blip r:embed="rId17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65"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73" descr=""/>
                          <pic:cNvPicPr>
                            <a:picLocks noChangeAspect="1" noChangeArrowheads="1"/>
                          </pic:cNvPicPr>
                        </pic:nvPicPr>
                        <pic:blipFill>
                          <a:blip r:embed="rId17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Additionally, we are addressing increasingly complex regulatory requirements with respect to human rights risks. These requirements include German legislation, such as the Act on Corporate Due Diligence Obligations for the Prevention of Human Rights Violations in Supply Chains (Lieferkettensorgfaltspflichtengesetz – LkSG), potential legislative planning by the European Union, and local or regional regulations. Regulatory frameworks require us to identify, prevent, mitigate and ideally end the extent of any potential adverse impacts or violations throughout our own operations and value chain.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Finally, we are faced with increasing ESG related transparency and reporting obligations. These requirements arise, for example, from the EU Corporate Sustainability Reporting Directive regulation, the European Sustainability Reporting Standards, and the respective German implementation law and other possible obligations. Should we fail to meet our climate protection targets or if we are unable to adequately recognize and respond to such developments and governmental, societal, investor and NGO expectations relating to such ESG matters, we may have to pay substantial fines, forego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price of ADSs representing our ordinary shares may decline.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have observed that in addition to the importance of their financial performance, companies are increasingly being judged by their performance on ESG matters. A variety of organizations measure the performance of companies on such ESG topics, and the results of these assessments are widely publicized. We may fail to comply with standards or best practices put forth by such organizations or by governmental or regulatory bodies.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the price of ADSs representing our ordinary shares, financial condition, or results of operations, including the sustainability of our business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Risks Related to our COVID-19 Vaccine and the Commercialization of our Pipeline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Demand for our COVID-19 vaccine, though difficult to predict, is expected to continue to decrease in the near future. Changing market dynamics, including as a result of government policy and public sentiment, will impact our revenue, which currently depends heavily on sales of our COVID-19 vaccine, and result in challenges relating to production of our COVID-19 vaccine.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Prior to the commercialization of our COVID-19 vaccine, we had not sold or marketed any products in our pipeline. As a result, a majority of our total revenues to date are attributable to sales of our COVID-19 vaccine. However, we have experienced and we expect to continue to experience increasing reductions in demand for COVID-19 vaccination generally, including for our vaccine, now that the virus has entered an endemic stage and as a growing proportion of the population becomes vaccinated. We expect that future revenues from sales of our COVID-19 vaccine will decrease as demand for vaccination wanes. Such revenues will depend on numerous factors,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extent to which a COVID-19 vaccine, including any booster shot, continues to be necessary while COVID-19 remains an endemic virus;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competition from other COVID-19 vaccines, including those with different mechanisms of action and different manufacturing and distribution constraints, on the basis of, among other things,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998220"/>
                <wp:effectExtent l="0" t="0" r="0" b="0"/>
                <wp:wrapNone/>
                <wp:docPr id="266" name="Frame9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6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74" descr=""/>
                          <pic:cNvPicPr>
                            <a:picLocks noChangeAspect="1" noChangeArrowheads="1"/>
                          </pic:cNvPicPr>
                        </pic:nvPicPr>
                        <pic:blipFill>
                          <a:blip r:embed="rId17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6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75" descr=""/>
                          <pic:cNvPicPr>
                            <a:picLocks noChangeAspect="1" noChangeArrowheads="1"/>
                          </pic:cNvPicPr>
                        </pic:nvPicPr>
                        <pic:blipFill>
                          <a:blip r:embed="rId17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efficacy, cost, convenience of storage and distribution, breadth of approved use, side-effect profile and durability of immune response;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successfully and timely develop effective vaccines targeting new variants and mutations of COVID-19;</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extent to which changes in local, national and state government policy preferences in the United States and other jurisdictions, including changes in vaccine recommendations, and evolving public sentiment affect demand for COVID-19 vaccines or mRNA therapeutics and our ability to successfully commercialize our product candidates, if approved;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receive full regulatory approvals where we currently have, or previously have had, emergency use authorizations or equivalents;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expand our geographic customer base;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pricing and reimbursement negotiations with governmental authorities, private health insurers and other third-party payors after our initial sales to national governments, including the transition towards ordinary-course insurance coverage in the public and private sectors;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ability of countries and jurisdictions to store and distribute doses of our COVID-19 vaccine to end users at cold temperatures;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the safety profile of our COVID-19 vaccine, including if previously unknown undesirable effects or increased incidence or severity of known undesirable effects are identified with our COVID-19 vaccine;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intellectual property litigation involving our COVID-19 vaccine and COVID-19 vaccines in general;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manufacturing and distribution capabilities for our COVID-19 vaccine.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cannot accurately predict the revenues our COVID-19 vaccine will generate in future periods or for how long our COVID-19 vaccine will continue to generate material revenues, and we cannot ensure it will maintain its competitive position. Uncertainty in the demand for our COVID-19 vaccine and difficulties in targeting appropriate supply of our COVID-19 vaccines have in the past resulted, and may in the future result, in significant inventory write-downs and cancellations of contract manufacturing orders. Our business and financial condition could be materially affected by lowered COVID-19 vaccine revenues resulting from any of the above factors, or by production and supply chain difficulties. In addition, if our revenues or market share of, or other financial metrics relating to, our COVID-19 vaccine do not meet the expectations of investors or securities analysts, the market price of the ADSs representing our ordinary shares may decline.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reported revenue is based in part on preliminary estimates of COVID-19 vaccine sales and costs from Pfizer that are likely to change in future periods, which may impact our reported financial results.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reported revenue is based in part on preliminary estimates from Pfizer and other assumptions and judgments that we have made, which may be subject to significant uncertainties. Our revenue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998220"/>
                <wp:effectExtent l="0" t="0" r="0" b="0"/>
                <wp:wrapNone/>
                <wp:docPr id="269" name="Frame9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7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76" descr=""/>
                          <pic:cNvPicPr>
                            <a:picLocks noChangeAspect="1" noChangeArrowheads="1"/>
                          </pic:cNvPicPr>
                        </pic:nvPicPr>
                        <pic:blipFill>
                          <a:blip r:embed="rId17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7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77" descr=""/>
                          <pic:cNvPicPr>
                            <a:picLocks noChangeAspect="1" noChangeArrowheads="1"/>
                          </pic:cNvPicPr>
                        </pic:nvPicPr>
                        <pic:blipFill>
                          <a:blip r:embed="rId17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includes preliminary estimates in part due to a difference in Pfizer’s financial quarter for subsidiaries outside the United States, which consequently creates an additional time lag between the recognition of revenues and the receipt of payment. Although our revenue recognition policy is based on facts and circumstances known to us and various other assumptions that we believe to be reasonable under the circumstances, our actual results may deviate from such reported revenue.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depend on Pfizer to determine and provide estimates of the costs and profits to be shared with us in the countries where it is commercializing our COVID-19 vaccine under our collaboration agreement with Pfizer for our COVID-19 vaccine, which we refer to as the Pfizer Agreement. Because the information supplied by Pfizer is preliminary and subject to change, the revenue we report based on such information is also subject to finalization. This is particularly true for vaccine sales outside of the United States, where Pfizer has a different reporting cycle than ours. As a result, we may not have the complete sales and costs results outside of the United States for months not covered by the reporting period, but we are nonetheless required to report estimated figures.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Pfizer has historically provided us with profit figures for our COVID-19 vaccine sales in the United States using standard U.S. transfer prices and manufacturing and shipping cost variances (as far as those have been identified) that could be subject to adjustment (e.g., due to changes in manufacturing costs or the price of our COVID-19 vaccine). Pfizer has also provided estimated profits for COVID-19 vaccine sales outside of the United States that were preliminary in nature for the last month of a quarter, as Pfizer’s subsidiaries outside of the United States have a different reporting cycle than ours. These estimated figures have changed, and in the future such estimated figures are likely to change, as we receive final data from Pfizer for the applicable period in accordance with the reporting cycle of Pfizer’s ex-U.S. subsidiaries and as actual costs become known. Further, to the extent that Pfizer does not provide such preliminary information in the future, our provisional sales figures for territories outside of the United States will be subject to an even greater level of estimate and judgment. Any changes to the preliminary data we report herein may have an impact on our reported revenues and expenses, profitability or financial position.</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be unsuccessful in adapting our COVID-19 vaccine or developing future versions of our COVID-19 vaccine to protect against variants of the SARS-CoV-2 virus, and even if we are successful, a market for vaccines against these variants may not develop and our ability to continue to generate income from sales of our COVID-19 vaccine is uncertain.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COVID-19 disease itself is unpredictable and each variant comes with varying levels of transmissibility and severity. Consequently, the burden of the disease may wane or dissipate such that our and other COVID-19 vaccines may be considered less essential from individual and public health perspectives.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COVID-19 vaccine was initially developed based upon the genetic sequence of the original SARS-CoV-2 virus that was first detected. The SARS-CoV-2 virus continues to evolve, and new strains of the virus or those that are already in circulation may prove more transmissible or cause more severe forms of COVID-19 disease than the predominant strains observed to date. Our vaccine may not be as effective in protecting against existing and future variant strains of the SARS-CoV-2 virus as it is against the original virus or currently known strains of the SARS-CoV-2 virus. We and Pfizer intend to continue to observe our COVID-19 vaccine, including variant-adapted vaccine candidates, in global clinical trials. It is possible that subsequent data from these clinical trials may not be as favorable as data we submitted to regulatory authorities to support our applications for emergency use authorization or marketing or conditional marketing approval or that concerns about the safety of our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998220"/>
                <wp:effectExtent l="0" t="0" r="0" b="0"/>
                <wp:wrapNone/>
                <wp:docPr id="272" name="Frame9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73"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78" descr=""/>
                          <pic:cNvPicPr>
                            <a:picLocks noChangeAspect="1" noChangeArrowheads="1"/>
                          </pic:cNvPicPr>
                        </pic:nvPicPr>
                        <pic:blipFill>
                          <a:blip r:embed="rId17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74"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79" descr=""/>
                          <pic:cNvPicPr>
                            <a:picLocks noChangeAspect="1" noChangeArrowheads="1"/>
                          </pic:cNvPicPr>
                        </pic:nvPicPr>
                        <pic:blipFill>
                          <a:blip r:embed="rId18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variant-adapted COVID-19 vaccines will arise from widespread use outside of clinical trials. While we continue to monitor emerging SARS-CoV-2 strains, undertake investigations into the immunogenicity of our COVID-19 vaccine against new variants as they emerge and develop modified versions of our COVID-19 vaccine against new variants, these efforts may be unsuccessful, and failure to timely and successfully adapt our vaccine to variants of the SARS-CoV-2 virus could lead to significant reputational harm and adversely affect our financial results. Furthermore, variant-adapted COVID-19 vaccines may not receive approval or emergency use authorization in all jurisdictions, which could adversely affect our business prospects. It is also possible that we may expend significant resources adapting our COVID-19 vaccine to protect against certain variants of the SARS-CoV-2 virus, but that a market for adapted vaccines does not develop for one or more variants or that demand does not align with our projections or cost expenditures. Moreover, even if we are successful in developing an adapted vaccine and there is a market for the new vaccine, new variants continue to emerge and any adapted vaccine may not be as effective in protecting against such future variant strains.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 xml:space="preserve">If we discover safety issues with our products, including our COVID-19 vaccine, that were not known at the time of approval, commercialization efforts for our products could be negatively affected, approved products could lose their approval or sales could be suspended, we could be subject to product liability claims and our business and reputation could be materially harmed.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COVID-19 vaccine and any other product candidates for which we receive approval or emergency use authorization are subject to continuing regulatory oversight, including the review of additional safety information. Billions of doses of our COVID-19 vaccine have been delivered worldwide, and our COVID-19 vaccine is being more widely used by patients as an authorized product than it was used in clinical trials. As a result, undesirable effects and other problems may be observed that were not seen or anticipated, or were not as prevalent or severe, during clinical trials. We cannot provide assurance that newly discovered or developed safety issues will not arise, and we have received, and expect to continue to receive, product liability claims relating to our COVID-19 vaccine. With the use of any vaccine by a wide patient population, serious adverse events may occur from time to time that did not arise in clinical trials or that initially appeared to be unrelated to the vaccine itself and only with the collection of subsequent information were found to be causally related to the product. Safety events that arise outside of a clinical trial setting are difficult to monitor, and given the widespread use of our COVID-19 vaccine, we have experienced difficulty tracking potential treatment-related adverse events on a global basis. Any safety issues could cause us to suspend or cease marketing of our approved products, possibly subject us to substantial liabilities, and adversely affect our ability to generate revenue and our financial condition.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the price of the ADSs representing our ordinary shares to decline or experience periods of volatility.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Unexpected safety issues, including any that we have not yet observed in our clinical trials or in real world data, could lead to significant reputational damage for us and our product development platforms going forward and other issues, including delays in our other programs, the need for re-design of our clinical trials and the need for significant additional financial resources.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998220"/>
                <wp:effectExtent l="0" t="0" r="0" b="0"/>
                <wp:wrapNone/>
                <wp:docPr id="275" name="Frame9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89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7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80" descr=""/>
                          <pic:cNvPicPr>
                            <a:picLocks noChangeAspect="1" noChangeArrowheads="1"/>
                          </pic:cNvPicPr>
                        </pic:nvPicPr>
                        <pic:blipFill>
                          <a:blip r:embed="rId18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7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81" descr=""/>
                          <pic:cNvPicPr>
                            <a:picLocks noChangeAspect="1" noChangeArrowheads="1"/>
                          </pic:cNvPicPr>
                        </pic:nvPicPr>
                        <pic:blipFill>
                          <a:blip r:embed="rId18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 xml:space="preserve">Failure to comply with continuing regulatory requirements by us or our collaboration partners could adversely impact regulatory approvals for our products, result in product recalls or suspensions, and/or subject us to fines and/or other types of liabilities.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we or our collaborators fail to comply with applicable continuing regulatory requirements, including good industry practices, such as good manufacturing practices, or GMP, we or our collaborators may be subject to fines, suspension or withdrawal of regulatory approvals for specific drugs, product recalls and seizures, operating restrictions and/or criminal prosecutions. We and the manufacturers we engage to make our products and the manufacturing facilities in which our products are made are subject to periodic review and inspection by the U.S. Food and Drug Administration, or the FDA, and other regulatory authorities. If problems are identified during a review or inspection, we or our collaborators may be the subject of adverse regulatory action, including the issuance of untitled or warning letters, which could result in our inability to use the facility to make our product or a determination that inventories are not safe for commercial sale. Any of these factors could adversely affect our business prospects and our financial position could be materially harmed.</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successful commercialization of our product candidates will depend in part on the extent to which governmental authorities, private health insurers and other third-party payors provide coverage and adequate reimbursement levels and implement pricing policies favorable to our product candidates. Failure to obtain or maintain coverage and adequate reimbursement for our product candidates, if approved, and/or delayed payments from government authorities could limit our ability to market those products and decrease our ability to generate revenue.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availability and extent of reimbursement by governmental and private payors is essential for most patients to be able to afford certain treatments, including our COVID-19 vaccine and other product candidates we may develop and sell. In addition, because our mRNA product candidates represent an entirely new therapeutic modality, we cannot accurately estimate how future products we may develop and sell would be priced, whether reimbursement could be obtained, or any potential revenue. Sales of our product candidates will depend substantially, both domestically and abroad, on the extent to which the costs of our product candidates will be paid by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in any of our products. Additionally, even if pricing terms with governmental authorities are agreed upon, there may be delayed or denied payments.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There is significant uncertainty related to the insurance coverage and reimbursement for newly approved products in particular in the United States,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Outside the United States, certain countries, including a number of member states of the European Union, set prices and reimbursement for pharmaceutical products, with limited participation from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998220"/>
                <wp:effectExtent l="0" t="0" r="0" b="0"/>
                <wp:wrapNone/>
                <wp:docPr id="278" name="Frame9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7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82" descr=""/>
                          <pic:cNvPicPr>
                            <a:picLocks noChangeAspect="1" noChangeArrowheads="1"/>
                          </pic:cNvPicPr>
                        </pic:nvPicPr>
                        <pic:blipFill>
                          <a:blip r:embed="rId18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8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83" descr=""/>
                          <pic:cNvPicPr>
                            <a:picLocks noChangeAspect="1" noChangeArrowheads="1"/>
                          </pic:cNvPicPr>
                        </pic:nvPicPr>
                        <pic:blipFill>
                          <a:blip r:embed="rId18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The Inflation Reduction Act, or IRA, enacted in August 2022 allows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The negotiated prices, which became effective in 2026 for the first round of selected drugs, are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These IRA provisions have begun to take effect progressively starting in 2023, although the drug negotiation provisions of the IRA are currently the subject of legal challenges. The effects of the IRA on our business and the healthcare industry in general are not yet known. In addition, the Center for Medicare and Medicaid Innovation, or CMMI, has announced two new mandatory models that propose MFN pricing for certain products covered by Medicare and one new voluntary model that proposes MFN pricing for products covered by Medicaid. These models, or other models announced by CMMI, could result in significantly lower prices for our products. These laws and regulations may result in additional reductions in Medicare and other healthcare funding and otherwise affect the prices we may obtain for any of our products for which we may obtain regulatory approval or the frequency with which any such product is prescribed or used.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importing from other countries and bulk purchasing. Officials appointed by the current presidential administration to oversee the implementation of the IRA may take a different approach, and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998220"/>
                <wp:effectExtent l="0" t="0" r="0" b="0"/>
                <wp:wrapNone/>
                <wp:docPr id="281" name="Frame9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8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84" descr=""/>
                          <pic:cNvPicPr>
                            <a:picLocks noChangeAspect="1" noChangeArrowheads="1"/>
                          </pic:cNvPicPr>
                        </pic:nvPicPr>
                        <pic:blipFill>
                          <a:blip r:embed="rId18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83"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85" descr=""/>
                          <pic:cNvPicPr>
                            <a:picLocks noChangeAspect="1" noChangeArrowheads="1"/>
                          </pic:cNvPicPr>
                        </pic:nvPicPr>
                        <pic:blipFill>
                          <a:blip r:embed="rId18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administration and Congress could also pursue statutory changes to the program, either of which could negatively affect our revenues.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products in the marketplace.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Government policies, including relating to manufacturing, export controls, or tariffs, and negative public perception regarding vaccines and mRNA-based therapeutics could severely and adversely impact the manufacturing and sales of our COVID-19 vaccine and other product candidates we may develop, if approved.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There is a heightened risk that vaccines could be subject to export controls, adverse emergency actions or supply requirements by governmental and other authorities. In the past, the European Union and other regions have imposed, or threatened to impose, export controls that would limit or block the delivery of COVID-19 vaccines manufactured in or outside their territories in instances where manufacturers have been delayed or have not fully satisfied their delivery obligations to such governments, which could have prohibited us from delivering our COVID-19 vaccine to other jurisdictions. Recently, trade and tariff policies among the United States and other countries have been unsettled and are subject to frequent changes. The U.S. government has imposed tariffs and other trade restrictions on goods across a range of industries, and such actions have at times prompted retaliatory measures by affected countries such as China, Canada and the European Union. While tariffs with certain countries have been temporarily reduced or paused, the imposition of new tariffs will likely be met with further reciprocal tariffs, thus increasing the possibility of a global trade war. If trade restrictions or tariffs reduce global economic activity, potential impacts could include declining sales; increased costs; volatility in foreign exchange rates; and a decline in the value of our financial assets. Issued or future executive orders or other new or changes in laws, regulations or policy regarding tariffs could have a material adverse effect on our business, earnings and financial guidance. The actual impact of the new tariffs on our business is subject to a number of factors including, but not limited to, restrictions on trade, the effective date and duration of such tariffs, countries included in the scope of tariffs, changes to amounts of tariffs, potential retaliatory tariffs imposed by other countries, and the extent to which tariffs are imposed on finished or unfinished pharmaceutical products. Vaccines are also at risk of being subject to adverse emergency actions taken by governmental entities in certain countries, including intellectual property expropriation, compulsory licenses, strict price controls or other actions, such as the requirement that specific quantities of vaccine doses be set aside for designated purposes or geographic areas. Additional changes in governmental policy preferences and regulatory decision-making may have an adverse effect on our ability to commercialize products or, if approved, product candidates. For example, the FDA’s approval of our LP.8.1-adapted monovalent COVID-19 vaccine is in a narrower population than our previous variant-adapted vaccines.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Furthermore, public sentiment regarding commercialization of vaccines, the safety and efficacy of our COVID-19 vaccine, other COVID-19 vaccines and treatments, and other public perceptions and misinformation relating to COVID-19, mRNA technology, and our and other COVID-19 vaccines may limit our ability to generate income from sales of our COVID-19 vaccine and other product candidates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998220"/>
                <wp:effectExtent l="0" t="0" r="0" b="0"/>
                <wp:wrapNone/>
                <wp:docPr id="284" name="Frame9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85"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86" descr=""/>
                          <pic:cNvPicPr>
                            <a:picLocks noChangeAspect="1" noChangeArrowheads="1"/>
                          </pic:cNvPicPr>
                        </pic:nvPicPr>
                        <pic:blipFill>
                          <a:blip r:embed="rId18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86"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87" descr=""/>
                          <pic:cNvPicPr>
                            <a:picLocks noChangeAspect="1" noChangeArrowheads="1"/>
                          </pic:cNvPicPr>
                        </pic:nvPicPr>
                        <pic:blipFill>
                          <a:blip r:embed="rId18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may develop and sell, including due to changes in local, national and state government policies in the U.S. and other jurisdictions, and cause reputational damage.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face significant competition with other makers of COVID-19 vaccines and may be unable to maintain a competitive market share for our COVID-19 vaccine.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 number of competitors currently have programs to develop COVID-19 vaccine candidates, including vaccines developed by Moderna, Inc. and Novavax, Inc.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invest heavily to accelerate discovery and development of their vaccine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efforts to continue successful commercialization of our COVID-19 vaccine may fail if competitors develop and commercialize COVID-19 vaccines that are safer, more effective, produce longer immunity against COVID-19, require fewer administrations, have fewer or less severe undesirable effects, have broader market acceptance, are more convenient to administer or distribute or are less expensive than any vaccine candidate that we have developed or we may develop.</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COVID-19 vaccine is sensitive to temperature, shipping and storage conditions and could be subject to risk of loss or damage.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COVID-19 vaccine is, and other product candidates we develop could be, sensitive to temperature, storage and handling conditions. In particular, while we have improved the required shipping and storage conditions of our COVID-19 vaccine, it must be shipped and stored at cold temperatures. Loss in supply of our COVID-19 vaccine and our product candidates could occur if the product or product intermediates are not stored or handled properly. Shelf life for our product candidates may vary by product, and it is possible that supply of our COVID-19 vaccine or our product candidates could be lost due to expiration prior to use. This has in the past led, and could in the future lead, to additional manufacturing costs and delays in our ability to supply required quantities for clinical trials or for commercial purposes. Such distribution challenges may make our COVID-19 vaccine a less attractive product than other COVID-19 vaccines that do not require as cold storage, and our COVID-19 vaccine may become increasingly less competitive as additional other vaccines become authorized for emergency use. If we, our partners and customers are unable to adequately manage these issues, we may be exposed to product liability claims and the market opportunity for our COVID-19 vaccine may be reduced, each of which could adversely affect our business prospects and materially harm our financial condition.</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market opportunities for some of our product candidates may be small due to the rarity of the disease, or limited to those patients who are ineligible for or have failed prior treatments. As the target patient populations for some of our programs are small, we may be unable to achieve or maintain profitability in future periods without obtaining regulatory approval for additional indications.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FDA often approves new cancer therapies initially only for use by patients with relapsed or refractory advanced cancer. We expect to seek approval initially for some of our product candidates in this context. Subsequently, for those products that prove to be sufficiently beneficial, we would expect to seek approval in earlier lines of treatment and potentially as a first-line therapy, but there is no guarantee that our product candidates, even if approved, would be approved for earlier lines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998220"/>
                <wp:effectExtent l="0" t="0" r="0" b="0"/>
                <wp:wrapNone/>
                <wp:docPr id="287" name="Frame10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88" descr=""/>
                          <pic:cNvPicPr>
                            <a:picLocks noChangeAspect="1" noChangeArrowheads="1"/>
                          </pic:cNvPicPr>
                        </pic:nvPicPr>
                        <pic:blipFill>
                          <a:blip r:embed="rId18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89" descr=""/>
                          <pic:cNvPicPr>
                            <a:picLocks noChangeAspect="1" noChangeArrowheads="1"/>
                          </pic:cNvPicPr>
                        </pic:nvPicPr>
                        <pic:blipFill>
                          <a:blip r:embed="rId19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therapy, and, prior to any such approvals, we may have to conduct additional clinical trials. We are also developing product candidates for the treatment of rare diseases.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may be small, we may be unable to achieve or maintain profitability in future periods without obtaining regulatory approval for additional indications.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we are unable to continue to increase our marketing and sales capabilities on our own or through third parties, we may not be able to market and sell our product candidates effectively in the United States and other jurisdictions, if approved, or generate sufficient product sales revenue.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With respect to our COVID-19 vaccine, we rely heavily on the sales, distribution, and marketing capabilities of our partners except in Germany and Türkiye. To successfully commercialize any other products that may result from our development programs, several of which are undergoing pivotal clinical trials, we will need to continue developing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current and future collaborators do not commit sufficient resources to further commercialize our COVID-19 vaccine and our future products, if any, and we are unable to develop the necessary marketing capabilities on our own, we may be unable to generate sufficient product sales revenue to sustain our business. We compete with many companies that currently have extensive and well-funded marketing and sales operations. Without continuing to grow our internal team or obtaining the support of third parties to perform marketing and sales functions, we may be unable to compete successfully against these more established companies.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ability to achieve or maintain profitability in future periods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ability to achieve or maintain profitability in future periods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obtaining, on a country-by-country basis, the applicable marketing authorization from the competent regulatory authority;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burden of complying with complex and changing regulatory, tax, accounting, labor and other legal requirements in each jurisdiction that we or our collaborators pursue;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reduced protection for intellectual property rights;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998220"/>
                <wp:effectExtent l="0" t="0" r="0" b="0"/>
                <wp:wrapNone/>
                <wp:docPr id="290" name="Frame10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91"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90" descr=""/>
                          <pic:cNvPicPr>
                            <a:picLocks noChangeAspect="1" noChangeArrowheads="1"/>
                          </pic:cNvPicPr>
                        </pic:nvPicPr>
                        <pic:blipFill>
                          <a:blip r:embed="rId19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92"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91" descr=""/>
                          <pic:cNvPicPr>
                            <a:picLocks noChangeAspect="1" noChangeArrowheads="1"/>
                          </pic:cNvPicPr>
                        </pic:nvPicPr>
                        <pic:blipFill>
                          <a:blip r:embed="rId19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differing medical practices and customs affecting acceptance in the marketplace;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import or export licensing requirements;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governmental controls, trade restrictions or changes in tariffs;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economic weakness, including inflation, or political instability;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production shortages resulting from any events affecting raw material supply or manufacturing capabilities abroad;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longer accounts receivable collection times;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longer lead times for shipping;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language barriers;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foreign currency exchange rate fluctuations;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impact of epidemics, pandemics and other public health developments, such as COVID-19, on employees and the global economy;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reimbursement, pricing and insurance regimes;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interpretation of contractual provisions governed by local laws in the event of a contract dispute.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Even if we obtain regulatory approval for our product candidates, the products may not gain the market acceptance among physicians, patients, hospitals, treatment centers and others in the medical community necessary for commercial success.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Any product that we bring to the market may not gain market acceptance by physicians, trial participants, third-party payors, and others in the medical community. Additionally, ethical and legal concerns and social preferences about research involving mRNA could result in additional regulations restricting or prohibiting the products and processes we may use. If these products do not achieve an adequate level of acceptance, we may not generate significant product sales revenue and may not be able to achieve or maintain profitability in future periods. The degree of market acceptance of our product candidates, if approved for commercial sale, will depend on a number of factors, including: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998220"/>
                <wp:effectExtent l="0" t="0" r="0" b="0"/>
                <wp:wrapNone/>
                <wp:docPr id="293" name="Frame10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94"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92" descr=""/>
                          <pic:cNvPicPr>
                            <a:picLocks noChangeAspect="1" noChangeArrowheads="1"/>
                          </pic:cNvPicPr>
                        </pic:nvPicPr>
                        <pic:blipFill>
                          <a:blip r:embed="rId19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95"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93" descr=""/>
                          <pic:cNvPicPr>
                            <a:picLocks noChangeAspect="1" noChangeArrowheads="1"/>
                          </pic:cNvPicPr>
                        </pic:nvPicPr>
                        <pic:blipFill>
                          <a:blip r:embed="rId19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potential efficacy and potential advantages over alternative treatments;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ability to offer our products, if approved, at competitive prices;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prevalence and severity of any undesirable effects, including any limitations or warnings contained in a product’s approved labeling;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prevalence and severity of any undesirable effects resulting from checkpoint inhibitors or other drugs or therapies with which our products are administered;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relative convenience and ease of transportation, storage and administration;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any restrictions on the use of our products, if approved, together with other medications;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willingness of the target patient population to try new therapies, such as mRNA vaccines and therapies, and of physicians to prescribe these therapies;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strength of marketing and distribution support and timing of market introduction of competitive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extent to which changes in local, national and state government policy preferences in the United States and other jurisdictions resulting from new elected leadership and evolving public sentiment affect demand for COVID-19 vaccines or mRNA therapeutics and our ability to successfully commercialize our product candidates, if approved;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publicity concerning our products or competing products and treatments;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sufficient third-party insurance coverage or reimbursement, and patients’ willingness to pay out-of-pocket in the absence of third-party coverage or adequate reimbursement.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for our products that are approved for marketing, we and/or our collaborator are subject to significant regulatory obligations regarding the submission of safety and other post-marketing information and reports for such product, and will need to continue to comply (or ensure that our third-party providers comply) with current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998220"/>
                <wp:effectExtent l="0" t="0" r="0" b="0"/>
                <wp:wrapNone/>
                <wp:docPr id="296" name="Frame10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9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94" descr=""/>
                          <pic:cNvPicPr>
                            <a:picLocks noChangeAspect="1" noChangeArrowheads="1"/>
                          </pic:cNvPicPr>
                        </pic:nvPicPr>
                        <pic:blipFill>
                          <a:blip r:embed="rId19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29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95" descr=""/>
                          <pic:cNvPicPr>
                            <a:picLocks noChangeAspect="1" noChangeArrowheads="1"/>
                          </pic:cNvPicPr>
                        </pic:nvPicPr>
                        <pic:blipFill>
                          <a:blip r:embed="rId19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Coverage and reimbursement may be limited or unavailable in certain market segments for our product candidates, which could make it difficult for us to sell our product candidates, if approved, profitably.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Successful sales of our product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product candidates for which we obtain regulatory approval. In addition, because certain of our product candidates represent new approaches to the treatment of cancer, we cannot accurately estimate the potential revenue from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covered benefit under its health plan;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safe, effective and medically necessary;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appropriate for the specific patient;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cost-effective;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neither experimental nor investigational.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Obtaining coverage and reimbursement of a product from a government or other third-party payor is a time-consuming and costly process that could require us to provide to the payor supporting scientific, clinical and cost-effectiveness data for the use of our products. Third-party payors could require us to conduct additional studies, including post-marketing studies related to the cost effectiveness of a product, to qualify for reimbursement, which could be costly and divert our resources.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998220"/>
                <wp:effectExtent l="0" t="0" r="0" b="0"/>
                <wp:wrapNone/>
                <wp:docPr id="299" name="Frame10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0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96" descr=""/>
                          <pic:cNvPicPr>
                            <a:picLocks noChangeAspect="1" noChangeArrowheads="1"/>
                          </pic:cNvPicPr>
                        </pic:nvPicPr>
                        <pic:blipFill>
                          <a:blip r:embed="rId19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0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97" descr=""/>
                          <pic:cNvPicPr>
                            <a:picLocks noChangeAspect="1" noChangeArrowheads="1"/>
                          </pic:cNvPicPr>
                        </pic:nvPicPr>
                        <pic:blipFill>
                          <a:blip r:embed="rId19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advancement of healthcare reform legislation and changes to the regulatory environment in the United States, the European Union and elsewhere may increase the difficulty and cost for us to obtain marketing approval of and commercialize any product candidates we or our collaborators develop and may adversely affect the prices for such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the United States, there have been and continue to be a number of legislative initiatives to contain healthcare costs.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August 2022, the IRA was enacted, which sets forth meaningful changes to drug product reimbursement by Medicare. The IRA is anticipated to have significant effects on the pharmaceutical industry and may reduce the prices we can charge and reimbursement we can receive for our products in the United States, among other effects. Any reduction in reimbursement from Medicare resulting from the IRA or other legislative or policy changes or from other government programs may result in a similar reduction in payments from private payers. On August 16, 2024, CMS announced the results of a first round of discounted prices effectively set by CMS under the IRA, applicable to ten products of other manufacturers; those discounted prices, set to take effect for calendar year 2026, were as high as 79% from 2023 list prices. Additional products will be discounted in future years. We cannot be sure whether additional legislative changes will be enacted, or the effect of forthcoming guidance implementing the IRA, or what the impact of such changes on our products and product candidates may be. Officials appointed by the current presidential administration to oversee the implementation of the IRA or other statutes may take a different approach, and the administration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998220"/>
                <wp:effectExtent l="0" t="0" r="0" b="0"/>
                <wp:wrapNone/>
                <wp:docPr id="302" name="Frame10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03"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98" descr=""/>
                          <pic:cNvPicPr>
                            <a:picLocks noChangeAspect="1" noChangeArrowheads="1"/>
                          </pic:cNvPicPr>
                        </pic:nvPicPr>
                        <pic:blipFill>
                          <a:blip r:embed="rId19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04"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99" descr=""/>
                          <pic:cNvPicPr>
                            <a:picLocks noChangeAspect="1" noChangeArrowheads="1"/>
                          </pic:cNvPicPr>
                        </pic:nvPicPr>
                        <pic:blipFill>
                          <a:blip r:embed="rId20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Congress could also pursue statutory changes to this or other programs, either of which could negatively affect our revenues.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expect that additional healthcare reform measures or proposals will be adopted in the future, any of which could limit the amounts that governments will pay for healthcare products and services, including public health measures, which could result in reduced demand for our products and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 candidates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our approved products and from product candidates that we may successfully develop and for which we may obtain regulatory approval, and may affect our overall financial condition and ability to develop product candidates.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Drug marketing and reimbursement regulations in the European Union and elsewhere may materially affect our ability to market and receive coverage for our products in the member states of the European Union and elsewhere.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COVID-19 vaccine is currently approved in the United States, the European Union, and other jurisdictions, and we intend to seek approval to market other product candidates in the United States, the European Union and other selected jurisdictions. If we obtain approval for our products or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products or product candidates. In these countries, pricing negotiations with governmental authorities can take considerable time after obtaining marketing approval of a product candidate. In addition, market acceptance and sales of our product candidates will depend significantly on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998220"/>
                <wp:effectExtent l="0" t="0" r="0" b="0"/>
                <wp:wrapNone/>
                <wp:docPr id="305" name="Frame10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452"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40"/>
                        <w:gridCol w:w="140"/>
                        <w:gridCol w:w="201"/>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99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0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00" descr=""/>
                          <pic:cNvPicPr>
                            <a:picLocks noChangeAspect="1" noChangeArrowheads="1"/>
                          </pic:cNvPicPr>
                        </pic:nvPicPr>
                        <pic:blipFill>
                          <a:blip r:embed="rId20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0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01" descr=""/>
                          <pic:cNvPicPr>
                            <a:picLocks noChangeAspect="1" noChangeArrowheads="1"/>
                          </pic:cNvPicPr>
                        </pic:nvPicPr>
                        <pic:blipFill>
                          <a:blip r:embed="rId20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availability of adequate coverage and reimbursement from third-party payors for our product candidates and may be affected by existing and future healthcare reform measures.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Risks Related to our Financial Condition and Capital Requirements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Long-term sustainable profitability is difficult to achieve and maintain over time and is highly dependent on various factors.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ability to continue to generate revenues and achieve and maintain long-term sustainable profitability depends on our ability, alone or with collaborators, to successfully complete the development of, and obtain the regulatory approvals necessary to commercialize, our product candidates. We continue to generate revenues from sales of our COVID-19 vaccine and additional limited revenues from other transactions and contracts. While we expect to maintain revenue from ongoing COVID-19 vaccine sales, future demand for COVID-19 vaccination is subject to uncertainty. Variations driven by factors such as new virus variants, legal developments, policy changes, public health measures and public sentiment may impact long-term demand of our COVID-19 vaccine. Consequently, our revenue projections are influenced by this inherent unpredictability. The amount of long-term revenue from such sales, including the sales of our COVID-19 vaccine, is uncertain at this time. Our ability to generate future revenues from pharmaceutical product sales and sales of our other products and services depends heavily on our and our collaborators’ success in: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completing research and preclinical and clinical development of our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seeking and obtaining U.S. and non-U.S. marketing approvals for product candidates for which we complete clinical trials;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seeking and obtaining market access and favorable pricing terms in the United States, the European Union, and other key geographies;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998220"/>
                <wp:effectExtent l="0" t="0" r="0" b="0"/>
                <wp:wrapNone/>
                <wp:docPr id="308" name="Frame10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09"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02" descr=""/>
                          <pic:cNvPicPr>
                            <a:picLocks noChangeAspect="1" noChangeArrowheads="1"/>
                          </pic:cNvPicPr>
                        </pic:nvPicPr>
                        <pic:blipFill>
                          <a:blip r:embed="rId20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1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03" descr=""/>
                          <pic:cNvPicPr>
                            <a:picLocks noChangeAspect="1" noChangeArrowheads="1"/>
                          </pic:cNvPicPr>
                        </pic:nvPicPr>
                        <pic:blipFill>
                          <a:blip r:embed="rId20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furthering the development of our own manufacturing capabilities and manufacturing relationships with third parties in order to provide adequate (in amount and quality) products and services to support clinical development and the market demand for our approved products and product candidates, if approved;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obtaining market acceptance of our approved products and product candidates as a treatment option;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launching and commercializing products for which we obtain marketing approval and reimbursement, either through collaborations or, if launched independently, by establishing a sales force, marketing and distribution infrastructure;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addressing any competing technological and market developments, in particular, declining demand for any of our approved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implementing additional internal systems and infrastructure;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negotiating favorable terms in any collaboration, licensing or other arrangements into which we may enter;</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managing our expenses;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maintaining, defending, protecting, enforcing and expanding our portfolio of intellectual property rights, including patents, trade secrets and know-how;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attracting, hiring and retaining qualified personnel.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Additionally, we have incurred significant costs associated with the commercialization of our COVID-19 vaccine. Our expenses could increase beyond our expectations if we are required by the FDA, the European Medicines Agency, or EMA, or other regulatory agencies to perform clinical and other trials or make changes to our manufacturing or quality systems in addition to those that we currently anticipate. Accordingly, such costs could adversely affect our future ability to achieve and maintain profitability.</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operating results may fluctuate significantly, which makes our future operating results difficult to predict. If our operating results fall below expectations, the price of the ADSs representing our ordinary shares could decline.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financial condition and operating results have varied in the past and will continue to fluctuate from one financial period to the next due to a variety of factors, many of which are beyond our control.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Factors relating to our business that may contribute to these fluctuations include the following, as well as other factors described elsewhere in this report: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size and timing of orders for our COVID-19 vaccine;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delays or failures in advancement of existing or future product candidates into the clinic or in clinical trials;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998220"/>
                <wp:effectExtent l="0" t="0" r="0" b="0"/>
                <wp:wrapNone/>
                <wp:docPr id="311" name="Frame10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1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04" descr=""/>
                          <pic:cNvPicPr>
                            <a:picLocks noChangeAspect="1" noChangeArrowheads="1"/>
                          </pic:cNvPicPr>
                        </pic:nvPicPr>
                        <pic:blipFill>
                          <a:blip r:embed="rId20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1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05" descr=""/>
                          <pic:cNvPicPr>
                            <a:picLocks noChangeAspect="1" noChangeArrowheads="1"/>
                          </pic:cNvPicPr>
                        </pic:nvPicPr>
                        <pic:blipFill>
                          <a:blip r:embed="rId20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occurrence of adverse events during our clinical trials or post marketing authorization;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develop and manufacture our product candidates and commercialize and manufacture our COVID-19 vaccine and, if approved, our product candidates, at commercial scale, including risks associated with quality compliance, such as product design, manufacturing processes, supply chain management, and compliance with regulatory requirements;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manage our growth and spending;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execute our corporate objectives;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strategic decisions related to portfolio prioritization, which may result in certain potential one-time effects and charges and other material adverse effects on our financial condition and results of operations;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outcomes of research programs, clinical trials, or other product development or approval processes conducted by us and our collaborators;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ability of our collaborators to develop and successfully commercialize products developed from our suite of therapeutic classes;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relationships, and any associated exclusivity terms, with collaborators;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contractual or other obligations to provide resources to fund our product candidates, and to provide resources to our collaborators or to the collaborations themselves, including take-or-pay or similar obligations;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extent to which we repurchase outstanding ADSs under any share repurchase plans we may enter into in the future;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risks associated with the international aspects of our business, including the conduct of clinical trials in multiple locations, and the risks associated with potential international commercialization, including regulatory approval, market competition, public sentiment and consumer demand, supply chain disruptions, and changes to the law and regulatory policy, such as increases in tariffs, in different jurisdictions, such as the United States;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minimize and manage product recalls or inventory losses caused by unforeseen events, cold chain interruption, testing difficulties or decreased demand, and our ability to write down certain inventory;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report our financial results accurately and in a timely manner;</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dependence on, and the need to attract and retain, key management and other personnel;</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obtain, protect, maintain, defend and enforce our intellectual property rights;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998220"/>
                <wp:effectExtent l="0" t="0" r="0" b="0"/>
                <wp:wrapNone/>
                <wp:docPr id="314" name="Frame10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15"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06" descr=""/>
                          <pic:cNvPicPr>
                            <a:picLocks noChangeAspect="1" noChangeArrowheads="1"/>
                          </pic:cNvPicPr>
                        </pic:nvPicPr>
                        <pic:blipFill>
                          <a:blip r:embed="rId20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16"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07" descr=""/>
                          <pic:cNvPicPr>
                            <a:picLocks noChangeAspect="1" noChangeArrowheads="1"/>
                          </pic:cNvPicPr>
                        </pic:nvPicPr>
                        <pic:blipFill>
                          <a:blip r:embed="rId20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prevent the theft or infringement, misappropriation or other violation of our intellectual property, trade secrets, know-how or technologies;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and our collaborators’ ability to defend against claims of infringement of the intellectual property rights of third parties;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potential advantages that our competitors and potential competitors may have in securing funding, obtaining the rights to critical intellectual property or developing competing technologies or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obtain additional capital that may be necessary to expand our business;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collaborators’ ability to obtain and devote additional capital that may be necessary to develop and commercialize products under our collaboration agreements, including our COVID-19 vaccine;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minimize and manage product liability claims arising from the use of our COVID-19 vaccine and our product candidates and other future products, if approved;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business interruptions such as power outages, strikes, acts of terrorism or natural disasters;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ability to use our net operating loss carryforwards to offset future taxable income;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risks of counterparty defaults within our asset management portfolio;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increased or unpredictable pricing for the commodities we rely on, including as a result of inflation.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Each of the factors listed above may be affected by the changing impact of COVID-19 on the global community and the global economy.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Due to the various factors mentioned above, and others, the results of any of our periods should not be relied upon as indications of our future operating performance. Our operating results may fluctuate significantly from one reporting period to the next, such that a period-to-period comparison of our results of operations may not be a good indication of our future performance.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our overall valuation. The price of the ADSs may decline as a result of unexpected clinical trial results in one or more of our programs, including adverse safety events reported for any of our programs.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998220"/>
                <wp:effectExtent l="0" t="0" r="0" b="0"/>
                <wp:wrapNone/>
                <wp:docPr id="317" name="Frame11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1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08" descr=""/>
                          <pic:cNvPicPr>
                            <a:picLocks noChangeAspect="1" noChangeArrowheads="1"/>
                          </pic:cNvPicPr>
                        </pic:nvPicPr>
                        <pic:blipFill>
                          <a:blip r:embed="rId20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1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09" descr=""/>
                          <pic:cNvPicPr>
                            <a:picLocks noChangeAspect="1" noChangeArrowheads="1"/>
                          </pic:cNvPicPr>
                        </pic:nvPicPr>
                        <pic:blipFill>
                          <a:blip r:embed="rId21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 xml:space="preserve">We have incurred significant losses in the past and we may incur significant losses in the future.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Prior to the first full year of commercialization of our COVID-19 vaccine, and for the years ended December 31, 2024 and December 31, 2025, and for the six months ended June 30, 2026, we incurred significant losses from operations due to our significant research and development expenses and our investment in our manufacturing capabilities. Prior to commercialization of our COVID-19 vaccine, we funded our operations primarily from private placements or issuances of ordinary shares (including in the form of ADSs) in connection with our public offerings, generation of proceeds under our collaboration agreements, secured bank loans and issuance of a convertible note.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have experienced, and we expect to continue to experience, increasing reductions in demand for COVID-19 vaccination generally, including for our vaccine. We expect that future revenues from sales of our COVID-19 vaccine will continue to decrease as demand for vaccination wanes. We plan to continue to invest heavily in research and development as we make a strong drive to build out our global development organization and diversify our therapeutic area footprint. Additionally, we plan to enhance capabilities through complementary acquisitions, technologies, infrastructure and manufacturing. Even for those products for which we have obtained or may obtain regulatory approval or emergency use authorization, our future revenues will depend upon the size of any markets in which such products have received approval or authorization to market, our ability to achieve sufficient market acceptance, reimbursement from third-party payors, and adequate market share in those markets.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If achieved, profitability is difficult to maintain over time and is highly dependent on various factors. Our future financial results will depend, in part, on the rate of our future expenditures, the extent to which we experience long-term success of our commercial products and our ability to obtain funding through revenue from commercial sales, equity or debt financings, sales of assets, collaborations or grants.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part of our capital allocation strategy, we expect to continue to incur significant and increasing operating expenses for the foreseeable future. We anticipate that our expenses will increase substantially if and as we and our collaborators: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continue, expand, or modify the research or development of our programs in preclinical development;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continue, expand, or modify the scope of our clinical trials for our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initiate additional preclinical, clinical, or other trials for our product candidates, including under our collaboration agreements;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execute on our strategic decisions related to portfolio prioritization, which may result in certain potential one-time effects and charges and other material adverse effects on our financial condition and results of operations;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continue to invest in our immunotherapy platforms to conduct research to identify novel technologies;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change our manufacturing capacity or capability;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998220"/>
                <wp:effectExtent l="0" t="0" r="0" b="0"/>
                <wp:wrapNone/>
                <wp:docPr id="320" name="Frame11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21"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10" descr=""/>
                          <pic:cNvPicPr>
                            <a:picLocks noChangeAspect="1" noChangeArrowheads="1"/>
                          </pic:cNvPicPr>
                        </pic:nvPicPr>
                        <pic:blipFill>
                          <a:blip r:embed="rId21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22"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11" descr=""/>
                          <pic:cNvPicPr>
                            <a:picLocks noChangeAspect="1" noChangeArrowheads="1"/>
                          </pic:cNvPicPr>
                        </pic:nvPicPr>
                        <pic:blipFill>
                          <a:blip r:embed="rId21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change or add additional suppliers;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make changes to our infrastructure in connection with our quality control, quality assurance, legal, compliance and other groups to support our operations as a public company and our product development and commercialization efforts, including changes to our sites globally;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attract and retain skilled personnel;</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seek marketing approvals and reimbursement for our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develop our sales, marketing, and distribution infrastructure for our COVID-19 vaccine and any other products for which we may obtain marketing approval or emergency use authorization;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seek to identify and validate additional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acquire or in-license other product candidates and technologies;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acquire other companies;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make milestone or other payments under any in-license agreements;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maintain, protect, defend, enforce and expand our intellectual property portfolio;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experience any delays or encounter issues with any of the above.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amount of, and our ability to use, net operating losses and research and development credits to offset future taxable income 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Germany, we have unused German tax loss carryforwards for corporate taxes for German group entities with pre tax group losses, though we generally have not recognized deferred tax assets related to such loss carryforwards for International Financial Reporting Standards, or IFRS, reporting purposes as of December 31, 2025. Deferred tax assets are recognized for unused tax losses only to the extent that it is probable that taxable profit will be available against which the losses can be utilized. In general, net operating loss, or NOL, carryforwards in Germany do not expire. Furthermore, under current German tax laws, certain substantial changes in the Company’s ownership and business may further limit the amount of NOL carryforwards that can be used annually to offset future taxable income.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For the German tax group, we incurred tax losses up to and including December 31, 2020. Even though we recognized deferred tax assets on a majority of German tax loss carry forwards in 2020 which were fully utilized in 2021, they are, however, subject to review and possible adjustment by the German tax authorities. In addition, the incurred tax losses up to and including December 31, 2024 also remain subject to review.</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998220"/>
                <wp:effectExtent l="0" t="0" r="0" b="0"/>
                <wp:wrapNone/>
                <wp:docPr id="323" name="Frame11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24"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12" descr=""/>
                          <pic:cNvPicPr>
                            <a:picLocks noChangeAspect="1" noChangeArrowheads="1"/>
                          </pic:cNvPicPr>
                        </pic:nvPicPr>
                        <pic:blipFill>
                          <a:blip r:embed="rId21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25"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13" descr=""/>
                          <pic:cNvPicPr>
                            <a:picLocks noChangeAspect="1" noChangeArrowheads="1"/>
                          </pic:cNvPicPr>
                        </pic:nvPicPr>
                        <pic:blipFill>
                          <a:blip r:embed="rId21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addition, we have U.S. federal and state NOL carryforwards due to our subsidiaries in the United States, which may be subject to limitations on use after an ownership change.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may not be able to utilize a material portion of our historic or current NOLs or credits in either Germany (resulting from our German tax group or non-tax group entities in Germany) or the United States until these have been finally assessed by the tax authorities or when the limitation period has passed. In addition, the rules regarding the timing of revenue and expense recognition for tax purposes in connection with various transactions are complex and uncertain in many respects, and, if challenged, our recognition may be subject to a revised assessment. In the event any such challenge is sustained, our NOLs could be materially reduced or we could be determined to be a material cash taxpayer for one or more years, which could have an adverse effect on our business, financial conditions, results of operations or prospects.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Furthermore, our ability to use our NOLs or credits is conditioned upon our attaining profitability and generating taxable income. Taxable income exceeding NOLs will be subject to taxation resulting in tax liabilities. As described above, we incurred significant net losses in every year since our inception other than 2018, 2021, 2022 and 2023 and anticipate that in the future, we may incur losses for the majority of the group entities. Our ability to utilize our NOL or credit carryforwards in the United States and for some other group entities is uncertain. Therefore, we do not recognize deferred tax assets on NOLs and tax credit carryforwards in the United States, as the requirements of IAS 12 are not fulfilled.</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 xml:space="preserve">Under German tax laws, we are obligated to withhold a percentage of wage tax and social security contributions on personnel expenses if contract services providers are considered to be our internal employees and remit those withholdings to German tax authorities and social security institutions. Late payments may subject us to penalties and fees.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Under German tax and social security laws, we are obligated to withhold a percentage of payments we make to third parties in consideration of the services provided, in case these are considered employment payments, and remit those withholdings to German tax authorities and social security institutions. After a significant volume of service providers were engaged to assist with research, development, manufacturing and supply of our COVID-19 vaccine, we discovered after internal review that we and certain of our subsidiaries did not withhold, report and remit certain German wage taxes and social security contributions in connection with certain contract service providers engaged in a manner comparable to internal employees, which we notified tax authorities about. If we do not properly and timely make required payments in the future, we could be subjected to fees, administrative offenses or other proceedings or penalties.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It is not possible to seek the refund of these wage taxes or social security contributions from either the German tax authorities or social security institutions after filing returns. In Germany, employers are considered secondarily liable for wage taxes.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value added taxes, or VAT, on invoices received by contract services providers who are considered internal employees are considered non-deductible and must be repaid to the German tax authorities. It is possible to reclaim the VAT repaid to the German tax authorities from the service provider. There is a possibility that the relevant input VAT claims against the contract service providers may, in some instances, not be enforceable as a result of a contract service provider no longer existing, the lapse of time or any other facts preventing the enforcement of such claims.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998220"/>
                <wp:effectExtent l="0" t="0" r="0" b="0"/>
                <wp:wrapNone/>
                <wp:docPr id="326" name="Frame11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2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14" descr=""/>
                          <pic:cNvPicPr>
                            <a:picLocks noChangeAspect="1" noChangeArrowheads="1"/>
                          </pic:cNvPicPr>
                        </pic:nvPicPr>
                        <pic:blipFill>
                          <a:blip r:embed="rId21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2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15" descr=""/>
                          <pic:cNvPicPr>
                            <a:picLocks noChangeAspect="1" noChangeArrowheads="1"/>
                          </pic:cNvPicPr>
                        </pic:nvPicPr>
                        <pic:blipFill>
                          <a:blip r:embed="rId21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 xml:space="preserve">We may require substantial additional financing to achieve our goals, and a failure to obtain this capital on acceptable terms, or at all, could force us to delay, limit, reduce or terminate our product development programs, commercialization efforts or other operations.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operating plans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We may require additional capital to obtain regulatory approval for, and to commercialize, future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the high uncertainty of the length of time and activities associated with discovery and development of our product candidates, we are unable to estimate the actual funds we will require for development, marketing and commercialization activities.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future funding requirements, both near and long term, will depend on many factors, including, but not limited to:</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initiation, progress, timing, costs, and results of preclinical or nonclinical studies and clinical trials for our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amount and timing of revenues and associated costs from sales of our COVID-19 vaccine;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results of research and our other platform activities;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clinical development plans we establish for our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terms of any agreements with our current or future collaborators, and the achievement of any milestone payments under such agreements to be paid to us or our collaborators;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terms of any other strategic transactions, including relating to any acquisitions, into which we enter;</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number and characteristics of product candidates that we develop or may in-license;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outcome, timing and cost of meeting regulatory requirements established by the FDA, the EMA and other comparable regulatory authorities;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products or product candidates or actions by us challenging the patent or intellectual property rights of others;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effect of competing technological and market developments, including other products that may compete with one or more of our product candidates;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998220"/>
                <wp:effectExtent l="0" t="0" r="0" b="0"/>
                <wp:wrapNone/>
                <wp:docPr id="329" name="Frame11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3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16" descr=""/>
                          <pic:cNvPicPr>
                            <a:picLocks noChangeAspect="1" noChangeArrowheads="1"/>
                          </pic:cNvPicPr>
                        </pic:nvPicPr>
                        <pic:blipFill>
                          <a:blip r:embed="rId21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3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17" descr=""/>
                          <pic:cNvPicPr>
                            <a:picLocks noChangeAspect="1" noChangeArrowheads="1"/>
                          </pic:cNvPicPr>
                        </pic:nvPicPr>
                        <pic:blipFill>
                          <a:blip r:embed="rId21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the cost and timing of completion and further expansion of clinical and commercial scale manufacturing activities sufficient to support all of our current and future programs, including the development of modular production and clinical facilities in various markets via our </w:t>
      </w:r>
      <w:r>
        <w:rPr>
          <w:rFonts w:ascii="Neue Haas Grotesk Display Pro 45 Light;serif" w:hAnsi="Neue Haas Grotesk Display Pro 45 Light;serif"/>
          <w:b w:val="false"/>
          <w:i/>
          <w:color w:val="080509"/>
          <w:sz w:val="20"/>
        </w:rPr>
        <w:t>BioNTainer</w:t>
      </w:r>
      <w:r>
        <w:rPr>
          <w:color w:val="080509"/>
        </w:rPr>
        <w:t xml:space="preserve"> </w:t>
      </w:r>
      <w:r>
        <w:rPr>
          <w:rFonts w:ascii="Neue Haas Grotesk Display Pro 45 Light;serif" w:hAnsi="Neue Haas Grotesk Display Pro 45 Light;serif"/>
          <w:b w:val="false"/>
          <w:color w:val="080509"/>
          <w:sz w:val="20"/>
        </w:rPr>
        <w:t>network;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cost of establishing sales, marketing, and distribution capabilities for any product candidates for which we may receive marketing approval and reimbursement in regions where we choose to commercialize our products on our own.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To date, we have financed our operations primarily through the sale of equity securities, revenue from collaborations, and revenue from sales of our COVID-19 vaccine. While we are currently generating product sales and royalty revenue to finance our operations, we cannot be certain that we will continue to generate sufficient revenue from product sales and royalties to finance our operations. If we were to seek financing from outside sources, that additional funding may not be available on favorable terms, or at all. Should our revenues sufficiently decrease in the future, we expect to finance our future cash needs through a combination of product sales, public or private equity offerings, debt financings, collaborations,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shift of COVID-19 towards an endemic phase and other global events, such as political upheavals and economic downturns, may have on the capital markets.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the ADSs representing our ordinary shares to decline. If we raise additional funds through public or private equity offerings, the terms of these securities may include liquidation or other preferences that may adversely affect our shareholders’ rights.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Further, to the extent that we raise additional capital through the sale of ADSs, ordinary shares or securities convertible or exchangeable into ordinary shares or ADSs, share ownership interests will be diluted.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998220"/>
                <wp:effectExtent l="0" t="0" r="0" b="0"/>
                <wp:wrapNone/>
                <wp:docPr id="332" name="Frame11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33"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18" descr=""/>
                          <pic:cNvPicPr>
                            <a:picLocks noChangeAspect="1" noChangeArrowheads="1"/>
                          </pic:cNvPicPr>
                        </pic:nvPicPr>
                        <pic:blipFill>
                          <a:blip r:embed="rId21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34"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19" descr=""/>
                          <pic:cNvPicPr>
                            <a:picLocks noChangeAspect="1" noChangeArrowheads="1"/>
                          </pic:cNvPicPr>
                        </pic:nvPicPr>
                        <pic:blipFill>
                          <a:blip r:embed="rId22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harm our business, prospects, financial condition and results of operations, cause the price of the ADSs to decline, and negatively impact our ability to fund operations.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encounter difficulties in developing and expanding our company and managing such development and expansion, which could disrupt our operations.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To manage our anticipated development and expansion, we must continue to implement and improve our managerial, operational, legal, compliance and financial systems, expand our facilities, and continue to recruit and train additional qualified personnel. This includes our acquisitions of Biotheus in January 2025 and CureVac in December 2025, as well as strategic initiatives more generally. In addition, our management may need to divert a disproportionate amount of its attention away from its day-to-day activities and devote a substantial amount of time to managing these development activities.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an evolving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certain operations or recruit and train additional qualified personnel. This may result in weaknesses in our infrastructure and/or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our expenses may increase more than expected, our ability to generate or increase our revenue could be reduced and we may not be able to effectively implement our business strategy. Our future financial performance and our ability to compete effectively and commercialize our COVID-19 vaccine and our product candidates, if approved, will depend in part on our ability to effectively manage the current and future development of our company.</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incur significant costs as a result of operating as a public company, and our management is required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As a public company, we incur significant legal, accounting and other expenses. The U.S.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result in substantial legal and financial compliance costs and have made some activities time-consuming and costly. We may not be able to produce reliable financial statements or file these financial statements as part of a periodic report in a timely manner with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998220"/>
                <wp:effectExtent l="0" t="0" r="0" b="0"/>
                <wp:wrapNone/>
                <wp:docPr id="335" name="Frame11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109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3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20" descr=""/>
                          <pic:cNvPicPr>
                            <a:picLocks noChangeAspect="1" noChangeArrowheads="1"/>
                          </pic:cNvPicPr>
                        </pic:nvPicPr>
                        <pic:blipFill>
                          <a:blip r:embed="rId22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3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21" descr=""/>
                          <pic:cNvPicPr>
                            <a:picLocks noChangeAspect="1" noChangeArrowheads="1"/>
                          </pic:cNvPicPr>
                        </pic:nvPicPr>
                        <pic:blipFill>
                          <a:blip r:embed="rId22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SEC or comply with Nasdaq listing requirements. In addition, we could make errors in our financial statements that could require us to restate our financial statements.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Pursuant to Section 404 of the Sarbanes-Oxley Act, or Section 404, we are required to furnish a report by our management on our internal control over financial reporting, including the attestation report on internal control over financial reporting issued by our independent registered public accounting firm. To maintain compliance with Section 404, we document and evaluate our internal control over financial reporting, which is both costly and challenging. In this regard, we have needed to continue to dedicate internal resources, have engaged outside consultants, and have adopted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For example, effective March 18, 2026, pursuant to the Holding Foreign Insiders Accountable Act, directors and officers of foreign private issuers, including us, are required to comply with the beneficial ownership reporting requirements of Section 16(a) of the Exchange Act. In addition, the SEC issued a concept release in June 2025 soliciting comment on potential changes to the regulatory framework applicable to foreign private issuers, including potential modification or elimination of certain accommodations currently available to foreign private issuers. Our management and other personnel need to devote a substantial amount of time to these compliance initiatives.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 xml:space="preserve">If we identify material weaknesses in our internal control over financial reporting and fail to remediate such material weaknesses, we may not be able to report our financial results accurately or to prevent fraud.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we fail to comply with the relevant rules and regulations or otherwise fail to prepare our financial statements in accordance with international financial reporting standards, a material weakness may arise. If we are unable to successfully remediate any material weaknesses, our financial statements could contain material misstatements discovered in the future that could cause us to fail to meet our future reporting obligations and cause the price of the ADSs to decline.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998220"/>
                <wp:effectExtent l="0" t="0" r="0" b="0"/>
                <wp:wrapNone/>
                <wp:docPr id="338" name="Frame11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3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22" descr=""/>
                          <pic:cNvPicPr>
                            <a:picLocks noChangeAspect="1" noChangeArrowheads="1"/>
                          </pic:cNvPicPr>
                        </pic:nvPicPr>
                        <pic:blipFill>
                          <a:blip r:embed="rId22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40"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23" descr=""/>
                          <pic:cNvPicPr>
                            <a:picLocks noChangeAspect="1" noChangeArrowheads="1"/>
                          </pic:cNvPicPr>
                        </pic:nvPicPr>
                        <pic:blipFill>
                          <a:blip r:embed="rId22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we fail to appropriately account for complex terms in our collaboration and licensing agreements, we could be required to restate our financial statements.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collaboration and licensing agreements involve complex terms and significant judgment in determining the appropriate accounting treatment. The accounting for such agreements is often subject to interpretation and evolving guidance. If our accounting assessments are later determined to be incorrect, we may be required to restate previously issued financial statements, which could have a material adverse effect on our financial condition and results of operations.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have various international trade obligations, including customs value calculation, customs tariff number classification and other related securities requirements. Late payments to customs authorities may subject us to penalties and fees.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supply chain, production and distribution network across the globe creates an increasing level of complexity in customs and foreign trade processes. The requirements for internal control systems are increasing and must be developed simultaneously. The risk management system for customs and foreign trade, which we are continuously improving, determines which stakeholders, goods, and means of transport should be examined and to what extent. These risks include the potential for non-compliance with customs value calculation, customs tariff number classification, trade restrictions, security regulations as well as the potential failure to facilitate international trade. We have in the past discovered that certain of our and our subsidiaries’ customs value calculations were not applied correctly, following which we notified the customs authorities of potential late payments.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are, and will likely continue to be, subject to various audits that arise from time to time, including customs and potential future foreign trade audits. If we do not properly address our international trade and customs requirements, we could be subjected to penalties and fees. </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As a “foreign private issuer,” we are exempt from a number of rules under the U.S. securities laws, as well as Nasdaq rules, and we are permitted to file less information with the SEC than U.S. companies. This may limit the information available to holders of the ADSs and may make our ordinary shares and the ADSs less attractive to investors.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are a “foreign private issuer,” as defined in the rules and regulations of the SEC, and, consequently, we are not subject to all of the disclosure requirements applicable to companies organized within the United States. Although the SEC in June 2025 issued a concept release soliciting public comment on the definition of “foreign private issuer” and has signaled interest in exploring other rules relating to foreign private status, we currently remain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Effective March 18, 2026, pursuant to the Holding Foreign Insiders Accountable Act, directors and officers of foreign private issuers, including us, are required to comply with the beneficial ownership reporting requirements of Section 16(a) of the Exchange Act. However, our officers and directors are exempt from the “short-swing” profit recovery and short sale prohibition provisions of Section 16 of the Exchange Act.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As a foreign private issuer, we file an Annual Report on Form 20-F within four months of the close of each financial year ending December 31 and reports on Form 6-K relating to certain material events promptly after we publicly announce these events. Additionally, we rely on a provision in Nasdaq’s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998220"/>
                <wp:effectExtent l="0" t="0" r="0" b="0"/>
                <wp:wrapNone/>
                <wp:docPr id="341" name="Frame11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42"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24" descr=""/>
                          <pic:cNvPicPr>
                            <a:picLocks noChangeAspect="1" noChangeArrowheads="1"/>
                          </pic:cNvPicPr>
                        </pic:nvPicPr>
                        <pic:blipFill>
                          <a:blip r:embed="rId22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43"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25" descr=""/>
                          <pic:cNvPicPr>
                            <a:picLocks noChangeAspect="1" noChangeArrowheads="1"/>
                          </pic:cNvPicPr>
                        </pic:nvPicPr>
                        <pic:blipFill>
                          <a:blip r:embed="rId22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Listed Company Manual that allows us to follow German company law and European law applicable to European stock corporations in general, the German Stock Corporation Act (Aktiengesetz), the Council Regulation (EC) No 2157/2001 of October 8, 2001 on the Statute for a European company (SE), or the SE Regulation, and the German Act on the Implementation of Council Regulation (EC) No 2157/2001 of October 8, 2001 on the Statute for a European company (SE) (Gesetz zur Ausführung der Verordnung (EG) NR. 2157/2001 des Rates vom 8. Oktober 2001 über das Statut der Europäischen Gesellschaft (SE)) (SE-Ausführungsgesetz-SEAG), in particular with regard to certain aspects of corporate governance. This allows us to follow certain corporate governance practices that differ in significant respects from the corporate governance requirements applicable to U.S. companies listed on Nasdaq.</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For example, we are exempt from regulations of Nasdaq that require a listed U.S. company to:</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shd w:fill="FFFFFF" w:val="clear"/>
        </w:rPr>
        <w:t>have a majority of the board of directors consist of independent directors;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shd w:fill="FFFFFF" w:val="clear"/>
        </w:rPr>
        <w:t>require non-management directors to meet on a regular basis without management present;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shd w:fill="FFFFFF" w:val="clear"/>
        </w:rPr>
        <w:t>adopt a code of conduct and promptly disclose any waivers of the code for directors or executive officers that should address certain specified items;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shd w:fill="FFFFFF" w:val="clear"/>
        </w:rPr>
        <w:t>have an independent compensation committee;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shd w:fill="FFFFFF" w:val="clear"/>
        </w:rPr>
        <w:t>have an independent nominating committee;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shd w:fill="FFFFFF" w:val="clear"/>
        </w:rPr>
        <w:t>solicit proxies and provide proxy statements for all shareholder meetings;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shd w:fill="FFFFFF" w:val="clear"/>
        </w:rPr>
        <w:t>review related party transactions;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shd w:fill="FFFFFF" w:val="clear"/>
        </w:rPr>
        <w:t>seek shareholder approval for the implementation of certain equity compensation plans and issuances of ordinary shares.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employees and the Supervisory Board, executive remuneration disclosure, proxy solicitation in connection with shareholders’ meetings, and obtaining shareholder approval in connection with the establishment of, or material amendment to, certain equity-based compensation plans.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Nasdaq applicable to listed U.S. companies, including an affirmative determination that all members of the audit committee are “independent,” using more stringent criteria than those applicable to us as a foreign private issuer.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998220"/>
                <wp:effectExtent l="0" t="0" r="0" b="0"/>
                <wp:wrapNone/>
                <wp:docPr id="344" name="Frame11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45"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26" descr=""/>
                          <pic:cNvPicPr>
                            <a:picLocks noChangeAspect="1" noChangeArrowheads="1"/>
                          </pic:cNvPicPr>
                        </pic:nvPicPr>
                        <pic:blipFill>
                          <a:blip r:embed="rId22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46"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27" descr=""/>
                          <pic:cNvPicPr>
                            <a:picLocks noChangeAspect="1" noChangeArrowheads="1"/>
                          </pic:cNvPicPr>
                        </pic:nvPicPr>
                        <pic:blipFill>
                          <a:blip r:embed="rId22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face risks related to catastrophic global events including natural disasters, political crises, or public health epidemics and pandemics and other public health developments, that could adversely affect our operations.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business could be adversely impacted by the effects of catastrophic global events, including natural disasters such as an earthquake, fire, hurricane, tornado, flood or significant power outage; public health crises such as the COVID-19 pandemic; political crises, such as terrorist attacks, war and other political instability, including the ongoing geopolitical conflicts in the Middle East and Ukraine, and resulting sanctions imposed and retaliatory actions taken in response to such sanctions; or other catastrophic events.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For example, prolonged or expanded conflicts, and political responses to global actions, could destabilize oil and gas supply and demand patterns, increase energy volatility and have severe adverse effects on regional and global supply chains and economies and our business. We also continue to evaluate the impacts that energy shortages may have on our partners, suppliers and service providers. Were any of these parties to experience significant impacts from any energy shortage, our business could be materially harmed. We cannot predict with certainty the impact that volatility in energy prices could have on our or their operations, including on the manufacturing of our COVID-19 vaccine and the manufacturing and testing of our product candidates.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Although we have generated revenues from sales of our COVID-19 vaccine, there remains uncertainty regarding other potential effects of COVID-19 on our business. For example, if a new variant of COVID-19 emerges for which existing vaccines, including our COVID-19 vaccine, are ineffective, infections may become even more widespread, negatively impact our ability to enroll patients in clinical studies and complete clinical trials on the timelines we currently anticipate, or result in an economic downturn that could affect demand for our products and services or our ability to raise capital, which could have a material adverse effect on our business, operating results and financial condition. Our suppliers, licensors or collaborators could also be disrupted by conditions related to COVID-19 or other pandemics and epidemics, possibly resulting in disruption to our supply chain, clinical trials, partnerships or operations.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insurance policies are expensive and protect us only from some business risks, which leaves us exposed to significant uninsured liabilities.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maintain insurance coverage that we believe is appropriate for our business; however, such coverage involves significant costs, is increasingly expensive, and does not cover all potential risks, which may expose us to uninsured or underinsured liabilities. 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We currently maintain insurance coverage for losses relating to property damage, business interruption, transportation, product liability, cyber matters, clinical trials, and several other areas of coverage. For example, attracting and retaining qualified individuals to serve on our Supervisory Board and our Management Board requires that we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998220"/>
                <wp:effectExtent l="0" t="0" r="0" b="0"/>
                <wp:wrapNone/>
                <wp:docPr id="347" name="Frame12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4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28" descr=""/>
                          <pic:cNvPicPr>
                            <a:picLocks noChangeAspect="1" noChangeArrowheads="1"/>
                          </pic:cNvPicPr>
                        </pic:nvPicPr>
                        <pic:blipFill>
                          <a:blip r:embed="rId22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4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29" descr=""/>
                          <pic:cNvPicPr>
                            <a:picLocks noChangeAspect="1" noChangeArrowheads="1"/>
                          </pic:cNvPicPr>
                        </pic:nvPicPr>
                        <pic:blipFill>
                          <a:blip r:embed="rId23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obtain and maintain adequate director and officer liability insurance, which has increased in cost as our operations have evolved. We are dedicating resources to exploring additional avenues for more adequate coverage as our business evolves. However,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 xml:space="preserve">Adverse developments affecting financial institutions, companies in the financial services industry or the financial services industry generally, such as actual events or concerns involving liquidity, defaults or non-performance, could adversely affect our operations and liquidity.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There is no guarantee that the U.S. Department of Treasury, the Federal Deposit Insurance Corporation, and Federal Reserve Board will provide access to uninsured funds in a timely fashion, or at all, in the event of the closure of banks or financial institutions.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While we maintain our cash and cash equivalents in multiple financial institutions worldwide, 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Risks Related to the Manufacturing of our COVID-19 Vaccine, our Product Candidates and Future Pipeline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COVID-19 vaccine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manufacturing processes for our COVID-19 vaccine and our product candidates are novel and complex. Due to the novel nature of this technology and the recency of our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998220"/>
                <wp:effectExtent l="0" t="0" r="0" b="0"/>
                <wp:wrapNone/>
                <wp:docPr id="350" name="Frame12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51"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30" descr=""/>
                          <pic:cNvPicPr>
                            <a:picLocks noChangeAspect="1" noChangeArrowheads="1"/>
                          </pic:cNvPicPr>
                        </pic:nvPicPr>
                        <pic:blipFill>
                          <a:blip r:embed="rId23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52"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31" descr=""/>
                          <pic:cNvPicPr>
                            <a:picLocks noChangeAspect="1" noChangeArrowheads="1"/>
                          </pic:cNvPicPr>
                        </pic:nvPicPr>
                        <pic:blipFill>
                          <a:blip r:embed="rId23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This has resulted in the past, and may in the future result, in our having to resupply batches for preclinical, clinical, or commercial activities when there is insufficient product stability during storage and insufficient supply. Insufficient stability or shelf life of our products or product candidates could materially delay our or our collaborators’ ability to continue the clinical trial for that product candidate or require us to begin a new clinical trial with a newly formulated drug product, due to the need to manufacture additional preclinical, clinical or commercial supply.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process to generate mRNA medicines is complex and, if not developed and manufactured under well-controlled conditions, can adversely impact pharmacological activity.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we continue developing new manufacturing processes for our drug substance and drug product, the changes we implement to the manufacturing process may impact, in turn, specification and stability of the drug product. Changes in our manufacturing processes may lead to failure of lots and this could lead to a substantial delay in our clinical trials or an inability to supply sufficient commercial quantities of drug product. Our mRNA product candidates may prove to have a stability profile that leads to an unfavorable shelf life. This poses risk in supply requirements, wasted stock and higher cost of goods.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Due to the number of different programs, we may in the future have cross contamination of products inside of our factories, CROs, external CMOs,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 month stability testing. That may require resupplying clinical or commercial material, or making additional GMP batches to keep up with clinical trial demand before such pharmaceutical property testing is completed.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998220"/>
                <wp:effectExtent l="0" t="0" r="0" b="0"/>
                <wp:wrapNone/>
                <wp:docPr id="353" name="Frame12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54"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32" descr=""/>
                          <pic:cNvPicPr>
                            <a:picLocks noChangeAspect="1" noChangeArrowheads="1"/>
                          </pic:cNvPicPr>
                        </pic:nvPicPr>
                        <pic:blipFill>
                          <a:blip r:embed="rId23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55"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33" descr=""/>
                          <pic:cNvPicPr>
                            <a:picLocks noChangeAspect="1" noChangeArrowheads="1"/>
                          </pic:cNvPicPr>
                        </pic:nvPicPr>
                        <pic:blipFill>
                          <a:blip r:embed="rId23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COVID-19 vaccine and our product candidates. Further, now and in the future, one or more of our programs may have a single source of supply for raw materials and excipients. Some of our suppliers are located in countries different from our manufacturing sites. Export restrictions could lead to unplanned interruptions in manufacturing, thus impacting supply of both clinical and commercial material.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have established a number of analytical assays, and may have to establish several more, to assess the quality of our mRNA products and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products or product candidates until the manufacturing or testing process is rectified.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products or product candidates and result in delays or interruptions to clinical or commercial supply. In addition, the cost associated with such transportation services and the limited pool of vendors may also add additional risks of supply disruptions. As we transport intermediate products with holding times in refrigeration (TIR) and allowed times out of refrigeration (TOR) across long distances and crossing borders, traffic issues and customs delays could lead to the loss of batches which would need to be replaced.</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such product candidates for clinical trials or, if approved, products for patients could be delayed or stopped, or we may be unable to maintain a commercially viable cost structure.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custom design and manufacture certain product candidates that are unique and tailored specifically for each patient. Manufacturing unique lots of these product candidates is susceptible to product loss or failure due to issues with:</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logistics associated with the collection of a patient’s tumor, blood or other tissue sample;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shipping such samples to a facility for genetic sequencing;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next-generation sequencing of the tumor mRNA;</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biopsy of a sufficient quantity of cancerous tissue to allow for proper sequencing and identification of tumor-specific mutations;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identification of appropriate tumor-specific mutations;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998220"/>
                <wp:effectExtent l="0" t="0" r="0" b="0"/>
                <wp:wrapNone/>
                <wp:docPr id="356" name="Frame12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5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34" descr=""/>
                          <pic:cNvPicPr>
                            <a:picLocks noChangeAspect="1" noChangeArrowheads="1"/>
                          </pic:cNvPicPr>
                        </pic:nvPicPr>
                        <pic:blipFill>
                          <a:blip r:embed="rId23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5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35" descr=""/>
                          <pic:cNvPicPr>
                            <a:picLocks noChangeAspect="1" noChangeArrowheads="1"/>
                          </pic:cNvPicPr>
                        </pic:nvPicPr>
                        <pic:blipFill>
                          <a:blip r:embed="rId23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use of a software program, including proprietary and open source components, which is hosted in the cloud and a part of our product candidate, to assist with the design of the patient-specific mRNA, which software must be maintained and secured;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effective design of the patient-specific mRNA that encodes for the required neoantigens;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batch-specific manufacturing failures or issues that arise due to the uniqueness of each patient-specific batch that may not have been foreseen;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quality control testing failures;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unexpected failures of batches placed on stability;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shortages or quality control issues with single-use assemblies, consumables or critical parts sourced from third-party vendors that must be changed out for each patient-specific batch;</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significant costs associated with individualized manufacturing that may adversely affect our ability to continue development;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successful and timely manufacture and release of the patient-specific batch;</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shipment issues encountered during transport of the batch to the site of patient care;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ability to define a consistent safety profile at a given dose when each participant receives a unique treatment;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reliance on single source suppliers.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we may not be able to supply this expanded need reliably without significant investments due to the custom nature of the equipment and single-use assemblies. In addition, there will be considerable time to scale up our facilities or build new facilities before we can begin to meet any commercial demand if one or more of our individualized product candidates are approved. This expansion or addition of new facilities could also lead to product comparability issues, which can further delay introduction of new capacity.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For those of our product candidates that are manufactured for each individual patient, we are required to maintain a chain of identity with respect to each patient’s tissue sample, the sequenced data derived from such tissue sample, the results of such patient’s genomic analysis and the custom manufactured product for such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998220"/>
                <wp:effectExtent l="0" t="0" r="0" b="0"/>
                <wp:wrapNone/>
                <wp:docPr id="359" name="Frame12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60"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36" descr=""/>
                          <pic:cNvPicPr>
                            <a:picLocks noChangeAspect="1" noChangeArrowheads="1"/>
                          </pic:cNvPicPr>
                        </pic:nvPicPr>
                        <pic:blipFill>
                          <a:blip r:embed="rId23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61"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37" descr=""/>
                          <pic:cNvPicPr>
                            <a:picLocks noChangeAspect="1" noChangeArrowheads="1"/>
                          </pic:cNvPicPr>
                        </pic:nvPicPr>
                        <pic:blipFill>
                          <a:blip r:embed="rId23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processes and results. These changes may not achieve the intended objectives, and any of these changes could cause our product candidates to perform differently than we expect, potentially affecting the results of clinical trials.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inability to manufacture sufficient or appropriate quantities of our COVID-19 vaccine or any of our product candidates, or our failure to comply with applicable regulatory requirements, could materially and adversely affect our business.</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Manufacturing is a vital component of our individualized immunotherapy approach, and we have invested significantly in our manufacturing facilities, including the construction of a novel modular manufacturing facility that we refer to as a “</w:t>
      </w:r>
      <w:r>
        <w:rPr>
          <w:rFonts w:ascii="Neue Haas Grotesk Display Pro 45 Light;serif" w:hAnsi="Neue Haas Grotesk Display Pro 45 Light;serif"/>
          <w:b w:val="false"/>
          <w:i/>
          <w:color w:val="080509"/>
          <w:sz w:val="20"/>
        </w:rPr>
        <w:t>BioNTainer</w:t>
      </w:r>
      <w:r>
        <w:rPr>
          <w:rFonts w:ascii="Neue Haas Grotesk Display Pro 45 Light;serif" w:hAnsi="Neue Haas Grotesk Display Pro 45 Light;serif"/>
          <w:b w:val="false"/>
          <w:color w:val="080509"/>
          <w:sz w:val="20"/>
        </w:rPr>
        <w:t xml:space="preserve">,” and the construction of a facility to support manufacturing of our Individualized Vaccines Against Cancer candidates. All internal manufacturing is performed under GMP guidelines. We also rely on a network of CMOs for the manufacture of our COVID-19 vaccine. We do not rely on any external CMOs for the manufacture of our individualized product candidates and at this time, we have limited redundancy among our facilities. Due to the individualized nature of our product candidates, we do not maintain product reserves. If any of our or our external CMOs’ manufacturing facilities, including our </w:t>
      </w:r>
      <w:r>
        <w:rPr>
          <w:rFonts w:ascii="Neue Haas Grotesk Display Pro 45 Light;serif" w:hAnsi="Neue Haas Grotesk Display Pro 45 Light;serif"/>
          <w:b w:val="false"/>
          <w:i/>
          <w:color w:val="080509"/>
          <w:sz w:val="20"/>
        </w:rPr>
        <w:t>BioNTainer</w:t>
      </w:r>
      <w:r>
        <w:rPr>
          <w:color w:val="080509"/>
        </w:rPr>
        <w:t xml:space="preserve"> </w:t>
      </w:r>
      <w:r>
        <w:rPr>
          <w:rFonts w:ascii="Neue Haas Grotesk Display Pro 45 Light;serif" w:hAnsi="Neue Haas Grotesk Display Pro 45 Light;serif"/>
          <w:b w:val="false"/>
          <w:color w:val="080509"/>
          <w:sz w:val="20"/>
        </w:rPr>
        <w:t>units, experience difficulties, including related to manufacturing, product release, shelf life, testing, storage and supply chain management or shipping, our clinical development programs may be delayed or suspended until we or our external CMOs can resume operations. We may also be required to incur significant expenditures to resolve such difficulties.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and our collaboration partner also have experienced, and continue to face the risk of, inventory write-downs or redundant production capacities with respect to our COVID-19 vaccine. Planned new formulations of our COVID-19 vaccine, including versions that could protect against new variants of COVID-19, have resulted or may result in significant research and development expense that was not or may not be recouped. In addition, we have experienced in the past, and may experience in the future, redundant production capacities under our agreements with CMOs due to planned new formulations, adaptations of our COVID-19 vaccine and increased internal manufacturing capacities. Significant inventory write-downs or redundant manufacturing expenses would negatively impact our results of operations.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facilities are subject to various regulatory requirements and may be subject to announced or unannounced inspections by the FDA or other regulatory authorities at any time during the development or commercialization phase. If we or our external CMOs cannot successfully manufacture material that conforms to our specifications and the strict regulatory requirements of the FDA, the EMA or comparable regulatory authorities in other jurisdictions, we may not be able to rely on our or our external CMOs’ manufacturing facilities for the manufacture of our product candidates. If the FDA, the EMA or another comparable regulatory authority finds our or our external CMOs’ facilities inadequate for the manufacture of our COVID-19 vaccine or our product candidates or otherwise deficient, including as a result of a site inspection, such facilities may be the subject of adverse regulatory action, including the issuance of untitled or warning letters. If such facilities are subject to enforcement action in the future or are otherwise inadequate, we may need to find alternative manufacturing facilities, which would significantly delay or otherwise impact our ability to develop, obtain regulatory approval for or market our COVID-19 vaccine or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Additionally, we may experience manufacturing difficulties due to resource constraints, labor disputes or unstable political environments. If we were to encounter any of these difficulties, our ability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998220"/>
                <wp:effectExtent l="0" t="0" r="0" b="0"/>
                <wp:wrapNone/>
                <wp:docPr id="362" name="Frame12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63"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38" descr=""/>
                          <pic:cNvPicPr>
                            <a:picLocks noChangeAspect="1" noChangeArrowheads="1"/>
                          </pic:cNvPicPr>
                        </pic:nvPicPr>
                        <pic:blipFill>
                          <a:blip r:embed="rId23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64"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39" descr=""/>
                          <pic:cNvPicPr>
                            <a:picLocks noChangeAspect="1" noChangeArrowheads="1"/>
                          </pic:cNvPicPr>
                        </pic:nvPicPr>
                        <pic:blipFill>
                          <a:blip r:embed="rId24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provide our product candidates to patients in clinical trials, or to provide approved products for the treatment of patients, would be jeopardized.</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are subject to regulatory and operational risks associated with the physical and digital infrastructure at both our internal manufacturing facilities and at those of our external service providers.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designs of our facilities are based on current standards for biotechnology facilities. They have been reviewed and approved by local authorities and have also received GMP manufacturing licenses. We have designed our facilities to incorporate a significant level of automation of equipment with integration of several digital systems to improve efficiency of operations. We have attempted to achieve a high level of digitization for clinical and commercial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a delay in supply or shutdown of our facilities. Any disruption in our manufacturing capabilities could cause delays in our production capacity for our drug substances or drug products, impose additional costs, or require us to identify, qualify and establish an alternative manufacturing site, the occurrence of which could have a material adverse effect on our business, financial condition, results of operations and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we expand our development and commercial capacity, we may continue to establish additional manufacturing capabilities in different jurisdictions, which may lead to regulatory delays or prove costly. If we fail to select the correct location, complete the construction in an efficient manner, recruit required personnel, and/or generally manage our growth effectively, the development and production of our products or product candidates could be delayed or curtailed. Additional investments may be needed if changes in our manufacturing process lead to required changes in our infrastructure.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COVID-19 vaccine and certain of our product candidates rely on the availability of specialty raw materials, which may not be available to us on acceptable terms or at all.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product candidates require many specialty raw materials, some of which are manufactured by small companies with limited resources and experience to support a commercial product, and suppliers may not be able to deliver raw materials to our specifications. In addition, some such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998220"/>
                <wp:effectExtent l="0" t="0" r="0" b="0"/>
                <wp:wrapNone/>
                <wp:docPr id="365" name="Frame12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119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66"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40" descr=""/>
                          <pic:cNvPicPr>
                            <a:picLocks noChangeAspect="1" noChangeArrowheads="1"/>
                          </pic:cNvPicPr>
                        </pic:nvPicPr>
                        <pic:blipFill>
                          <a:blip r:embed="rId24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67"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241" descr=""/>
                          <pic:cNvPicPr>
                            <a:picLocks noChangeAspect="1" noChangeArrowheads="1"/>
                          </pic:cNvPicPr>
                        </pic:nvPicPr>
                        <pic:blipFill>
                          <a:blip r:embed="rId24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negatively impact our operating results. Further, we may be unable to enter into agreements with a new supplier on commercially reasonable terms or at all, which could have a material adverse impact on our business.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are subject to significant regulatory oversight with respect to manufacturing our products and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our products and product candidates. Poor control of the GMP production processes can lead to product quality failures that can impact our ability to supply product, resulting in loss of potential product sales revenue, cost overruns and delays to clinical timelines for our clinical programs, which could be extensive. Such production process issues include but are not limited to:</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critical deviations in the manufacturing process;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facility and equipment failures;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contamination of the product due to an ineffective quality control strategy;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facility contamination as assessed by the facility and utility environmental monitoring program;</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ineffective process, equipment or analytical change management, resulting in failed lot release criteria;</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raw material failures due to ineffective supplier qualification or regulatory compliance issues at critical suppliers;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ineffective product stability;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failed lot release or facility and utility quality control testing;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ineffective corrective actions or preventative actions taken to correct or avoid critical deviations due to our developing understanding of the manufacturing process as we scale;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failed or defective components or consumables.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Regulatory authorities typically require representative manufacturing site inspections to assess adequate compliance with GMPs and manufacturing controls as described in the filing. If either we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998220"/>
                <wp:effectExtent l="0" t="0" r="0" b="0"/>
                <wp:wrapNone/>
                <wp:docPr id="368" name="Frame12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69"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42" descr=""/>
                          <pic:cNvPicPr>
                            <a:picLocks noChangeAspect="1" noChangeArrowheads="1"/>
                          </pic:cNvPicPr>
                        </pic:nvPicPr>
                        <pic:blipFill>
                          <a:blip r:embed="rId24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70"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43" descr=""/>
                          <pic:cNvPicPr>
                            <a:picLocks noChangeAspect="1" noChangeArrowheads="1"/>
                          </pic:cNvPicPr>
                        </pic:nvPicPr>
                        <pic:blipFill>
                          <a:blip r:embed="rId24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one of our third-party manufacturing sites fail to provide sufficient quality assurance or control, approval to continue delivery of our commercial product or to commercialize our product candidates may not be granted. Inspections by regulatory authorities may be announced or unannounced and may occur at any time during the development or commercialization phase. The inspections may be product-specific or facility-specific for broader GMP inspections, or as a follow up to market or development issues that the regulatory agency may identify. Deficient inspection outcomes may result in adverse regulatory action, including the issuance of untitled or warning letters, which could influence our ability, or the ability of our third-party manufacturers or suppliers, to fulfill supply obligations, impacting or delaying supply or delaying programs. Our failure, or the failure of our third-party manufacturers, to comply with applicable regulations could result in sanctions being imposed on us, including, but not limited to,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manufacturing process for any product is subject to the FDA’s, the EMA’s and other regulatory authorities’ approval processes, and we may need to contract with manufacturers whom we believe can meet applicable regulatory authority requirements on an ongoing basis. If we or our third-party manufacturers are unable to reliably manufacture to specifications acceptable to the FDA, the EMA or other regulatory authorities, we or our collaborators may not obtain or maintain the approvals we or they need to release and deliver such products. Even if we or our collaborators obtain regulatory approval for any of our immunotherapies, there is no assurance that either we or our CMOs will be able to manufacture our product candidates to specifications acceptable to the FDA, the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we may not have direct control over the ability of our CMOs to maintain adequate quality control, quality assurance and qualified personnel. Furthermore, all of our CMOs are engaged with other companies to supply or manufacture materials or products for such companies, which exposes our CMOs to regulatory risks for the production of such materials and products. As a result, failure to meet the regulatory requirements for the production of those materials and products may generally affect the regulatory status of our CMOs’ facilities, and could result in the sanctions and other adverse outcomes described above. Our potential future dependence upon others for the manufacture of our products, product candidates and raw materials may adversely affect our future operating results and our ability to commercialize any products that receive regulatory approval on a timely and competitive basis.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FDA, the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998220"/>
                <wp:effectExtent l="0" t="0" r="0" b="0"/>
                <wp:wrapNone/>
                <wp:docPr id="371" name="Frame12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72"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44" descr=""/>
                          <pic:cNvPicPr>
                            <a:picLocks noChangeAspect="1" noChangeArrowheads="1"/>
                          </pic:cNvPicPr>
                        </pic:nvPicPr>
                        <pic:blipFill>
                          <a:blip r:embed="rId24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73"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45" descr=""/>
                          <pic:cNvPicPr>
                            <a:picLocks noChangeAspect="1" noChangeArrowheads="1"/>
                          </pic:cNvPicPr>
                        </pic:nvPicPr>
                        <pic:blipFill>
                          <a:blip r:embed="rId24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unacceptable changes in the product that could result in lot failures or product recalls. Our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product launches or product supply, which could be costly to us and otherwise harm our business, financial condition, results of operations and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train and qualify all personnel around the appropriate handling of our products and materials, we may not be able to control for or ultimately detect intentional sabotage or negligence by any employee or contractor.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Risks Related to our Reliance on Third Parties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currently rely, and expect to continue to rely, on third parties, such as CROs, clinical data management organizations, collaborators, medical institutions and clinical investigators, to conduct various and significant elements of our clinical trials. Furthermore,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U.S.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998220"/>
                <wp:effectExtent l="0" t="0" r="0" b="0"/>
                <wp:wrapNone/>
                <wp:docPr id="374" name="Frame12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75"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46" descr=""/>
                          <pic:cNvPicPr>
                            <a:picLocks noChangeAspect="1" noChangeArrowheads="1"/>
                          </pic:cNvPicPr>
                        </pic:nvPicPr>
                        <pic:blipFill>
                          <a:blip r:embed="rId24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76"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47" descr=""/>
                          <pic:cNvPicPr>
                            <a:picLocks noChangeAspect="1" noChangeArrowheads="1"/>
                          </pic:cNvPicPr>
                        </pic:nvPicPr>
                        <pic:blipFill>
                          <a:blip r:embed="rId24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ensuring that the rights of our clinical trial participants are protected. These regulations are enforced by the FDA, the regulatory authorities of the EU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have staffing difficulties;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fail to comply with contractual obligations;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experience regulatory compliance issues;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undergo changes in priorities or become financially distressed;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form relationships with other entities, some of which may be our competitors;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make human errors; or</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be subject to cyberattacks.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998220"/>
                <wp:effectExtent l="0" t="0" r="0" b="0"/>
                <wp:wrapNone/>
                <wp:docPr id="377" name="Frame13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7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48" descr=""/>
                          <pic:cNvPicPr>
                            <a:picLocks noChangeAspect="1" noChangeArrowheads="1"/>
                          </pic:cNvPicPr>
                        </pic:nvPicPr>
                        <pic:blipFill>
                          <a:blip r:embed="rId24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7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49" descr=""/>
                          <pic:cNvPicPr>
                            <a:picLocks noChangeAspect="1" noChangeArrowheads="1"/>
                          </pic:cNvPicPr>
                        </pic:nvPicPr>
                        <pic:blipFill>
                          <a:blip r:embed="rId25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products and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have entered into collaborations under which our collaborators have provided, and may in the future provide, funding and other resources for developing and commercializing our products and product candidates. We expect to enter into additional collaborations to access additional funding, capabilities and/or expertise in the future. Our existing collaborations, and any future collaborations we enter into, may pose a number of risks, including the following: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collaborators may not perform or prioritize their obligations as expected;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clinical trials conducted as part of such collaborations may not be successful;</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collaborators may not pursue development and commercialization of any product candidates and products that achieve regulatory approval or may elect not to continue or renew development or commercialization of programs based on clinical trial results, changes in the collaborators’ focus or available funding, or external factors, such as an acquisition, that divert resources or create competing priorities;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collaborators may delay clinical trials, provide insufficient funding for clinical trials, stop a clinical trial, abandon a product candidate, repeat or conduct new clinical trials, or require a new formulation of a product candidate for clinical testing;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product candidates developed in collaborations with us may be viewed by our collaborators as competitive with their own product candidates or products, which may cause collaborators to cease to devote resources to the development or commercialization of our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collaborator with marketing and distribution rights to one or more of our product candidates that achieve regulatory approval may not commit sufficient resources to the marketing and distribution of any such product;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disagreements with collaborators, including disagreements over proprietary rights, contract interpretation or the preferred course of development of any product candidates, may cause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998220"/>
                <wp:effectExtent l="0" t="0" r="0" b="0"/>
                <wp:wrapNone/>
                <wp:docPr id="380" name="Frame13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81"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50" descr=""/>
                          <pic:cNvPicPr>
                            <a:picLocks noChangeAspect="1" noChangeArrowheads="1"/>
                          </pic:cNvPicPr>
                        </pic:nvPicPr>
                        <pic:blipFill>
                          <a:blip r:embed="rId25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82"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51" descr=""/>
                          <pic:cNvPicPr>
                            <a:picLocks noChangeAspect="1" noChangeArrowheads="1"/>
                          </pic:cNvPicPr>
                        </pic:nvPicPr>
                        <pic:blipFill>
                          <a:blip r:embed="rId25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collaborators may not properly maintain, protect, defend or enforce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disputes may arise with respect to the ownership of intellectual property developed pursuant to our collaborations;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collaborators may infringe, misappropriate or otherwise violate the intellectual property rights of third parties, which may expose us to litigation and potential liability;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collaborations may be terminated for the convenience of the collaborator and, if terminated, the development of our product candidates may be delayed, and we could be required to raise additional capital to pursue further development or commercialization of the applicable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future relationships may require us to incur non-recurring and other charges, increase our near- and long-term expenditures, issue securities that dilute our existing shareholders, or disrupt our management and business;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could face significant competition in seeking appropriate collaborators, and the negotiation process is time-consuming and complex;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international operations through any future collaborations, acquisitions or joint ventures may expose us to certain operating, legal and other risks not encountered in Germany or the United States.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our collaborations do not result in the successful development and commercialization of programs, or if one of our collaborators terminates its agreement with us, we may not receive any future research funding or milestone, earn-out, royalty or other contingent payments, or otherwise yield the expected benefits under the collaborations. As a result, our development of product candidates and commercialization efforts could be delayed and we may need additional resources to develop and commercialize our product candidates.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we are not able to establish collaborations on commercially reasonable terms, we may have to alter our research, development and commercialization plans.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998220"/>
                <wp:effectExtent l="0" t="0" r="0" b="0"/>
                <wp:wrapNone/>
                <wp:docPr id="383" name="Frame13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84"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52" descr=""/>
                          <pic:cNvPicPr>
                            <a:picLocks noChangeAspect="1" noChangeArrowheads="1"/>
                          </pic:cNvPicPr>
                        </pic:nvPicPr>
                        <pic:blipFill>
                          <a:blip r:embed="rId25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85"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253" descr=""/>
                          <pic:cNvPicPr>
                            <a:picLocks noChangeAspect="1" noChangeArrowheads="1"/>
                          </pic:cNvPicPr>
                        </pic:nvPicPr>
                        <pic:blipFill>
                          <a:blip r:embed="rId25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or not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comparable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have entered into in-licensing arrangements and may form or seek to enter into additional licensing arrangements in the future, and we may not realize the benefits of such licensing arrangements.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are a party to licenses that give us rights to third-party intellectual property, including patents and patent applications, that are necessary or useful for our business. For example, we have obtained licenses from Acuitas Therapeutics Inc., or Acuitas, CellScript LLC, or CellScript, and its affiliate, mRNA RiboTherapeutics, Inc., to patent rights claiming certain uses of modified RNA, as well as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998220"/>
                <wp:effectExtent l="0" t="0" r="0" b="0"/>
                <wp:wrapNone/>
                <wp:docPr id="386" name="Frame13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8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54" descr=""/>
                          <pic:cNvPicPr>
                            <a:picLocks noChangeAspect="1" noChangeArrowheads="1"/>
                          </pic:cNvPicPr>
                        </pic:nvPicPr>
                        <pic:blipFill>
                          <a:blip r:embed="rId25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8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55" descr=""/>
                          <pic:cNvPicPr>
                            <a:picLocks noChangeAspect="1" noChangeArrowheads="1"/>
                          </pic:cNvPicPr>
                        </pic:nvPicPr>
                        <pic:blipFill>
                          <a:blip r:embed="rId25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licenses from certain other parties for intellectual property useful in pharmaceutical formulations. We may enter into additional licenses to third-party intellectual property in the future.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Disputes may also arise between us and our licensors regarding intellectual property subject to a license agreement,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scope of rights granted under the license agreement and other interpretation-related issues;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whether and the extent to which our technology and processes infringe, misappropriate or otherwise violate the intellectual property of the licensor that is not subject to the licensing agreement;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right to sublicense patent and other intellectual property rights to third parties under collaborative relationships;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diligence obligations with respect to the use of the licensed intellectual property and technology in relation to our development and commercialization of our product candidates, and what activities satisfy those diligence obligations;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ownership of inventions, trade secrets, know-how and other intellectual property resulting from the joint creation or use of intellectual property by our licensors and us and our collaborators;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priority of invention of patented technology;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amounts to be paid pursuant to certain program milestones being achieved or to royalty obligations, including the triggering of royalty obligations and amounts to be paid pursuant thereto.</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are generally also subject to all of the same risks with respect to protection of intellectual property that we license, as we are for intellectual property that we own, which are described below. If we, our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998220"/>
                <wp:effectExtent l="0" t="0" r="0" b="0"/>
                <wp:wrapNone/>
                <wp:docPr id="389" name="Frame13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90"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56" descr=""/>
                          <pic:cNvPicPr>
                            <a:picLocks noChangeAspect="1" noChangeArrowheads="1"/>
                          </pic:cNvPicPr>
                        </pic:nvPicPr>
                        <pic:blipFill>
                          <a:blip r:embed="rId25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91"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257" descr=""/>
                          <pic:cNvPicPr>
                            <a:picLocks noChangeAspect="1" noChangeArrowheads="1"/>
                          </pic:cNvPicPr>
                        </pic:nvPicPr>
                        <pic:blipFill>
                          <a:blip r:embed="rId25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co-owners or our licensors fail to adequately protect, defend, maintain or enforce this intellectual property, our ability to commercialize products could suffer.</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and our collaborators rely on third parties to manufacture certain of our clinical product supplies, and we may have to rely on third parties to produce and process our product candidates, if approved.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Although we expect to continue using our own clinical manufacturing facilities where available, we also rely on outside vendors to manufacture supplies and process our product candidates. We only manufacture our COVID-19 vaccine on a commercial scale and may not be able to achieve commercial-scale manufacturing and processing for our other product candidates, if approved, and may be unable to create an inventory of mass-produced, off-the-shelf product to satisfy demands for our product candidates, if approved.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not be able to develop commercially viable products other than our COVID-19 vaccine.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our reliance on a limited number of CMOs exposes us to the following risks: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be unable to identify manufacturers on acceptable terms or at all because the number of potential 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CMOs might be unable to timely formulate and manufacture our product or produce the quantity and quality required to meet our clinical and commercial needs, if any;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CMOs may not be able to execute our manufacturing procedures appropriately;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future CMOs may not perform as agreed or may not remain in the contract manufacturing business for the time required to supply our clinical trials or to successfully produce, store and distribute our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manufacturers are subject to ongoing periodic unannounced inspection by the FDA, the U.S. Drug Enforcement Administration and corresponding state agencies and by regulatory authorities in other jurisdictions to ensure strict compliance with GMP and other government regulations and corresponding standards in other jurisdictions. We do not have control over CMOs’ compliance with these regulations and standards;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not own, or may have to share, the intellectual property rights to any improvements made in the manufacturing process for our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CMOs could breach or terminate their agreement with us; and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998220"/>
                <wp:effectExtent l="0" t="0" r="0" b="0"/>
                <wp:wrapNone/>
                <wp:docPr id="392" name="Frame13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93"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58" descr=""/>
                          <pic:cNvPicPr>
                            <a:picLocks noChangeAspect="1" noChangeArrowheads="1"/>
                          </pic:cNvPicPr>
                        </pic:nvPicPr>
                        <pic:blipFill>
                          <a:blip r:embed="rId25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94"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59" descr=""/>
                          <pic:cNvPicPr>
                            <a:picLocks noChangeAspect="1" noChangeArrowheads="1"/>
                          </pic:cNvPicPr>
                        </pic:nvPicPr>
                        <pic:blipFill>
                          <a:blip r:embed="rId26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CMOs would also be subject to the same risks we face in developing our own manufacturing capabilities, as described above.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Each of these risks could delay our clinical trials, the approval, if any, of our COVID-19 vaccine or product candidates by the FDA or regulatory authorities in other jurisdictions or the commercialization of our COVID-19 vaccine or product candidates, or result in higher costs or deprive us of potential product sales revenue. In addition, we will rely on third parties to perform release tests on our COVID-19 or our product candidates prior to delivery to patients. If these tests are not appropriately done and test data are not reliable, patients could be put at risk of serious harm.</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and certain of our collaborators currently rely on CMOs located outside of the United States to manufacture clinical materials. Such ex-U.S. CMOs may be subject to or affected by U.S. legislation, executive orders, regulations, or investigations, including but not limited to the recently enacted BIOSECURE Act, the Department of Justice’s Final Rule issued on January 8, 2025 implementing the Executive Order on Preventing Access to Americans’ Bulk Sensitive Personal Data and United States Government-Related Data by Countries of Concern, sanctions, trade restrictions and other U.S. and other regulatory requirements, which could increase the cost or reduce the supply of material available to us, delay or restrict the procurement or supply of such material, delay or impact clinical trials, have an adverse effect on our ability to secure significant commitments from governments to purchase our potential therapies and adversely affect our financial condition and business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are dependent on single source suppliers for some of the components and materials used in, and the processes required to develop, our COVID-19 vaccine and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currently depend on single source suppliers for some of the components and materials used in, and manufacturing processes required to develop, our COVID-19 vaccine and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COVID-19 vaccine and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COVID-19 vaccine and our product candidates, any interruption or delay in the supply of components or materials, or our inability to obtain components or materials from alternate sources at acceptable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998220"/>
                <wp:effectExtent l="0" t="0" r="0" b="0"/>
                <wp:wrapNone/>
                <wp:docPr id="395" name="Frame13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129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96"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60" descr=""/>
                          <pic:cNvPicPr>
                            <a:picLocks noChangeAspect="1" noChangeArrowheads="1"/>
                          </pic:cNvPicPr>
                        </pic:nvPicPr>
                        <pic:blipFill>
                          <a:blip r:embed="rId26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97"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261" descr=""/>
                          <pic:cNvPicPr>
                            <a:picLocks noChangeAspect="1" noChangeArrowheads="1"/>
                          </pic:cNvPicPr>
                        </pic:nvPicPr>
                        <pic:blipFill>
                          <a:blip r:embed="rId26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prices in a timely manner, could impair our ability to meet the demand for our COVID-19 vaccine and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as part of the FDA’s approval of our product candidates, we will also require FDA review of the individual components of our process, which include the manufacturing processes and facilities of our single source suppliers.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reliance on these suppliers, service providers and manufacturers subjects us to a number of risks that could harm our reputation, business and financial condition, including, among other things: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delays to the development timelines for our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interruption of supply resulting from modifications to or discontinuation of a supplier’s operations;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delays in product shipments resulting from uncorrected defects, reliability issues, or a supplier’s variation in a component;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lack of long-term supply arrangements for key components with our suppliers;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inability to obtain adequate supply in a timely manner, or to obtain adequate supply on commercially reasonable terms;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difficulty and cost associated with locating and qualifying alternative suppliers for our components in a timely manner;</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production delays related to the evaluation and testing of components from alternative suppliers, and corresponding regulatory qualifications;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delay in delivery due to our suppliers’ prioritizing other customer orders over ours;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damage to our reputation caused by defective components produced by our suppliers;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fluctuation in delivery by our suppliers due to changes in demand from us or their other customers.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any of these risks materialize, costs could significantly increase and our ability to meet demand for our products could be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 xml:space="preserve">Risks Related to Intellectual Property </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our efforts to obtain, maintain, protect, defend and/or enforce the intellectual property related to our COVID-19 vaccine or our product candidates and technologies are not adequate, we may not be able to compete effectively in our market.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commercial success depends in part on our ability to obtain, maintain, protect, defend and enforce patent and other intellectual property, including trade secret and know-how, protection for our COVID-19 vaccine and for our product candidates, proprietary technologies and their uses, as well as our ability to operate, develop, manufacture and commercialize our COVID-19 vaccine or one or more of our product candidates without infringing, misappropriating or otherwise violating the intellectual property or other proprietary rights of our competitors or any other third parties, including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998220"/>
                <wp:effectExtent l="0" t="0" r="0" b="0"/>
                <wp:wrapNone/>
                <wp:docPr id="398" name="Frame13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399"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62" descr=""/>
                          <pic:cNvPicPr>
                            <a:picLocks noChangeAspect="1" noChangeArrowheads="1"/>
                          </pic:cNvPicPr>
                        </pic:nvPicPr>
                        <pic:blipFill>
                          <a:blip r:embed="rId26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00"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63" descr=""/>
                          <pic:cNvPicPr>
                            <a:picLocks noChangeAspect="1" noChangeArrowheads="1"/>
                          </pic:cNvPicPr>
                        </pic:nvPicPr>
                        <pic:blipFill>
                          <a:blip r:embed="rId26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any non-practicing entities or patent assertion entities. We generally seek to protect our intellectual property position by filing and/or licensing patent applications in the European Union, the United States and elsewhere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any claim in our issued patents will not be found invalid or unenforceable if challenged. Accordingly, there can be no assurance that our patent applications or those of our licensors will result in additional patents being issued or that issued patents will adequately cover our COVID-19 vaccine or our product candidates, or otherwise afford sufficient protection against competitors with similar technology, nor can there be any assurance that issued patents will not be infringed, designed around, invalidated or held unenforceable. Furthermore, we may not be able to apply for patents on certain aspects of our current or future products or product candidates, proprietary technologies and their uses in a timely fashion, at a reasonable cost, in all jurisdictions, or at all, and any potential patent protection we obtain may not be sufficient to prevent substantial competition.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Even claims of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products, product candidates and proprietary technologies and erode or negate any competitive advantage we may have, which could have a material adverse effect on our financial condition and results of operations.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products or product candidates, proprietary technologies (including methods of manufacture) and their uses. These risks and uncertainties include, from time to time, the following: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USPTO and various other governmental patent agencies require compliance with a number of procedural, documentary, fee payment and other provisions during the patenting process, the noncompliance with which can result in abandonment or lapse of a patent or patent application or a finding that a patent is unenforceable, and partial or complete loss of patent rights in the relevant jurisdiction;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patent applications may not result in any patents being issued;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998220"/>
                <wp:effectExtent l="0" t="0" r="0" b="0"/>
                <wp:wrapNone/>
                <wp:docPr id="401" name="Frame13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02"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64" descr=""/>
                          <pic:cNvPicPr>
                            <a:picLocks noChangeAspect="1" noChangeArrowheads="1"/>
                          </pic:cNvPicPr>
                        </pic:nvPicPr>
                        <pic:blipFill>
                          <a:blip r:embed="rId26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03"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265" descr=""/>
                          <pic:cNvPicPr>
                            <a:picLocks noChangeAspect="1" noChangeArrowheads="1"/>
                          </pic:cNvPicPr>
                        </pic:nvPicPr>
                        <pic:blipFill>
                          <a:blip r:embed="rId26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claims of issued patents that we own (solely or jointly) or have in-licensed may be challenged, invalidated, modified, revoked, circumvented, found to be unenforceable or otherwise may not provide any competitive advantage;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other parties may have designed around our patent claims or developed technologies that may be related or competitive to our COVID-19 vaccine or to our product candidates or other technologies, may have filed or may file patent applications and may have received or may receive patents that overlap or conflict with our patent filings, either by claiming the same or overlapping methods, products, reagents, tools or devices or by claiming subject matter that could dominate one or more of our patent claims;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any successful opposition to claims of any patents owned by or in-licensed to us could deprive us of rights necessary for the development and exploitation of our COVID-19 vaccine or our product candidates and other technologies, or the successful commercialization of any product candidates and other technologies that we may develop;</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because patent applications in the United States and most other jurisdictions are confidential for a period of time after filing, we cannot be certain that we, our co-owners or our licensors were the first to file any patent application related to our product candidates, proprietary technologies and their uses;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court or other patent proceeding, such as an inter partes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existing legislation (for example, in the United States, the Public Readiness and Emergency Preparedness Act, etc.) may be interpreted, and new legislation may be passed, to permit third-party use of patented technologies relating to a public health concern, with little or no compensation to the patent holder(s);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countries other than the United States may have patent laws less favorable to patentees than those upheld by U.S. courts, allowing competitors a better opportunity to create, develop and market competing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998220"/>
                <wp:effectExtent l="0" t="0" r="0" b="0"/>
                <wp:wrapNone/>
                <wp:docPr id="404" name="Frame13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05"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266" descr=""/>
                          <pic:cNvPicPr>
                            <a:picLocks noChangeAspect="1" noChangeArrowheads="1"/>
                          </pic:cNvPicPr>
                        </pic:nvPicPr>
                        <pic:blipFill>
                          <a:blip r:embed="rId26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06"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67" descr=""/>
                          <pic:cNvPicPr>
                            <a:picLocks noChangeAspect="1" noChangeArrowheads="1"/>
                          </pic:cNvPicPr>
                        </pic:nvPicPr>
                        <pic:blipFill>
                          <a:blip r:embed="rId26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other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or EU laws, and those countries may lack adequate rules and procedures for granting, maintaining, protecting, defending and enforcing our intellectual property rights.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Furthermore, the patent prosecution process is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if any of these parties were to breach such agreements and improperly disclose such output before a patent application is filed, this could jeopardize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our product(s) or product candidates, or which effectively prevent others from commercializing competitive technologies and products. As a result, our intellectual property may not provide us with sufficient rights to exclude others from commercializing products similar or identical to ours.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998220"/>
                <wp:effectExtent l="0" t="0" r="0" b="0"/>
                <wp:wrapNone/>
                <wp:docPr id="407" name="Frame14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0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68" descr=""/>
                          <pic:cNvPicPr>
                            <a:picLocks noChangeAspect="1" noChangeArrowheads="1"/>
                          </pic:cNvPicPr>
                        </pic:nvPicPr>
                        <pic:blipFill>
                          <a:blip r:embed="rId26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0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269" descr=""/>
                          <pic:cNvPicPr>
                            <a:picLocks noChangeAspect="1" noChangeArrowheads="1"/>
                          </pic:cNvPicPr>
                        </pic:nvPicPr>
                        <pic:blipFill>
                          <a:blip r:embed="rId27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Furthermore, patents or other intellectual property rights that we may be able to secure for our COVID-19 vaccine or our other COVID-19 vaccine candidates could be restricted or preempted if governments determine that they will not enforce, or will require compulsory licensing of, technologies useful to address the spread of COVID-19.</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technical personnel, and other employees even if the eventual outcome is favorable to us.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degree of future protection for our intellectual property and other proprietary rights is uncertain, and we cannot ensure that: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any of our patents, or any of our pending patent applications, if issued, or those of our licensors, will include claims having a scope sufficient to protect our product(s), our product candidates and other technologies;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any of our pending patent applications or those of our licensors may issue as patents;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others will not or may not be able to make, use, offer to sell or sell products that are the same as or similar to our own but that are not covered by the claims of the patents that we own or license;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will be able to successfully commercialize our products on a substantial scale, if approved, before the relevant patents that we own or license expire;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998220"/>
                <wp:effectExtent l="0" t="0" r="0" b="0"/>
                <wp:wrapNone/>
                <wp:docPr id="410" name="Frame14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1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70" descr=""/>
                          <pic:cNvPicPr>
                            <a:picLocks noChangeAspect="1" noChangeArrowheads="1"/>
                          </pic:cNvPicPr>
                        </pic:nvPicPr>
                        <pic:blipFill>
                          <a:blip r:embed="rId27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12"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71" descr=""/>
                          <pic:cNvPicPr>
                            <a:picLocks noChangeAspect="1" noChangeArrowheads="1"/>
                          </pic:cNvPicPr>
                        </pic:nvPicPr>
                        <pic:blipFill>
                          <a:blip r:embed="rId27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were the first to make the inventions covered by each of the patents and pending patent applications that we own or license;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our co-owners or our licensors were the first to file patent applications for these inventions;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others will not develop similar or alternative products or technologies that do not infringe the patents we own or license;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any of the claims of patents we own or license will be found to ultimately be valid and enforceable;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any patents issued to us or our licensors will provide a basis for an exclusive market for our commercially viable product candidates and other technologies or will provide us with any competitive advantages;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 third party may not challenge the claims of patents we own or license and, if challenged, a court would hold that such patent claims are valid, enforceable and infringed;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develop or in-license additional proprietary technologies that are patentable;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patents of others will not have an adverse effect on our ability to issue patents, or otherwise on our business;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competitors do not conduct research, development, testing or commercialization activities in countries where we do not have enforceable patent rights and then use the information learned from such activities to develop competitive products for sale in our major commercial markets;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we will develop additional proprietary technologies, product(s) or product candidates that are separately patentable; and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or our collaborators’, development and commercialization activities, including our manufacturing processes, or products will not infringe patents of our competitors or any other third parties, including any non-practicing entities or patent assertion entities.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Other companies or organizations may challenge our intellectual property rights or the intellectual property rights of our partners or may assert intellectual property rights that prevent us or our partners from developing and commercializing our COVID-19 vaccine or our product candidates and other technologies.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tools and methods including uses and manufacturing methods, or features or aspects of any of these. These issued patents and pending patent applications claim certain compositions of matter and methods relating to the discovery, development, testing, manufacture and commercialization of therapeutic modalities and our delivery technologies, including lipid nanoparticles, or LNPs. If we, our co-owners or our licensors are unable to obtain, maintain, protect, defend or enforce patent protection with respect to our products, product candidates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998220"/>
                <wp:effectExtent l="0" t="0" r="0" b="0"/>
                <wp:wrapNone/>
                <wp:docPr id="413" name="Frame14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14"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72" descr=""/>
                          <pic:cNvPicPr>
                            <a:picLocks noChangeAspect="1" noChangeArrowheads="1"/>
                          </pic:cNvPicPr>
                        </pic:nvPicPr>
                        <pic:blipFill>
                          <a:blip r:embed="rId27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15"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73" descr=""/>
                          <pic:cNvPicPr>
                            <a:picLocks noChangeAspect="1" noChangeArrowheads="1"/>
                          </pic:cNvPicPr>
                        </pic:nvPicPr>
                        <pic:blipFill>
                          <a:blip r:embed="rId27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other technology and any other products, product candidates and technology that we may develop, our business, financial condition, results of operations and prospects could be materially harmed.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As the scientific fields mature, our known competitors and other third parties, many of whom have substantially greater resources than we do and many of whom have made significant investments in competing technologies, may seek or may have already obtained patents, and they have filed and will continue to file patent applications claiming inventions in the fields in the United States and elsewhere. This may limit, interfere with or eliminate our and our partners’ ability to make, use, sell, import or otherwise exploit our COVID-19 vaccine or our product candidates or other technologies.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our co-owners, our partners or our licensors may in the future become a party to patent proceedings or priority disputes in the United States, Europe or other jurisdictions. In the United States, the Leahy-Smith America Invents Act, or the America Invents Act,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Additionally, we face ongoing COVID-19 vaccine-related patent litigation. ModernaTX, Inc., or Moderna, has brought litigation against us and Pfizer regarding European patents 3590949B1, or EP’949, and 3718565B1, or EP’565, in Germany (only EP’949 currently at issue), England and Wales (only EP’949 currently at issue), the Netherlands (only EP’949 currently at issue), Ireland, and Belgium (only EP’949 currently at issue), and regarding U.S. Patent Nos. 10,898,574, 10,702,600, and 10,933,127 in the United States. BioNTech and Pfizer also initiated proceedings seeking the revocation of EP’949 in the Business and Property Courts of England and Wales and have filed opposition proceedings in the EPO seeking the revocation of EP’949. With respect to EP’565, the EPO confirmed the final revocation of this patent following oral proceedings on January 27, 2026. BioNTech and Pfizer have filed petitions for inter partes review before the Patent Trial and Appeal Board in the United States with respect to U.S. Patent Nos. 10,702,600 and 10,933,127. Arbutus Biopharma Corp., or Arbutus, and Genevant Sciences GmbH, or Genevant, have brought litigation against us and Pfizer in the United States regarding U.S. Patent Nos. 9,504,651; 8,492,359; 11,141,378; 11,298,320; and 11,318,098. Promosome LLC, or Promosome, has initiated litigation against us and Pfizer in the Unified Patent Court (Munich Division) regarding one European patent, EP 2 401 365. GlaxoSmithKline Biologicals SA and GlaxoSmithKline LLC, or collectively, GSK, have brought litigation against us and Pfizer in the United States regarding U.S. Patent Nos. 11,638,693, 11,638,694, 11,666,534, 11,766,401, 11,786,467, 11,759,422, 11,655,475, and 11,851,660, and in the High Court of Ireland, as well as the United Patent Court, regarding European Patent Nos. 2,590,626, 4,066,856, and 4,226,941. BioNTech and Pfizer also initiated proceedings seeking the revocation of EP’626, EP’856,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998220"/>
                <wp:effectExtent l="0" t="0" r="0" b="0"/>
                <wp:wrapNone/>
                <wp:docPr id="416" name="Frame14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1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74" descr=""/>
                          <pic:cNvPicPr>
                            <a:picLocks noChangeAspect="1" noChangeArrowheads="1"/>
                          </pic:cNvPicPr>
                        </pic:nvPicPr>
                        <pic:blipFill>
                          <a:blip r:embed="rId27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1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75" descr=""/>
                          <pic:cNvPicPr>
                            <a:picLocks noChangeAspect="1" noChangeArrowheads="1"/>
                          </pic:cNvPicPr>
                        </pic:nvPicPr>
                        <pic:blipFill>
                          <a:blip r:embed="rId27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and EP’941 in the Business and Property Courts of England and Wales and have filed opposition proceedings in the EPO seeking the revocation of EP’856 and EP’941. Bayer CropScience LLC, or Bayer, Monsanto Company, and Monsanto Technology, LLC, or Monsanto, have initiated litigation against us and Pfizer in the United States District Court for the District of Delaware regarding U.S. Patent No. 7,741,118. We cannot guarantee that we will not become subject to additional COVID-19 vaccine patent infringement lawsuits in the future. In addition, should Pfizer not prevail in any of the ongoing COVID-19 vaccine patent infringement lawsuits to which it is a party, Pfizer may seek to require us to indemnify Pfizer for losses suffered therefrom as well as any losses from future COVID-19 vaccine patent infringement lawsuits in which it does not prevail. We believe we have strong defenses against each of these claims and intend to vigorously defend ourselves in each proceeding, but we can make no assurances regarding the ultimate outcome of any of these matters. Additionally, as we continually evaluate these various proceedings, we may from time to time make strategic decisions to settle or otherwise resolve certain proceedings despite our continued belief in the strengths of our defenses.</w:t>
      </w:r>
    </w:p>
    <w:p>
      <w:pPr>
        <w:pStyle w:val="TextBody"/>
        <w:bidi w:val="0"/>
        <w:spacing w:lineRule="atLeast" w:line="300" w:before="0" w:after="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expect that we will continue to be subject to similar proceedings or priority disputes, including oppositions, in Europe or other jurisdictions relating to patents and patent applications in our portfolio.</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we, our co-owners, our partners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technical personnel and other employees and could have a material adverse impact on our business and our ability to successfully compete against our current and future competitors.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There are many issued and pending patent filings that claim aspects of technologies that we may need for our mRNA products or product candidates, or other product candidates, including patent filings that relate to relevant delivery technologies. There are also many issued patents that claim targeting genes or portions of genes that may be relevant for immunotherapies we wish to develop. In addition, as evidenced by the lawsuits brought against Moderna, Pfizer and us, there may be additional issued and pending patent applications that may be asserted against us in a court proceeding or otherwise based upon the asserting party’s belief that we may need such patents for the development, manufacturing, testing and commercialization of our COVID-19 vaccine or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if we fail to invalidate relevant patents, or if a court or other governing body determines that we need such patent rights that have been asserted against us and we are not able to obtain a license on reasonable terms or at all, we may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998220"/>
                <wp:effectExtent l="0" t="0" r="0" b="0"/>
                <wp:wrapNone/>
                <wp:docPr id="419" name="Frame14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20"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76" descr=""/>
                          <pic:cNvPicPr>
                            <a:picLocks noChangeAspect="1" noChangeArrowheads="1"/>
                          </pic:cNvPicPr>
                        </pic:nvPicPr>
                        <pic:blipFill>
                          <a:blip r:embed="rId27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21"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77" descr=""/>
                          <pic:cNvPicPr>
                            <a:picLocks noChangeAspect="1" noChangeArrowheads="1"/>
                          </pic:cNvPicPr>
                        </pic:nvPicPr>
                        <pic:blipFill>
                          <a:blip r:embed="rId27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be unable to perform research and development or other activities or market products covered by such patents, and we may need to cease the development, manufacture, testing and commercialization of one or more of the product candidates we may develop. Any of the foregoing could result in a material adverse effect on our business, financial condition, results of operations or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not be successful in obtaining, maintaining, protecting or defending the necessary intellectual property rights to allow us to identify and develop product candidates, and test product components and manufacturing processes for our development pipeline.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currently have rights to certain intellectual property through our owned and in-licensed patents and other intellectual property rights relating to identification, development and testing of our product candidates or other technologies. As our activities may involve additional product candidates or services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sometimes collaborate with academic institutions and/or utilize services of CROs and CMOs in certain aspects of our research or development under written agreements with these parties. These agreements may not ensure protection of intellectual property rights in developed technology, or may fail to provide us with sufficient control of or access to such intellectual property rights. For example, agreements with these academic institutions typically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 CROs and/or CMOs may control certain technologies that were utilized in and/or developed through work on our behalf, and may not pursue protection of such technologies, or may provide us with only non-exclusive rights in such technologies, so that relevant technologies may be shared with other parties including our competitors. In any relationship with a third party, there is a risk of disagreement over intellectual property rights (including inventorship or ownership of, rights to protect and/or enforce, and/or rights to use) in utilized or developed technologies.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998220"/>
                <wp:effectExtent l="0" t="0" r="0" b="0"/>
                <wp:wrapNone/>
                <wp:docPr id="422" name="Frame14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23"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78" descr=""/>
                          <pic:cNvPicPr>
                            <a:picLocks noChangeAspect="1" noChangeArrowheads="1"/>
                          </pic:cNvPicPr>
                        </pic:nvPicPr>
                        <pic:blipFill>
                          <a:blip r:embed="rId27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24"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79" descr=""/>
                          <pic:cNvPicPr>
                            <a:picLocks noChangeAspect="1" noChangeArrowheads="1"/>
                          </pic:cNvPicPr>
                        </pic:nvPicPr>
                        <pic:blipFill>
                          <a:blip r:embed="rId28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lifespans of our patents may not be sufficient to effectively protect our products or product candidates, technologies and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Patents have a limited lifespan. In the United States, the natural expiration of a patent is generally 20 years after its first effective non-provisional filing date, assuming maintenance fees are timely paid after the patent has issued. Most other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The USPTO can also require, in certain circumstances, that the expiration date of a subject patent be shortened by the filing of a terminal disclaimer over one or more patents that may expire sooner than the subject patent.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we do not obtain patent term extension and data exclusivity for any product candidates we may develop, our business may be materially harmed.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for a drug product subject to the provisions of the Hatch-Waxman Act. A patent term extension cannot extend the remaining term of a patent beyond a total of 14 years from the date of product approval, only one patent may be extended and only those claims covering the approved drug, a method for using it, or a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998220"/>
                <wp:effectExtent l="0" t="0" r="0" b="0"/>
                <wp:wrapNone/>
                <wp:docPr id="425" name="Frame14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139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26"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80" descr=""/>
                          <pic:cNvPicPr>
                            <a:picLocks noChangeAspect="1" noChangeArrowheads="1"/>
                          </pic:cNvPicPr>
                        </pic:nvPicPr>
                        <pic:blipFill>
                          <a:blip r:embed="rId28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27"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281" descr=""/>
                          <pic:cNvPicPr>
                            <a:picLocks noChangeAspect="1" noChangeArrowheads="1"/>
                          </pic:cNvPicPr>
                        </pic:nvPicPr>
                        <pic:blipFill>
                          <a:blip r:embed="rId28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did not extend any patent for our COVID-19 vaccine.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we fail to comply, or are viewed to have failed to comply, with our obligations in the agreements under which we license intellectual property rights from third parties or otherwise experience disruptions to our business relationships with our licensors or other third parties, we could lose license rights that are important to our business or suffer monetary losses.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are heavily reliant upon licenses to certain intellectual property and other proprietary rights from third parties that are important or necessary to the development and commercialization of our technology and product(s) or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test, or commercialize our technology and products in the future. As a result, we may not be able to prevent competitors from developing and commercializing competitive products in territories included in any or all of our licenses.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Where we obtain licenses from, or collaborate with, third parties, in some circumstances we may not have the right to control the preparation, filing, prosecution, maintenance, enforcement and defense of patents and patent applications covering the technology that we license from, or that arises through collaboration with, such third parties, or such activities, if controlled by us, may require the input of such third parties. In some cases, patent prosecution (including preparation and filing) of our in-licensed intellectual property or of intellectual property developed through collaboration, is controlled solely by the licensor or collaborator. We may also require the agreement and/or cooperation of our licensors and collaborators to protect, enforce, utilize, or defend any in-licensed patent rights, and such agreement and/or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If we and our licensors or collaborators disagree over IP protection strategies for relevant technologies, disputes may arise, and we could lose access to or control over protection of technologies important to our business. If so, we may not be able to adequately protect our product(s) or product candidates, including not being able to prevent a competitor or other third party from developing the same product(s) or product candidates for the same or a different use. Any of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998220"/>
                <wp:effectExtent l="0" t="0" r="0" b="0"/>
                <wp:wrapNone/>
                <wp:docPr id="428" name="Frame14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29"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82" descr=""/>
                          <pic:cNvPicPr>
                            <a:picLocks noChangeAspect="1" noChangeArrowheads="1"/>
                          </pic:cNvPicPr>
                        </pic:nvPicPr>
                        <pic:blipFill>
                          <a:blip r:embed="rId28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30"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83" descr=""/>
                          <pic:cNvPicPr>
                            <a:picLocks noChangeAspect="1" noChangeArrowheads="1"/>
                          </pic:cNvPicPr>
                        </pic:nvPicPr>
                        <pic:blipFill>
                          <a:blip r:embed="rId28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foregoing could have a material adverse effect on our competitive position, business, financial conditions, results of operations and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Moreover, we may disagree from time to time with licensors or collaborators regarding, among other things, the interpretation of each party’s obligations or the amounts payable under our agreements. For example, on December 20, 2024, we entered into a Settlement Agreement with the National Institutes of Health, or NIH, pursuant to which we agreed, among other things, to pay $791.5 million to the NIH to settle disputes concerning royalties and other related amounts allegedly owed on sales of our COVID-19 vaccine since commercialization. Additionally, on March 27, 2025, we entered into a Settlement Agreement with the University of Pennsylvania, or UPenn, pursuant to which we agreed, among other things, to pay up to $467.0 million to UPenn to settle disputes concerning royalties and other related amounts allegedly owed on sales of our COVID-19 vaccine since commercialization. For more information regarding our settlements with the NIH and UPenn, see Note 12.2 of our consolidated financial statements included in our Annual Report on Form 20-F as of and for the year ended December 31, 2025, as amended.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we are found to have failed to satisfy obligations or materially breached any of our agreements, such as licenses to third-party intellectual or any disagreements between us and our licensors, a licensor could potentially have the right or reason to terminate the license or to exercise the option of a non-exclusive license, which would allow our competitors to have access to the same intellectual property and technology licensed to us. Our existing license agreements impose, and we expect that future license agreements will impose, various diligence, milestone and royalty payment, exclusivity and other obligations on us. If we fail to comply with our obligations under these agreements, including royalty payments, or we are subject to a bankruptcy, the licensor may have the right to terminate the license agreement, in which event we would not be able to develop, market and commercialize product(s) or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test and commercialize the product(s) or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rightfully terminated, or if the underlying patents or other intellectual property fail to provide the intended exclusivity, competitors would have the freedom to seek regulatory approval of, and to market and commercialize, products similar or identical to ours, and our licensors may be able to seek additional judicial remedies.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 Failure to prevail with respect to any contractual disagreements could result in a material adverse effect on our competitive position, business, financial conditions, results of operations or prospects, particularly if discussions result in legal or other dispute resolution proceedings.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998220"/>
                <wp:effectExtent l="0" t="0" r="0" b="0"/>
                <wp:wrapNone/>
                <wp:docPr id="431" name="Frame14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32"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84" descr=""/>
                          <pic:cNvPicPr>
                            <a:picLocks noChangeAspect="1" noChangeArrowheads="1"/>
                          </pic:cNvPicPr>
                        </pic:nvPicPr>
                        <pic:blipFill>
                          <a:blip r:embed="rId28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33"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285" descr=""/>
                          <pic:cNvPicPr>
                            <a:picLocks noChangeAspect="1" noChangeArrowheads="1"/>
                          </pic:cNvPicPr>
                        </pic:nvPicPr>
                        <pic:blipFill>
                          <a:blip r:embed="rId28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develop, test, market and commercialize our product(s) or product candidates could suffer. Moreover, if disputes over intellectual property that we have in-licensed prevent or impair our ability to maintain our current licensing arrangements on commercially acceptable terms, we may be unable to successfully develop, test, market and commercialize the affected product(s) or product candidates, which could have a material adverse effect on our business, financial condition, results of operations and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Certain intellectual property rights that have been in-licensed, including patent applications and patents that we in-license from UPenn, the Louisiana State University, the Broad Institute, the NIH, Genevant, and CellScript, have been generated through the use of U.S. government funding and are therefore subject to certain federal regulations. The U.S. government may have certain rights to intellectual property embodied in our current or future product candidates pursuant to the Bayh-Dole Act of 1980, or the Bayh-Dole Act. These U.S. government rights may include a non-exclusive, non-transferable, irrevocable worldwide license to use inventions covered by that Act for any governmental purpose. In addition, the U.S. government may have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may also have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the U.S. government requires that any products embodying any such inventions or produced through the use of any such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or our licensors are unable to secure an exemption to these manufacturing requirements, if we comply with them, or if we are unable to comply with them, we may experience a material adverse effect on our competitive position, business, financial conditions, results of operations and prospects.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998220"/>
                <wp:effectExtent l="0" t="0" r="0" b="0"/>
                <wp:wrapNone/>
                <wp:docPr id="434" name="Frame14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35"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86" descr=""/>
                          <pic:cNvPicPr>
                            <a:picLocks noChangeAspect="1" noChangeArrowheads="1"/>
                          </pic:cNvPicPr>
                        </pic:nvPicPr>
                        <pic:blipFill>
                          <a:blip r:embed="rId28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36"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87" descr=""/>
                          <pic:cNvPicPr>
                            <a:picLocks noChangeAspect="1" noChangeArrowheads="1"/>
                          </pic:cNvPicPr>
                        </pic:nvPicPr>
                        <pic:blipFill>
                          <a:blip r:embed="rId28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current proprietary position for certain products and product candidates depends upon our owned or in-licensed patent filings covering components, manufacturing-related methods, formulations and/or methods of use, which may not adequately prevent a competitor or other third party from using the same product candidate for the same or a different use.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Composition of matter patent protection is generally considered to be desirable because it provides protection without regard to any particular method of use or manufacture or formulation. While we have pursued or obtained patent protection covering components of certain product candidates and tests, manufacturing-related methods, formulations and/or methods of use, we have not yet obtained patent protection for all components of certain product candidates and tests, manufacturing-related methods, formulations and/or methods of use. For instance, we do not currently have any claims in our owned or in-licensed issued U.S. patents that cover the overall construct used in our iNeST product candidates. We also cannot be certain that claims in any future patents issuing from our pending owned or in-licensed patent applications or our future owned or in-licensed patent applications will cover the composition of matter, tests, manufacturing-related methods, formulations and/or methods of use of our current or future product candidates. Method of use patents protect the use of a product for the specified method and formulation patents cover formulations to deliver therapeutics. These types of patents do not prevent a competitor or other third party from developing, testing,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 </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Intellectual property rights of third parties could adversely affect our ability to commercialize our product(s) and product candidates, and we might be required to litigate or obtain licenses from third parties in order to develop, test or market our product(s) and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Because our products and product candidates are still in early stages of development, testing or commercialization, and one or more features of the products or product candidates, or related technologies such as their manufacture, formulation, testing or use, may still change, we cannot be confident that we are aware of all third-party intellectual property that might be relevant to products that we eventually hope to commercialize. Furthermore, even if all aspects of our product(s) or product candidates, or of other technology, were known, it is possible that third-party intellectual property, which may or may not currently be public, could develop in a manner (for example, through issuance of additional patents) that could impede our ability to make or use relevant products or product candidates, or other technology.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or BLA is submitted. Accordingly, after such submission (including for certain formulations of our COVID-19 vaccine), the 271(e)(1) safe harbor may no longer provide the same level of protection from third party patent infringement claims for that product. We may become exposed to lawsuits from third parties who consider our COVID-19 vaccine to infringe their patents. More generally, given the uncertainty of clinical trials, we cannot be certain of the timing of their completion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998220"/>
                <wp:effectExtent l="0" t="0" r="0" b="0"/>
                <wp:wrapNone/>
                <wp:docPr id="437" name="Frame15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38"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88" descr=""/>
                          <pic:cNvPicPr>
                            <a:picLocks noChangeAspect="1" noChangeArrowheads="1"/>
                          </pic:cNvPicPr>
                        </pic:nvPicPr>
                        <pic:blipFill>
                          <a:blip r:embed="rId28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39"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89" descr=""/>
                          <pic:cNvPicPr>
                            <a:picLocks noChangeAspect="1" noChangeArrowheads="1"/>
                          </pic:cNvPicPr>
                        </pic:nvPicPr>
                        <pic:blipFill>
                          <a:blip r:embed="rId29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and it is possible that we might want to submit an NDA or BLA at a time when one or more relevant third-party patents is in force. Thus, it is possible that at the time that we commercialize our product candidates, one or more third parties may have issued patent claims that cover such products or critical features of their production, testing or use. We may not be able to commercialize our products if patents issued to third parties or other third-party intellectual property rights cover, or may be alleged to cover, our products or elements thereof, or their methods of manufacture, testing or use at the time that we seek to commercialize them. In such cases, we may not be in a position to develop, test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licenses could not be available on commercially reasonable terms or at all, and design-around could be prohibitively expensive or impossible.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Additionally, with respect to our products, product candidates and related technologies that may play a role in addressing a pandemic or other public health emergency, it is unclear whether governments around the world will protect vaccine manufacturers for liability from infringement of third party intellectual property, at least during the period of such public health emergency. Thus, it is possible that third parties may assert intellectual property rights against us relating to our COVID-19 vaccine, and that we will not be successful in arguing that commercialization of our COVID-19 vaccine is exempted from infringement and/or liability for infringement (for example, under 35 U.S.C. § 271(e)(1), discussed above, or under the Public Readiness and Emergency Preparedness Act, or the PREP Act, etc.). Furthermore, even if such commercialization was deemed protected from infringement during the period of the pandemic crisis, now that various global and U.S. agencies have declared an end to the global COVID-19 public health emergency, any such exemption may be terminated so that continuing commercialization could expose us to liability, and might even be precluded if third party(ies) who hold relevant intellectual property rights are able to secure injunction(s) or are unwilling to license to us on commercially feasible terms.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It is also possible that we have failed to identify relevant third-party patents that cover, or applications that will mature into patents that cover, one or more aspects of our platform or product(s) and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be involved in lawsuits or other legal proceedings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There is a substantial amount of litigation, both within and outside the United States, involving patent and other intellectual property rights in the biotechnology and pharmaceutical industries, including patent infringement lawsuits, interferences, oppositions, ex parte reexaminations, post-grant review, and inter partes review proceedings before the USPTO and corresponding European and other non-U.S. patent offices.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998220"/>
                <wp:effectExtent l="0" t="0" r="0" b="0"/>
                <wp:wrapNone/>
                <wp:docPr id="440" name="Frame15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41"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90" descr=""/>
                          <pic:cNvPicPr>
                            <a:picLocks noChangeAspect="1" noChangeArrowheads="1"/>
                          </pic:cNvPicPr>
                        </pic:nvPicPr>
                        <pic:blipFill>
                          <a:blip r:embed="rId29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42"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91" descr=""/>
                          <pic:cNvPicPr>
                            <a:picLocks noChangeAspect="1" noChangeArrowheads="1"/>
                          </pic:cNvPicPr>
                        </pic:nvPicPr>
                        <pic:blipFill>
                          <a:blip r:embed="rId29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inter partes review proceedings against issued U.S. patents and opposition proceedings against European patents owned by third parties. We have a number of opposition proceedings ongoing at the EPO against third-party patents related to mRNA technologies. As the biotechnology and pharmaceutical industries expand and more patents are issued, the risk increases that our products, product candidates and services may be subject to claims of infringement of the patent rights of third parties.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 enforce a patent directed at one of our product(s) and/or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novelty, non-obviousness, enablement or written description.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 product and/or product candidate. Such a loss of patent protection would have a material adverse impact on our competitive position, business, financial conditions, results of operations and prospects.</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Third parties, including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testing, methods of manufacture or methods for treatment related to the use, development, testing, manufacture or commercialization of our COVID-19 vaccine or product candidates. For example, BioNTech SE and certain of our wholly owned subsidiaries are or recently have been defendants in litigations initiated by Bayer/Monsanto, Moderna, Arbutus, Genevant, GSK, and Promosome regarding </w:t>
      </w:r>
      <w:r>
        <w:rPr>
          <w:rFonts w:ascii="Neue Haas Grotesk Display Pro 45 Light;serif" w:hAnsi="Neue Haas Grotesk Display Pro 45 Light;serif"/>
          <w:b w:val="false"/>
          <w:i/>
          <w:color w:val="080509"/>
          <w:sz w:val="20"/>
        </w:rPr>
        <w:t>Comirnaty</w:t>
      </w:r>
      <w:r>
        <w:rPr>
          <w:rFonts w:ascii="Neue Haas Grotesk Display Pro 45 Light;serif" w:hAnsi="Neue Haas Grotesk Display Pro 45 Light;serif"/>
          <w:b w:val="false"/>
          <w:color w:val="080509"/>
          <w:sz w:val="20"/>
        </w:rPr>
        <w:t xml:space="preserve">. See “Legal Proceedings.” As patent applications can take many years to issue, there may be currently pending patent applications which may later result in issued patents that our product(s) and/or product candidates may infringe. In addition, third parties may obtain patents in the future and claim that our technologies infringe upon these patents. If any third-party patents were held by a court of competent jurisdiction to cover the testing or manufacturing processes of any of our product(s) and/or product candidates, any molecules formed during the testing and manufacturing processes or any final product itself, the holders of any such patents may obtain injunctive or other equitable relief, which could effectively block our ability to develop, test and commercialize such product and/or product candidate unless we obtained a license under the applicable patents, or until such patents expire. Similarly, if any third-party patents were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998220"/>
                <wp:effectExtent l="0" t="0" r="0" b="0"/>
                <wp:wrapNone/>
                <wp:docPr id="443" name="Frame15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44"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92" descr=""/>
                          <pic:cNvPicPr>
                            <a:picLocks noChangeAspect="1" noChangeArrowheads="1"/>
                          </pic:cNvPicPr>
                        </pic:nvPicPr>
                        <pic:blipFill>
                          <a:blip r:embed="rId29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45"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293" descr=""/>
                          <pic:cNvPicPr>
                            <a:picLocks noChangeAspect="1" noChangeArrowheads="1"/>
                          </pic:cNvPicPr>
                        </pic:nvPicPr>
                        <pic:blipFill>
                          <a:blip r:embed="rId29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held by a court of competent jurisdiction to cover aspects of our formulations, processes for testing or manufacture or methods of use, including combination therapy, the holders of any such patents may be able to block our ability to develop, test and commercialize the applicable product and/or product candidate unless we obtained a license or until such patent expires. In either case, such a license may not be available on commercially reasonable terms, or at all, or may be non-exclusive.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technical personnel and other employees. In addition, the uncertainties associated with litigation could have a material adverse effect on our ability to raise the funds we need to continue our clinical trials and research programs, to license necessary technology from third parties or to enter into development or manufacturing collaborations that would help us bring our product(s) and/or product candidates to market.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Even if resolved in our favor, litigation or other legal proceedings relating to our intellectual property rights may cause us to incur significant expenses, and could distract our management, technical personnel and other employees from their normal responsibilities.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such proceedings more effectively than we can because of their greater resources in one or more aspects, or for other reasons. Uncertainties resulting from the initiation and continuation of patent litigation or other proceedings could compromise our ability to compete in the marketplace.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product(s) and/or product candidates, which could limit our ability to generate revenues or achieve or maintain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998220"/>
                <wp:effectExtent l="0" t="0" r="0" b="0"/>
                <wp:wrapNone/>
                <wp:docPr id="446" name="Frame15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47"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294" descr=""/>
                          <pic:cNvPicPr>
                            <a:picLocks noChangeAspect="1" noChangeArrowheads="1"/>
                          </pic:cNvPicPr>
                        </pic:nvPicPr>
                        <pic:blipFill>
                          <a:blip r:embed="rId29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48"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95" descr=""/>
                          <pic:cNvPicPr>
                            <a:picLocks noChangeAspect="1" noChangeArrowheads="1"/>
                          </pic:cNvPicPr>
                        </pic:nvPicPr>
                        <pic:blipFill>
                          <a:blip r:embed="rId29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the price of the ADSs representing our ordinary shares could decline.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Obtaining and maintaining our patent protection depends on compliance with various procedural, document submission, fee payment and other requirements imposed by governmental patent agencies, and our patent protection could be reduced or eliminated for non- compliance with these requirements.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Changes in patent law in the United States or in other countries could diminish the value of patents in general, thereby impairing our ability to protect our products.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have affected the way patent applications are prosecuted and also affect patent litigation. Such legislation and its implementation could increase the uncertainties and costs surrounding the prosecution of our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998220"/>
                <wp:effectExtent l="0" t="0" r="0" b="0"/>
                <wp:wrapNone/>
                <wp:docPr id="449" name="Frame15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50"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96" descr=""/>
                          <pic:cNvPicPr>
                            <a:picLocks noChangeAspect="1" noChangeArrowheads="1"/>
                          </pic:cNvPicPr>
                        </pic:nvPicPr>
                        <pic:blipFill>
                          <a:blip r:embed="rId29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51"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97" descr=""/>
                          <pic:cNvPicPr>
                            <a:picLocks noChangeAspect="1" noChangeArrowheads="1"/>
                          </pic:cNvPicPr>
                        </pic:nvPicPr>
                        <pic:blipFill>
                          <a:blip r:embed="rId29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patent applications and the enforcement or defense of our issued patents, all of which could have a material adverse effect on our business, financial condition, results of operations and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decisions by courts and governmental bodies in the United States and other jurisdictions may affect the value of patent applications, issued patents or other intellectual property that we own or in-license. For example,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the USPTO and other administrative agencies,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we are unable to protect the confidentiality of our trade secrets, our business and competitive position would be harmed.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to seeking patent protection for some of our technology, product(s)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development, testing, manufacturing and commercialization processes that involve proprietary know-how, information or technology that is not covered by patents. However, trade secrets and know-how may be difficult to protect.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seek to protect these trade secrets, know-how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To the extent we become involved in litigation that may require discovery of our trade secrets, know-how and other proprietary technology, we seek to secure protective orders from the court that bind the parties with access to the discovered information. Despite our best efforts, we cannot be certain that our trade secrets and other confidential proprietary information will not be disclosed or that competitors will not otherwise gain access to our trade secrets or independently develop substantially equivalent information and techniques. Any of these parties who may have access to our trade secrets, know-how and other proprietary technology may breach such agreements or orders. For example, a former employee of our COVID-19 vaccine collaborator, Pfizer, has reportedly misappropriated trade secrets on our COVID-19 vaccine.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In addition, we cannot be certain that our proprietary technical information and related confidential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998220"/>
                <wp:effectExtent l="0" t="0" r="0" b="0"/>
                <wp:wrapNone/>
                <wp:docPr id="452" name="Frame15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53"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98" descr=""/>
                          <pic:cNvPicPr>
                            <a:picLocks noChangeAspect="1" noChangeArrowheads="1"/>
                          </pic:cNvPicPr>
                        </pic:nvPicPr>
                        <pic:blipFill>
                          <a:blip r:embed="rId29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54"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99" descr=""/>
                          <pic:cNvPicPr>
                            <a:picLocks noChangeAspect="1" noChangeArrowheads="1"/>
                          </pic:cNvPicPr>
                        </pic:nvPicPr>
                        <pic:blipFill>
                          <a:blip r:embed="rId30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documents that we have shared with our collaborators and/or have submitted to governmental agencies, including regulatory agencies, for evaluation and supervision of pharmaceutical products will be kept confidential. For example, certain documents relating to our COVID-19 vaccine were unlawfully accessed after a cyberattack on the EMA in December 2020.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may not be able to establish or maintain a competitive advantage in our market, which could materially adversely affect our business, operating results, financial condition and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be subject to claims that we have wrongfully hired an employee from a competitor, or that our employees, consultants or independent contractors have wrongfully used or disclosed confidential information of third parties, including alleged trade secrets of their former employers.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technical personnel and other employees. Claims that we or our employees, consultants or advisors have misappropriated the confidential or proprietary information, trade secrets or know-how of third parties could have a material adverse effect on our business, financial condition, results of operations and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be subject to claims challenging the inventorship or ownership of our patents and other intellectual property.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the future, we may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In addition, certain such agreements, even if successfully executed may distribute ownership or control of intellectual property rights between or among parties, for example based on subject matter, relationship to other intellectual property, and/or one or more aspects of development of the intellectual property; after the agreements are in place disputes may arise over such distribution principles or over proper treatment of particular developed intellectual property in accordance with them. Disagreements may be difficult or impossible to resolve, may be expensive to address, and may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998220"/>
                <wp:effectExtent l="0" t="0" r="0" b="0"/>
                <wp:wrapNone/>
                <wp:docPr id="455" name="Frame15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149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56"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300" descr=""/>
                          <pic:cNvPicPr>
                            <a:picLocks noChangeAspect="1" noChangeArrowheads="1"/>
                          </pic:cNvPicPr>
                        </pic:nvPicPr>
                        <pic:blipFill>
                          <a:blip r:embed="rId30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57"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301" descr=""/>
                          <pic:cNvPicPr>
                            <a:picLocks noChangeAspect="1" noChangeArrowheads="1"/>
                          </pic:cNvPicPr>
                        </pic:nvPicPr>
                        <pic:blipFill>
                          <a:blip r:embed="rId30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result in our failing to secure or maintain ownership in or control of intellectual property necessary or important to our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assignment of intellectual property rights may not be self-executing, or the assignment agreements may be breached. For example, we may have inventorship or ownership disputes arise from conflicting obligations of employees, consultants, independent contractors, collaborators or other third parties who are involved in developing and commercializing our product(s) and/or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technical personnel and other employees.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Furthermore, the laws of some other countries do not protect intellectual property and other proprietary rights or establish ownership of inventions to the same extent or in the same manner as the U.S. laws. A majority of our employees work in Germany and are subject to German employment law. Ideas, developments, discoveries and inventions made by such employees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technical personnel’s and other employees’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will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Filing, prosecuting and defending patents on product(s) and/or product candidates in all countries throughout the world would be prohibitively expensive, and our intellectual property rights in some countries outside the United States, particularly those in Asia, including China,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to the same extent as within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998220"/>
                <wp:effectExtent l="0" t="0" r="0" b="0"/>
                <wp:wrapNone/>
                <wp:docPr id="458" name="Frame15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59"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302" descr=""/>
                          <pic:cNvPicPr>
                            <a:picLocks noChangeAspect="1" noChangeArrowheads="1"/>
                          </pic:cNvPicPr>
                        </pic:nvPicPr>
                        <pic:blipFill>
                          <a:blip r:embed="rId30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60"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303" descr=""/>
                          <pic:cNvPicPr>
                            <a:picLocks noChangeAspect="1" noChangeArrowheads="1"/>
                          </pic:cNvPicPr>
                        </pic:nvPicPr>
                        <pic:blipFill>
                          <a:blip r:embed="rId30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may compete with our product(s) and/or product candidates, and our patents or other intellectual property rights may not be effective or sufficient to prevent them from competing.</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Many companies have encountered significant problems in protecting and defending intellectual property rights in certain jurisdictions, particularly outside of Europe and the United States.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testing, marketing and commercialization of competing products in violation of our owned or in-licensed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 In particular, the validity, enforceability and scope of protection of intellectual property in China, where we derive net sales and maintain collaboration partnerships including licensing, are still evolving and historically, have not protected and may not protect in the future, intellectual property rights to the same extent as laws developed in Europe, including Germany, and the United States. Consequently, the time required to enforce our intellectual property rights in the legal regime of China may be lengthy and delay our recovery.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our trademarks and trade names are not adequately protected, we may not be able to build name recognition in our markets of interest and our business may be adversely affected.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or collaborators may fail to use our trade names or trademarks appropriately or at all,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adversely affected. We may license our trademarks and trade names to third parties, such as distributors and collaborators. Though these license agreements may provide guidelines for how our trademarks and trade names may be used, a breach of these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998220"/>
                <wp:effectExtent l="0" t="0" r="0" b="0"/>
                <wp:wrapNone/>
                <wp:docPr id="461" name="Frame15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62"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304" descr=""/>
                          <pic:cNvPicPr>
                            <a:picLocks noChangeAspect="1" noChangeArrowheads="1"/>
                          </pic:cNvPicPr>
                        </pic:nvPicPr>
                        <pic:blipFill>
                          <a:blip r:embed="rId30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63"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305" descr=""/>
                          <pic:cNvPicPr>
                            <a:picLocks noChangeAspect="1" noChangeArrowheads="1"/>
                          </pic:cNvPicPr>
                        </pic:nvPicPr>
                        <pic:blipFill>
                          <a:blip r:embed="rId30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agreements or misuse or failure to 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Intellectual property rights do not necessarily address all potential threats to our competitive advantage.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others may be able to make COVID-19 vaccines or therapies, and/or individualized cancer immunotherapies that are similar to our COVID-19 vaccine and/or any product candidates we may develop and commercialize or utilize similar technologies that are not covered by the claims of the patents that we now or may in the future own or have exclusively in-licensed;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our co-owners or our licensors or future collaborators might not have been the first to make the inventions covered by the issued patents or pending patent applications that we own or have exclusively in-licensed;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our co-owners or our licensors or future collaborators might not have been the first to file patent applications covering certain of our or their inventions;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others may independently develop similar or alternative technologies or duplicate any of our technologies without infringing our owned or in-licensed intellectual property rights;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it is possible that our pending patent applications or those that we may own or in-license in the future will not lead to issued patents;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claims of issued patents that we own or have exclusively in-licensed may be held invalid or unenforceable, including as a result of legal challenges by our competitors;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competitors might conduct research, development, testing or commercialization activities in countries where we do not have patent rights and then use the information learned from such activities to develop competitive products for sale in our major commercial markets;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not develop additional proprietary technologies that are patentable;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the patents of others may have an adverse effect on our business; and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choose not to file a patent in order to maintain certain trade secrets or know-how, and a third party may subsequently file a patent covering such intellectual property.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Should any of these events occur, they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998220"/>
                <wp:effectExtent l="0" t="0" r="0" b="0"/>
                <wp:wrapNone/>
                <wp:docPr id="464" name="Frame15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65"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306" descr=""/>
                          <pic:cNvPicPr>
                            <a:picLocks noChangeAspect="1" noChangeArrowheads="1"/>
                          </pic:cNvPicPr>
                        </pic:nvPicPr>
                        <pic:blipFill>
                          <a:blip r:embed="rId30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66"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307" descr=""/>
                          <pic:cNvPicPr>
                            <a:picLocks noChangeAspect="1" noChangeArrowheads="1"/>
                          </pic:cNvPicPr>
                        </pic:nvPicPr>
                        <pic:blipFill>
                          <a:blip r:embed="rId30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Risks Related to Government Regulation</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not be able to develop or obtain approval for companion diagnostics required for commercialization of some of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Administration of some of our product candidates may require the use of immuno-assays and bioinformatic tools in which patients are screened for optimal target antigens of our product candidates. If safe and effective use of a biologic product depends on an in vitro diagnostic, then the FDA generally requires approval or clearance of the diagnostic, known as a companion diagnostic, concurrently with approval of the therapeutic product. To date, the FDA has generally required in vitro companion diagnostics intended to select the patients who will respond to cancer treatment to obtain a pre-market approval, or PMA, for that diagnostic, which can take up to several years, simultaneously with approval of the biologic product. Similarly, in the European Union, an in vitro companion diagnostic may be placed on the market only if it conforms to certain “essential requirements” and bears the Conformité Européene Mark, or CE Mark. The conformity assessment process to obtain the CE Mark can be lengthy and we may fail to demonstrate such conformity. Further, the applicable regulatory framework for in vitro diagnostics in the EU changed in May 2022 when a new EU regulation with stricter regulatory requirements for in vitro diagnostics became applicable. Under the regulation, all new in vitro companion diagnostics must undergo conformity assessment by a notified body prior to obtaining their CE Mark.</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For our individualized immunotherapy candidates, the FDA and comparable regulatory authorities outside of the United States may require the development and regulatory approval of a companion diagnostic assay as a condition to approval. The FDA may require original or supplemental PMA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 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Because we are developing some of our product candidates for the treatment of diseases in which there is little clinical experience and, in some cases, using new endpoints or methodologies, the FDA, the EMA or other regulatory authorities may not consider the endpoints of our clinical trials to provide clinically meaningful results.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998220"/>
                <wp:effectExtent l="0" t="0" r="0" b="0"/>
                <wp:wrapNone/>
                <wp:docPr id="467" name="Frame16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68"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308" descr=""/>
                          <pic:cNvPicPr>
                            <a:picLocks noChangeAspect="1" noChangeArrowheads="1"/>
                          </pic:cNvPicPr>
                        </pic:nvPicPr>
                        <pic:blipFill>
                          <a:blip r:embed="rId30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69"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309" descr=""/>
                          <pic:cNvPicPr>
                            <a:picLocks noChangeAspect="1" noChangeArrowheads="1"/>
                          </pic:cNvPicPr>
                        </pic:nvPicPr>
                        <pic:blipFill>
                          <a:blip r:embed="rId31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jurisdictions may make similar findings with respect to these endpoints.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FDA, the EMA or other comparable regulatory authorities may disagree with our regulatory plan and we may fail to obtain regulatory approval of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the results of our clinical trials are sufficiently compelling, we or our collaborators intend to discuss with the FDA and regulatory authorities in other countries the submission of a BLA or respective applications in other countries for our product candidates. However, we do not have any agreement or guidance from the FDA that our regulatory development plans will be sufficient for submission of a BLA for any of our product candidates. The FDA, the EMA or other regulatory agencies may grant accelerated approval for our product candidates and, as a condition for accelerated approval, the FDA, the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the EMA or other regulatory agencies that are more accelerated than those available for regular approvals. In addition, the standard of care may change with the approval of new products in the same indications that we are studying. This may result in the FDA, the EMA or other regulatory agencies requesting additional studies to show that our product candidate is superior to the new products.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clinical trial results may also not support approval. In addition, our product candidates could fail to receive regulatory approval for many reasons, including the following: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FDA, the EMA or comparable regulatory authorities may disagree with the design or implementation of our clinical trials;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be unable to demonstrate to the satisfaction of the FDA, the EMA or comparable regulatory authorities that our product candidates are safe and effective for any of their proposed indications;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results of clinical trials may not meet the level of statistical significance required by the FDA, the EMA or comparable regulatory authorities for approval, including due to the heterogeneity of patient populations;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be unable to demonstrate that our product candidates’ clinical and other benefits outweigh their safety risks;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998220"/>
                <wp:effectExtent l="0" t="0" r="0" b="0"/>
                <wp:wrapNone/>
                <wp:docPr id="470" name="Frame16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71"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310" descr=""/>
                          <pic:cNvPicPr>
                            <a:picLocks noChangeAspect="1" noChangeArrowheads="1"/>
                          </pic:cNvPicPr>
                        </pic:nvPicPr>
                        <pic:blipFill>
                          <a:blip r:embed="rId31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72"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311" descr=""/>
                          <pic:cNvPicPr>
                            <a:picLocks noChangeAspect="1" noChangeArrowheads="1"/>
                          </pic:cNvPicPr>
                        </pic:nvPicPr>
                        <pic:blipFill>
                          <a:blip r:embed="rId31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FDA, the EMA or comparable regulatory authorities may disagree with our interpretation of data from preclinical studies or clinical trials;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data collected from clinical trials of our product candidates may not be sufficient to the satisfaction of the FDA, the EMA or comparable regulatory authorities to support the submission of a BLA or other comparable submissions or to obtain regulatory approval in the United States or elsewhere;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FDA, the EMA or comparable regulatory authorities will inspect our manufacturing facilities and may not approve our facilities or our manufacturing processes and controls;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approval policies or regulations of the FDA, the EMA or comparable regulatory authorities may significantly change in a manner rendering our clinical data insufficient for approval;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appointees of the presidential administration in the United States may seek to change regulatory requirements for the approval of products or the approach to the review of product applications.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not be able to file INDs with the FDA, clinical trial applications with the competent authorities of the member states of the European Union or similar applications with other comparable regulatory authorities to commence additional clinical trials on the timelines we expect, and even if we are able to, one or more of these regulatory authorities may not permit us to proceed.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timing of filing on our product candidates is dependent on further preclinical, clinical and manufacturing success. We cannot be sure that submission of an IND or IND amendment with the FDA, a clinical trial application with the regulatory authorities of the EU member states or similar application with other comparable regulatory authorities will result in the FDA, the regulatory authorities of the EU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strategy includes filing for Orphan Drug Designation where available for our product candidates. Under the U.S.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998220"/>
                <wp:effectExtent l="0" t="0" r="0" b="0"/>
                <wp:wrapNone/>
                <wp:docPr id="473" name="Frame16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74"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312" descr=""/>
                          <pic:cNvPicPr>
                            <a:picLocks noChangeAspect="1" noChangeArrowheads="1"/>
                          </pic:cNvPicPr>
                        </pic:nvPicPr>
                        <pic:blipFill>
                          <a:blip r:embed="rId31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75"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313" descr=""/>
                          <pic:cNvPicPr>
                            <a:picLocks noChangeAspect="1" noChangeArrowheads="1"/>
                          </pic:cNvPicPr>
                        </pic:nvPicPr>
                        <pic:blipFill>
                          <a:blip r:embed="rId31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superiority to the product with orphan drug exclusivity or where the original manufacturer is unable to assure sufficient product quantity. Similar rules apply in the European Union with respect to drugs or biologics designated as orphan medicinal products.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protect the product effectively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seek Breakthrough Therapy or Fast 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 Although priority review shortens the goal date by which FDA intends to decide on an application, it does not guarantee any particular action by FDA, or even FDA action by that date.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may also seek Fast Track Designation in the United States for some of our product candidates. If a therapy is intended for the treatment of a serious or life-threatening condition and the therapy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998220"/>
                <wp:effectExtent l="0" t="0" r="0" b="0"/>
                <wp:wrapNone/>
                <wp:docPr id="476" name="Frame16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77"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314" descr=""/>
                          <pic:cNvPicPr>
                            <a:picLocks noChangeAspect="1" noChangeArrowheads="1"/>
                          </pic:cNvPicPr>
                        </pic:nvPicPr>
                        <pic:blipFill>
                          <a:blip r:embed="rId31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78"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315" descr=""/>
                          <pic:cNvPicPr>
                            <a:picLocks noChangeAspect="1" noChangeArrowheads="1"/>
                          </pic:cNvPicPr>
                        </pic:nvPicPr>
                        <pic:blipFill>
                          <a:blip r:embed="rId31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expect some of the product candidates we develop will be regulated as biologics in the United States and therefore they may be subject to competition from biosimilars approved through an abbreviated regulatory pathway.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998220"/>
                <wp:effectExtent l="0" t="0" r="0" b="0"/>
                <wp:wrapNone/>
                <wp:docPr id="479" name="Frame16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80"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316" descr=""/>
                          <pic:cNvPicPr>
                            <a:picLocks noChangeAspect="1" noChangeArrowheads="1"/>
                          </pic:cNvPicPr>
                        </pic:nvPicPr>
                        <pic:blipFill>
                          <a:blip r:embed="rId31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81"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317" descr=""/>
                          <pic:cNvPicPr>
                            <a:picLocks noChangeAspect="1" noChangeArrowheads="1"/>
                          </pic:cNvPicPr>
                        </pic:nvPicPr>
                        <pic:blipFill>
                          <a:blip r:embed="rId31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Delay or failure to obtain, or unexpected costs in obtaining, the regulatory approval necessary to bring a potential product to market could decrease our ability to generate sufficient product sales revenue to maintain our business.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be unable to obtain regulatory approval for our product candidates under applicable international regulatory requirements.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denial or delay of such approval would delay commercialization of our product candidates and adversely impact our potential to generate revenue, our business and our results of operations.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Approval by the FDA in the United States, if obtained, does not ensure approval by regulatory authorities in other countries or jurisdictions. In order to market our products or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998220"/>
                <wp:effectExtent l="0" t="0" r="0" b="0"/>
                <wp:wrapNone/>
                <wp:docPr id="482" name="Frame16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83"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318" descr=""/>
                          <pic:cNvPicPr>
                            <a:picLocks noChangeAspect="1" noChangeArrowheads="1"/>
                          </pic:cNvPicPr>
                        </pic:nvPicPr>
                        <pic:blipFill>
                          <a:blip r:embed="rId31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84"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319" descr=""/>
                          <pic:cNvPicPr>
                            <a:picLocks noChangeAspect="1" noChangeArrowheads="1"/>
                          </pic:cNvPicPr>
                        </pic:nvPicPr>
                        <pic:blipFill>
                          <a:blip r:embed="rId32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the FDA approval. If we fail to comply with regulatory requirements in certain markets or to obtain and maintain required approvals, or if regulatory approvals in certain markets are delayed, our target market will be reduced and our ability to realize the full market potential of our products will be unrealized.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Certain jurisdictions may have submission requirements for drug clinical trial and marketing applications that require us or our partners to submit substantial detailed materials related to non-clinical and clinical development and manufacturing and quality control to drug regulators or testing laboratories. This can include confidential standard operating procedures or executed batch records for the production of biological products or other records or documents that set forth detailed information about the manufacturing process and the manufacturing site. If these materials are disclosed in an unauthorized manner, lost, or otherwise diverted to third parties or competitors during the application preparation process, this could negatively affect our ability to protect our intellectual property.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partners in different countries are subject to local regulatory requirements and standard on the manufacturing and distribution of drugs and the implementation of clinical and non-clinical research. These include but are not limited to good manufacturing, distribution, laboratory, clinical practice, and pharmacovigilance rules. If these companies do not comply with applicable standards, they could become the subjects of inspections, investigations and enforcement, including orders to cease the activities pending remediation that is acceptable to the government. Such an order or other similar enforcement could interfere with our clinical development and marketing activities both in that jurisdiction and others, if it impacts supply or the quality and transfer of data.</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A third-party investigational product candidate used in combination with our product candidates may be unable to obtain regulatory approval, which may delay commercialization of our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are developing several of our product candidates to be used in combination with our and third-party product candidates. Even if any product candidate we develop were to receive marketing approval or be commercialized for use in combination with other existing products, we would continue to be subject to the risks that the FDA, the EMA or comparable regulatory authorities in other jurisdictions could revoke approval of the product used in combination with our product or that safety, efficacy, manufacturing or supply issues could arise with any of those existing products. If the products or product candidates we use in combination with our product candidates are replaced as the standard of care for the indications we choose for any of our product candidates, the FDA, the EMA or comparable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product candidates that have not yet been approved for marketing by the FDA, the EMA or comparable regulatory authorities in other jurisdictions. We will not be able to market any product candidate we develop in combination with an unapproved product candidate if that unapproved product candidate does not ultimately obtain marketing approval. In addition, unapproved product candidates face the same risks described with respect to our product candidates currently in development and clinical trials, including the potential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998220"/>
                <wp:effectExtent l="0" t="0" r="0" b="0"/>
                <wp:wrapNone/>
                <wp:docPr id="485" name="Frame16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159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86"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320" descr=""/>
                          <pic:cNvPicPr>
                            <a:picLocks noChangeAspect="1" noChangeArrowheads="1"/>
                          </pic:cNvPicPr>
                        </pic:nvPicPr>
                        <pic:blipFill>
                          <a:blip r:embed="rId32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87"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321" descr=""/>
                          <pic:cNvPicPr>
                            <a:picLocks noChangeAspect="1" noChangeArrowheads="1"/>
                          </pic:cNvPicPr>
                        </pic:nvPicPr>
                        <pic:blipFill>
                          <a:blip r:embed="rId32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for serious adverse effects, delay in their clinical trials and lack of FDA, EMA or comparable regulatory authority approval.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the FDA, the EMA or comparable regulatory authorities in other jurisdictions do not approve these other product candidates or revoke their approval of, or if safety, efficacy, manufacturing or supply issues arise with, the products or product candidates we choose to evaluate in combination with any product candidate we develop, we may be unable to obtain approval of or market any product candidate we develop.</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be reverse transcribed or integrated into the genome. Consequently, we expect that our products or product candidates will have a different potential side effect profile from gene therapies because they lack risks associated with altering cell DNA irreversibly. Further, we may avail ourselves of ways of mitigating side effects in developing our products and product candidates to address safety concerns that are not available to other products or product candidates classified as gene therapies, such as lowering the dose of our products or product candidates during repeat dosing or stopping treatment to potentially ameliorate undesirable side effects.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potential future clinical hold on gene therapy products across the field due to risks associated with altering cell DNA irreversibly could apply to our mRNA product candidates irrespective of the mechanistic differences between gene therapies and mRNA.</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approved mRNA products or investigational therapies, and as a result may delay one or more of our trials or impose additional testing for long-term side effects. Any new requirements and guidelines promulgated by regulatory review agencies may have a negative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998220"/>
                <wp:effectExtent l="0" t="0" r="0" b="0"/>
                <wp:wrapNone/>
                <wp:docPr id="488" name="Frame16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89"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322" descr=""/>
                          <pic:cNvPicPr>
                            <a:picLocks noChangeAspect="1" noChangeArrowheads="1"/>
                          </pic:cNvPicPr>
                        </pic:nvPicPr>
                        <pic:blipFill>
                          <a:blip r:embed="rId32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90"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323" descr=""/>
                          <pic:cNvPicPr>
                            <a:picLocks noChangeAspect="1" noChangeArrowheads="1"/>
                          </pic:cNvPicPr>
                        </pic:nvPicPr>
                        <pic:blipFill>
                          <a:blip r:embed="rId32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COVID-19 vaccine and any other product candidates for which we receive approval or emergency use authorization are subject to continuing regulatory oversight, and we will be subject to ongoing regulatory obligations and continued regulatory review, which may result in significant additional expense. We may be subject to penalties if we fail to comply with regulatory requirements or experience unanticipated problems with our products or product candidates.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COVID-19 vaccine and any other product candidates for which we receive approval or emergency use authorization are subject to continuing regulatory oversight, including the review of additional safety information, and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Similar requirements apply to holders of (conditional) approvals in other countries. Advertising and promotional materials must comply with FDA rules and are subject to FDA review, in addition to other potentially applicable federal and state laws. In other countries outside of the United States, advertising and promotional material may be subject to similar or more onerous rules. For example, direct-to-consumer advertising of prescription medicinal products is prohibited in many jurisdictions outside of the United States, including the European Union.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we fail to comply with applicable regulatory requirements following approval of any of our product candidates, a regulatory agency may:</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issue adverse public statements about our business or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issue a warning letter asserting that we are in violation of the law;</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seek an injunction or impose civil or criminal penalties or monetary fines;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suspend or withdraw regulatory approval or revoke a license;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 xml:space="preserve">suspend any ongoing clinical studies; </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refuse to approve a pending BLA (or comparable approval) or supplements to a BLA (or comparable approval) submitted by us;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seize product; or</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refuse to allow us to enter into supply contracts, including government contracts.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998220"/>
                <wp:effectExtent l="0" t="0" r="0" b="0"/>
                <wp:wrapNone/>
                <wp:docPr id="491" name="Frame16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92"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324" descr=""/>
                          <pic:cNvPicPr>
                            <a:picLocks noChangeAspect="1" noChangeArrowheads="1"/>
                          </pic:cNvPicPr>
                        </pic:nvPicPr>
                        <pic:blipFill>
                          <a:blip r:embed="rId32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93"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325" descr=""/>
                          <pic:cNvPicPr>
                            <a:picLocks noChangeAspect="1" noChangeArrowheads="1"/>
                          </pic:cNvPicPr>
                        </pic:nvPicPr>
                        <pic:blipFill>
                          <a:blip r:embed="rId32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any of our products or product candidates cause undesirable side effects, it could delay or prevent their regulatory approval, limit their commercial potential, or result in significant negative consequences following any potential marketing approval. Products or product candidates we may develop may be associated with an adverse immune response or other serious adverse events, undesirable side effects or unexpected characteristics. In addition to serious adverse events or side effects caused by any of our products or product candidates, the administration process or related procedures also can cause undesirable side effects. If any such events occur, the clinical trials of any of our product candidates could be suspended or terminated.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if approved,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Additionally, following regulatory approval of a product candidate, the FDA or other regulatory authority could require us to adopt a REMS or a risk management plan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Furthermore, if we or others later identify undesirable side effects caused by any product that we develop, several potentially significant negative consequences could result,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regulatory authorities may suspend or withdraw approvals or revoke licenses of such product;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regulatory authorities may require additional warnings on the label;</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regulatory authorities may make unfavorable statements about the safety of our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may be required to change the way a product is administered or conduct additional clinical trials;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we could be sued and held liable for harm caused to patients and their children; and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998220"/>
                <wp:effectExtent l="0" t="0" r="0" b="0"/>
                <wp:wrapNone/>
                <wp:docPr id="494" name="Frame16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95"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326" descr=""/>
                          <pic:cNvPicPr>
                            <a:picLocks noChangeAspect="1" noChangeArrowheads="1"/>
                          </pic:cNvPicPr>
                        </pic:nvPicPr>
                        <pic:blipFill>
                          <a:blip r:embed="rId32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96"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327" descr=""/>
                          <pic:cNvPicPr>
                            <a:picLocks noChangeAspect="1" noChangeArrowheads="1"/>
                          </pic:cNvPicPr>
                        </pic:nvPicPr>
                        <pic:blipFill>
                          <a:blip r:embed="rId32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reputation may suffer.</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Any of these events could prevent us from achieving or maintaining market acceptance of any products we may identify and develop and could have a material adverse effect on our business, financial condition, results of operations and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Upon the successful approval of a product candidate, we will continue to face significant regulatory oversight of its manufacturing and distribution. Product manufacturers and their facilities are subject to payment of user fees and continual review and periodic inspections by the FDA and other regulatory authorities for compliance with GMP and adherence to commitments made in the BLA or comparable approval.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Governmental investigations and inquiries with respect to our COVID-19 vaccine and any other product candidates for which we receive approval or emergency use authorization may adversely affect our business, financial condition and results of operations.</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In April 2025, we, along with several other pharmaceutical companies, received a letter from the Chairman of the Permanent Subcommittee on Investigations of the U.S. Senate Homeland Security and Governmental Affairs Committee, or the Subcommittee, that requested certain information and documents relating to the respective COVID-19 vaccines we developed (in our case, </w:t>
      </w:r>
      <w:r>
        <w:rPr>
          <w:rFonts w:ascii="Neue Haas Grotesk Display Pro 45 Light;serif" w:hAnsi="Neue Haas Grotesk Display Pro 45 Light;serif"/>
          <w:b w:val="false"/>
          <w:i/>
          <w:color w:val="080509"/>
          <w:sz w:val="20"/>
        </w:rPr>
        <w:t>Comirnaty</w:t>
      </w:r>
      <w:r>
        <w:rPr>
          <w:rFonts w:ascii="Neue Haas Grotesk Display Pro 45 Light;serif" w:hAnsi="Neue Haas Grotesk Display Pro 45 Light;serif"/>
          <w:b w:val="false"/>
          <w:color w:val="080509"/>
          <w:sz w:val="20"/>
        </w:rPr>
        <w:t>). This and other governmental investigations or inquiries in which we may become involved may result in additional claims and lawsuits being brought against us by governmental agencies or private parties. It is not possible at this time to predict either the outcome or the potential financial impact of the congressional investigation mentioned above or any further investigations or inquiries of us that may result from such investigation. It is also not possible at this time to predict the additional expenses related to such investigation, which may be significant. The initiation of any additional investigation relating to us, the costs and expenses associated therewith, or any assertion, claim or finding of wrongdoing by us, could: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adversely affect our business, financial condition and results of operations;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result in reputational harm and reduced market acceptance and demand for our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harm our ability and our commercial partners’ ability to market our products;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harm our ability to develop our product candidates;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cause us to incur significant liabilities, costs and expenses;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cause our senior management to be distracted from execution of our business strategy.</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Furthermore, the pending congressional investigation could negatively affect our ability to raise capital and impair our ability to engage in strategic transactions.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998220"/>
                <wp:effectExtent l="0" t="0" r="0" b="0"/>
                <wp:wrapNone/>
                <wp:docPr id="497" name="Frame17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98"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328" descr=""/>
                          <pic:cNvPicPr>
                            <a:picLocks noChangeAspect="1" noChangeArrowheads="1"/>
                          </pic:cNvPicPr>
                        </pic:nvPicPr>
                        <pic:blipFill>
                          <a:blip r:embed="rId32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499"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329" descr=""/>
                          <pic:cNvPicPr>
                            <a:picLocks noChangeAspect="1" noChangeArrowheads="1"/>
                          </pic:cNvPicPr>
                        </pic:nvPicPr>
                        <pic:blipFill>
                          <a:blip r:embed="rId33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may be subject, directly or indirectly, to federal and state healthcare fraud and abuse laws, false claims laws, and other healthcare laws. If we are unable to comply, or have not fully complied, with such laws, we could face substantial penalties.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may be subject to additional healthcare regulation and enforcement by the U.S. federal government and by authorities in the United States, the European Union and other jurisdictions in which we conduct our business. Our operations may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U.S.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U.S. federal civil and criminal false claims laws and civil monetary penalty laws, which prohibit, among other things, individuals or 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U.S.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(e.g., public or private);</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HIPAA, as amended by the Health Information Technology for Economic and Clinical Health Act and their implementing regulations,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U.S. Federal Food, Drug, and Cosmetic Act, which prohibits, among other things, the adulteration or misbranding of drugs, biologics and medical devices;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U.S. Public Health Service Act, which prohibits, among other things, the introduction into interstate commerce of a biological product unless a biologics license is in effect for that product;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998220"/>
                <wp:effectExtent l="0" t="0" r="0" b="0"/>
                <wp:wrapNone/>
                <wp:docPr id="500" name="Frame17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01"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330" descr=""/>
                          <pic:cNvPicPr>
                            <a:picLocks noChangeAspect="1" noChangeArrowheads="1"/>
                          </pic:cNvPicPr>
                        </pic:nvPicPr>
                        <pic:blipFill>
                          <a:blip r:embed="rId33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02"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331" descr=""/>
                          <pic:cNvPicPr>
                            <a:picLocks noChangeAspect="1" noChangeArrowheads="1"/>
                          </pic:cNvPicPr>
                        </pic:nvPicPr>
                        <pic:blipFill>
                          <a:blip r:embed="rId33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Federal transparency laws, including the federal Physician Payment Sunshine Act, which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U.S. state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U.S. Foreign Corrupt Practices Act of 1977, as amended, which prohibits, among other things, U.S. companies and their employees and agents, as well as non-U.S. companies that are registered with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Similar statutes, healthcare laws and regulations in the European Union and other jurisdictions, including reporting requirements detailing interactions with and payments to healthcare providers.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and other jurisdictions, such as the U.K. Bribery Act 2010. Infringement of these laws could result in substantial fines and imprisonment.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Payments made to physicians in certain EU member states must be publicly disclosed. Moreover, agreements with physicians often must be the subject of prior notification and approval by the physician’s employer, his or her competent professional organization 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998220"/>
                <wp:effectExtent l="0" t="0" r="0" b="0"/>
                <wp:wrapNone/>
                <wp:docPr id="503" name="Frame17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04"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332" descr=""/>
                          <pic:cNvPicPr>
                            <a:picLocks noChangeAspect="1" noChangeArrowheads="1"/>
                          </pic:cNvPicPr>
                        </pic:nvPicPr>
                        <pic:blipFill>
                          <a:blip r:embed="rId33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05"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333" descr=""/>
                          <pic:cNvPicPr>
                            <a:picLocks noChangeAspect="1" noChangeArrowheads="1"/>
                          </pic:cNvPicPr>
                        </pic:nvPicPr>
                        <pic:blipFill>
                          <a:blip r:embed="rId33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are subject to certain anti-corruption, anti-money laundering, export control, sanctions, and other trade laws and regulations. We can face serious consequences for violations.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are subject to stringent privacy laws, information security policies and contractual obligations governing the use, processing, and cross-border transfer of personal information and our data privacy and security practices.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receive, generate and store significant and increasing volumes of sensitive information, such as employee, personal and patient data.</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collection and use of personal data in the European Union had previously been governed by the provisions of the EU Data Protection Directive, which EU member states were required to implement. While the Data Protection Directive did not apply to organizations based outside the European Union, the GDPR has expanded its reach to include any business, regardless of its location, that targets goods or services to residents in the European Union or that “monitors” their behavior in the European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998220"/>
                <wp:effectExtent l="0" t="0" r="0" b="0"/>
                <wp:wrapNone/>
                <wp:docPr id="506" name="Frame17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166</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07"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334" descr=""/>
                          <pic:cNvPicPr>
                            <a:picLocks noChangeAspect="1" noChangeArrowheads="1"/>
                          </pic:cNvPicPr>
                        </pic:nvPicPr>
                        <pic:blipFill>
                          <a:blip r:embed="rId33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08"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335" descr=""/>
                          <pic:cNvPicPr>
                            <a:picLocks noChangeAspect="1" noChangeArrowheads="1"/>
                          </pic:cNvPicPr>
                        </pic:nvPicPr>
                        <pic:blipFill>
                          <a:blip r:embed="rId33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Union. The GDPR imposes strict requirements on controllers and processors of personal data, including special protections for “sensitive information” which includes health and genetic information of patients residing in the European Union. The GDPR also imposes strict rules on the transfer of personal data out of the European Union to the United States and other countries. In addition, the GDPR provides that EU member states may make their own further laws and regulations limiting the processing of personal data, including genetic, biometric or health data.</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and the above-mentioned applicable law triggers apply.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Other jurisdictions outside the European Union are similarly introducing or enhancing privacy and data security laws, rules and regulations, which could increase our compliance costs and the risks associated with non-compliance. In particular, in China, where some of our clinical data are originated, the cybersecurity, data privacy, data protection, or other data-related laws and regulations, including the Personal Information Protection Law, Regulations on Network Data Security Management, Provisions on Promoting and Regulating Cross-Border Data Flows, and Human Genetic Resources Regulation (which regulates the collection and transfer of human biospecimens and genetic data derived from them in clinical research to foreign or foreign controlled parties), may require approvals or filings prior to transferring those data to foreign-owned or controlled entities in China or overseas, and these regimes are continually evolving, meaning their interpretation and enforcement may be uncertain. These rules establish mechanisms such as governmental security assessment, certification, and standard contractual clauses for certain cross</w:t>
        <w:noBreakHyphen/>
        <w:t>border data transfers. Depending on the nature and volume of data processed in China, we or our partners may be required to complete one or more of these transfer mechanisms as a condition to exporting relevant data. Compliance with these requirements could affect our operations, including data flows necessary for clinical development, manufacturing, or other activities conducted in China. The scope and practical application of these rules continue to develop, and there is uncertainty regarding how regulators will apply them in specific circumstances. In the United States, we may be subject to restrictions and requirements under the Department of Justice’s Final Rule issued on December 27, 2024 implementing the Executive Order on Preventing Access to Americans’ Bulk Sensitive Personal Data and United States Government-Related Data by Countries of Concern, signed on February 28, 2024. Practices regarding the collection, use, storage, transmission and security of personal information by companies have also been subject to increasing regulatory focus. As such,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In addition, the uncertainties regarding further interpretation and implementation of these laws and regulations may adversely affect the secure storage of documented work as well as the cross-border transfer of important data and personal information originated from our clinical trial activities, which are critical to the development of our pipelines.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998220"/>
                <wp:effectExtent l="0" t="0" r="0" b="0"/>
                <wp:wrapNone/>
                <wp:docPr id="509" name="Frame174"/>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167</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10"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336" descr=""/>
                          <pic:cNvPicPr>
                            <a:picLocks noChangeAspect="1" noChangeArrowheads="1"/>
                          </pic:cNvPicPr>
                        </pic:nvPicPr>
                        <pic:blipFill>
                          <a:blip r:embed="rId33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11"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337" descr=""/>
                          <pic:cNvPicPr>
                            <a:picLocks noChangeAspect="1" noChangeArrowheads="1"/>
                          </pic:cNvPicPr>
                        </pic:nvPicPr>
                        <pic:blipFill>
                          <a:blip r:embed="rId33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and other international data protection regulations, especially with regard to clinical trial activities. For example, it is not clear if the authorities will conduct random audits of companies doing business in the European Union, or if the authorities will wait for complaints to be filed by individuals who claim their rights have been violated, as enforcement practices vary from country to country. Enforcement uncertainty and the costs associated with ensuring GDPR compliance may be onerous and adversely affect our business, financial condition, results of operations and prospects. If we fail to comply with the GDPR and the applicable national data protection laws of the EU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many jurisdictions, there are legal requirements to provide notice of breaches to affected individuals and/or regulators in certain circumstances. Such a notice could harm our reputation and our ability to compete. Regulators may also have the discretion to impose penalties without attempting to resolve violations through informal means.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we or our third-party suppliers fail to comply with environmental, health and safety laws and regulations, we could become subject to fines or penalties or incur costs that could harm our business.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998220"/>
                <wp:effectExtent l="0" t="0" r="0" b="0"/>
                <wp:wrapNone/>
                <wp:docPr id="512" name="Frame175"/>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168</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13"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338" descr=""/>
                          <pic:cNvPicPr>
                            <a:picLocks noChangeAspect="1" noChangeArrowheads="1"/>
                          </pic:cNvPicPr>
                        </pic:nvPicPr>
                        <pic:blipFill>
                          <a:blip r:embed="rId33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14"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339" descr=""/>
                          <pic:cNvPicPr>
                            <a:picLocks noChangeAspect="1" noChangeArrowheads="1"/>
                          </pic:cNvPicPr>
                        </pic:nvPicPr>
                        <pic:blipFill>
                          <a:blip r:embed="rId34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any resulting damages, and any liability could exceed our resources. We also could incur significant costs associated with civil or criminal fines and penalties for failure to comply with such laws and regulations.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Risks Related to Ownership of the ADSs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We have experienced and may continue to experience significant volatility in the market price of the ADSs representing our ordinary shares.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Biopharmaceutical companies such as BioNTech SE that are developing potential therapeutics and vaccines to combat COVID-19, as well as conducting mRNA-based research in oncology and infectious disease more generally, have experienced significant volatility in the price of their securities upon publication of preclinical and clinical data as well as news about their development programs and commercialization activities. For example, during 2025, the closing sales price of the ADSs representing our ordinary shares on the Nasdaq Global Select Market ranged from $86.65 to $126.88. In addition, volatility in the overall market and in the market price of a particular company’s securities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998220"/>
                <wp:effectExtent l="0" t="0" r="0" b="0"/>
                <wp:wrapNone/>
                <wp:docPr id="515" name="Frame176"/>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169</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16"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340" descr=""/>
                          <pic:cNvPicPr>
                            <a:picLocks noChangeAspect="1" noChangeArrowheads="1"/>
                          </pic:cNvPicPr>
                        </pic:nvPicPr>
                        <pic:blipFill>
                          <a:blip r:embed="rId34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17"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341" descr=""/>
                          <pic:cNvPicPr>
                            <a:picLocks noChangeAspect="1" noChangeArrowheads="1"/>
                          </pic:cNvPicPr>
                        </pic:nvPicPr>
                        <pic:blipFill>
                          <a:blip r:embed="rId34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can result in securities litigation, including shareholder class action lawsuits. Any securities litigation can result in substantial costs and a diversion of our management’s attention and resources.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Acquisitions, joint ventures and collaborations may increase our capital requirements, dilute our shareholders, cause us to incur debt or assume contingent liabilities, and subject us to other risks. We may not realize the benefits of these acquisitions, joint ventures or collaborations.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increased operating expenses and cash requirements;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assumption of additional indebtedness or contingent liabilities;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assimilation of operations, intellectual property and products of an acquired company, including difficulties associated with integrating new personnel;</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the diversion of our management’s attention from our existing product programs and initiatives in pursuing such a strategic merger or acquisition;</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retention of key employees, the loss of key personnel, and uncertainties in our ability to maintain key business relationships;</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risks and uncertainties associated with the other party to such a transaction, including the prospects of that party and their existing products or product candidates and regulatory approvals, their quality control, quality assurance, internal controls, legal and compliance procedures; and</w:t>
      </w:r>
    </w:p>
    <w:p>
      <w:pPr>
        <w:pStyle w:val="TextBody"/>
        <w:bidi w:val="0"/>
        <w:spacing w:lineRule="atLeast" w:line="300" w:before="0" w:after="300"/>
        <w:ind w:left="0" w:right="0" w:hanging="227"/>
        <w:jc w:val="both"/>
        <w:rPr/>
      </w:pPr>
      <w:r>
        <w:rPr>
          <w:color w:val="BECE33"/>
        </w:rPr>
        <w:t>–</w:t>
      </w:r>
      <w:r>
        <w:rPr>
          <w:rFonts w:ascii="Neue Haas Grotesk Display Pro 45 Light;serif" w:hAnsi="Neue Haas Grotesk Display Pro 45 Light;serif"/>
          <w:b w:val="false"/>
          <w:color w:val="080509"/>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lineRule="atLeast" w:line="300" w:before="0" w:after="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In addition, if we undertake acquisitions, we may utilize our cash, issue dilutive securities, assume or incur debt obligations, incur large one-time expenses and acquire intangible assets that could result in significant future amortization expense. For example, in July 2023, we acquired InstaDeep, a leading global technology company in the field of AI and machine learning, for upfront consideration of cash and BioNTech shares, and potential future milestone payments. Although we believe that AI and machine learning technology has the potential to accelerate the development of therapeutic programs and further optimize manufacturing and supply chain processes, it is possible that our use of the acquired technology will not achieve the desired results, and that we will not be able to retain and grow InstaDeep’s business around the world. If demand for the services developed by InstaDeep does not continue, or if we are unable to improve our AI and machine learning technology in a timely, effective and competitive manner, we may not be able realize the expected outcomes from the InstaDeep acquisition. In January 2025, we acquired Biotheus, a clinical-stage biotechnology company, for upfront consideration predominantly of cash, with a small portion in our ADSs, and potential future milestone payments. Although the Biotheus acquisition expands our operations in China, our expectations regarding the creation of long-term value for shareholders and potential future commercialization in oncology may not be realized. In December 2025, we acquired CureVac N.V., a biotechnology company focused on the development of mRNA therapeutics, through a public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998220"/>
                <wp:effectExtent l="0" t="0" r="0" b="0"/>
                <wp:wrapNone/>
                <wp:docPr id="518" name="Frame177"/>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170</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19"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342" descr=""/>
                          <pic:cNvPicPr>
                            <a:picLocks noChangeAspect="1" noChangeArrowheads="1"/>
                          </pic:cNvPicPr>
                        </pic:nvPicPr>
                        <pic:blipFill>
                          <a:blip r:embed="rId34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20"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343" descr=""/>
                          <pic:cNvPicPr>
                            <a:picLocks noChangeAspect="1" noChangeArrowheads="1"/>
                          </pic:cNvPicPr>
                        </pic:nvPicPr>
                        <pic:blipFill>
                          <a:blip r:embed="rId34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exchange offer. While we believe the acquisition has the potential to enhance our capabilities in mRNA research, development, manufacturing and commercialization, there can be no assurance that we will realize the anticipated benefits from the transaction. There is no guarantee that we will realize any anticipated benefits of these or future acquisitions, or that the diversification of our business through acquired technology or products will be successful. </w:t>
      </w:r>
    </w:p>
    <w:p>
      <w:pPr>
        <w:pStyle w:val="TextBody"/>
        <w:bidi w:val="0"/>
        <w:spacing w:before="0" w:after="0"/>
        <w:jc w:val="left"/>
        <w:rPr/>
      </w:pPr>
      <w:r>
        <w:rPr/>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Moreover, we may not be able to locate suitable acquisition or collaboration opportunities and this inability could impair our ability to grow or obtain access to technology or products that may be important to the development of our business.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Following the acquisition of CureVac, we may be required to repay monies received under the Advance Purchase Agreement with the European Commission for its first-generation COVID-19 vaccine candidate.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On November 30, 2020, prior to our acquisition of CureVac, CureVac AG entered into an Advance Purchase Agreement, which we refer to as the APA, with the EU Commission, acting on behalf of all Member States of the European Union, for the supply of up to 405 million doses of its first-generation COVID-19 vaccine candidate, which we refer to as CVnCoV. Under the APA, CureVac AG received an upfront payment of €450 million for development and commercial supply activities of CVnCoV. In October 2021, CureVac AG notified the EU Commission of the withdrawal of its regulatory approval application for CVnCoV, which notification automatically terminated the APA. According to the APA, in such case of termination, CureVac AG would be required to return any unspent amount of the upfront payment. In the context of the APA, “spent” means either costs incurred, or commitments made in connection with the purposes set forth in the APA.</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On July 24, 2024, the EU Commission informed CureVac SE that it had engaged Deloitte, S.L., which we refer to as Deloitte, to conduct an audit of CureVac SE’s compliance with the APA. On September 17, 2025, the EU Commission provided CureVac SE with Deloitte’s draft audit report, which included preliminary findings alleging missing documentation, absence of project cost allocation, cost traceability and reconciliations, as well as inconsistencies between information submitted during the audit and financial information previously provided to the EU Commission. CureVac SE is cooperating fully with the EU Commission and Deloitte and submitted a detailed response and objections on October 17, 2025. The EU Commission subsequently issued its final audit report.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CureVac SE contested the findings in Deloitte’s draft audit report and believes it can refute the issues raised.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However, it remains uncertain to what extent Deloitte, the EU Commission, or any other governmental authorities will accept CureVac SE’s position. It is also unclear whether the EU Commission will rely on Deloitte’s final audit report to seek recovery of any portion or all of the €450 million upfront payment, or if regulators may undertake additional actions in connection with the allegations. As the successor to CureVac SE following the acquisition, we cannot exclude the possibility of being required to repay a portion or all of the €450 million upfront payment or being subject to additional actions from government authorities. Should we be unsuccessful in contesting any such claims, or the imposition of related penalties, this could materially affect our financial position, cash flows, and results of operations.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998220"/>
                <wp:effectExtent l="0" t="0" r="0" b="0"/>
                <wp:wrapNone/>
                <wp:docPr id="521" name="Frame178"/>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171</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22"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344" descr=""/>
                          <pic:cNvPicPr>
                            <a:picLocks noChangeAspect="1" noChangeArrowheads="1"/>
                          </pic:cNvPicPr>
                        </pic:nvPicPr>
                        <pic:blipFill>
                          <a:blip r:embed="rId345"/>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23"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345" descr=""/>
                          <pic:cNvPicPr>
                            <a:picLocks noChangeAspect="1" noChangeArrowheads="1"/>
                          </pic:cNvPicPr>
                        </pic:nvPicPr>
                        <pic:blipFill>
                          <a:blip r:embed="rId346"/>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Our Articles of Association provide that the United States District Court for the Southern District of New York shall be the competent court of jurisdiction for the resolution of any litigation on the grounds of or in connection with U.S. federal or state capital market laws. In the absence of these provisions, under the Securities Act of 1933, as amended, or the Securities Act, U.S. federal and state courts have been found to have concurrent jurisdiction over suits brought to enforce duties or liabilities created by the Securities Act.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choice of forum provision contained in our Articles of Association may limit a shareholder’s ability to bring a claim in a judicial forum that it finds favorable for disputes with us or our executive officers, directors, or other employees, or impose additional litigation costs on shareholders in pursuing any such claims, particularly if the shareholders do not reside in or near the state of New York, which may discourage such lawsuits. In addition, while the Delaware Supreme Court ruled in March 2020 that federal forum selection provisions purporting to require claims under the Securities Act be brought in federal court are “facially valid” under Delaware law, there is uncertainty as to whether other U.S. or German courts will enforce our choice of forum provision. The enforceability of similar choice of forum provisions in other companies’ governing documents has been challenged in recent legal proceedings, and it is possible that a court in the relevant jurisdictions with respect to us could find the choice of forum provision contained our Articles of Association to be inapplicable or unenforceable. If the relevant court were to find the choice of forum provision contained in our articles of association to be inapplicable or unenforceable, we may incur additional costs associated with resolving such matters in other jurisdictions, which could adversely affect our business, financial condition and operating results. The choice of forum provision may also impose additional litigation costs on shareholders who assert that the provision is not enforceable or invalid. The United States District Court for the Southern District of New York may also reach different judgments or results than would other courts, including courts where a shareholder considering a U.S.-based action may be located or would otherwise choose to bring the action, and such judgments may be more or less favorable to us than our shareholders.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Holders of the ADSs may not be able to participate in any future preemptive subscription rights issues or elect to receive dividends in shares, which may cause additional dilution to their holdings.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For example,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998220"/>
                <wp:effectExtent l="0" t="0" r="0" b="0"/>
                <wp:wrapNone/>
                <wp:docPr id="524" name="Frame179"/>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172</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25"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346" descr=""/>
                          <pic:cNvPicPr>
                            <a:picLocks noChangeAspect="1" noChangeArrowheads="1"/>
                          </pic:cNvPicPr>
                        </pic:nvPicPr>
                        <pic:blipFill>
                          <a:blip r:embed="rId347"/>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26"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347" descr=""/>
                          <pic:cNvPicPr>
                            <a:picLocks noChangeAspect="1" noChangeArrowheads="1"/>
                          </pic:cNvPicPr>
                        </pic:nvPicPr>
                        <pic:blipFill>
                          <a:blip r:embed="rId348"/>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ADS holders were unable to participate in our summer 2020 rights offering. In addition, if the depositary is unable to sell rights that are not exercised or not distributed or if the sale is not lawful or reasonably practicable, it will allow the rights to lapse, in which case you will receive no value for these rights.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amount and frequency of our dividends and ADS repurchases may fluctuate.</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The amount, timing and execution of any ADS repurchase program we conduct in the future and the amount and timing of any dividends we pay may fluctuate based on our priorities for the use of cash for other purposes, and any ADS repurchases would be subject to the parameters contained in the applicable repurchase plan. These purposes may include operational spending, capital spending, acquisitions and repayment of debt. Additionally, we may choose to repurchase ADSs so that such ADSs may be used to settle outstanding and future equity awards granted to our employees. Changes in cash flows, tax laws and the price of the ADSs could also impact any ADS repurchase program. Additionally, we may enter into a Rule 10b5-1 trading plan governing the repurchases, and if we do, we would have no discretion over the particular purchases made and would only be able to set minimum price floors and maximum ADS count ceilings.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 xml:space="preserve">Our principal shareholders and management own a significant percentage of our ordinary shares and will be able to exert significant control over matters subject to shareholder approval. </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Our executive officers, directors, five percent shareholders, and their affiliates beneficially own a majority of our ordinary shares (including ordinary shares represented by ADSs) as of December 31, 2025, and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shareholders may believe are in their best interest. Such insiders may also act in concert to waive rights to participate in rights offerings, as was done in our summer 2020 rights offering, which would have the effect of permitting the ADSs or shares underlying such waived rights to be offered to the public in an underwritten offering without contravening German law pricing requirements.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large number of shares eligible for sale or subject to rights requiring us to register them for sale could cause the market price of the ADSs to drop significantly, even if our business is performing well.</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We have filed registration statements on Form S-8 under the Securities Act to register all ordinary shares issued or issuable under our equity plans. Such Form S-8 registration statements have become, and any other registration statements on Form S-8 we file in the future will become, effective upon filing, upon which shares registered under such registration statements become available for sale in the open market.</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Additionally, certain sales of ADSs or our ordinary shares that we have made have included, and we may in the future make sales including, holding period restrictions or registration rights. 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to sell the ADSs on favorable terms.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998220"/>
                <wp:effectExtent l="0" t="0" r="0" b="0"/>
                <wp:wrapNone/>
                <wp:docPr id="527" name="Frame180"/>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173</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28"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348" descr=""/>
                          <pic:cNvPicPr>
                            <a:picLocks noChangeAspect="1" noChangeArrowheads="1"/>
                          </pic:cNvPicPr>
                        </pic:nvPicPr>
                        <pic:blipFill>
                          <a:blip r:embed="rId349"/>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29"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349" descr=""/>
                          <pic:cNvPicPr>
                            <a:picLocks noChangeAspect="1" noChangeArrowheads="1"/>
                          </pic:cNvPicPr>
                        </pic:nvPicPr>
                        <pic:blipFill>
                          <a:blip r:embed="rId350"/>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If we are a “passive foreign investment company” for U.S. federal income tax purposes, there may be adverse U.S. federal income tax consequences to U.S. investors.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Based on our income and assets, we believe that we should be treated as a “passive foreign investment company,” or PFIC, for the preceding taxable year. However, the determination of our PFIC status is made annually based on the factual tests described below. Consequently, while we may be a PFIC in future years, we cannot estimate with certainty at this stage whether or not we are likely to be treated as a PFIC in the current taxable year or any future taxable years. Generally, if, for any taxable year, at least 75 percent of our gross income is “passive income” or at least 50 percent of our gross assets during the taxable year (based on the average of the fair market values of the assets determined at the end of each quarterly period) are assets that produce or are held for the production of passive income, we will be characterized as a PFIC for U.S. federal income tax purposes.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should not be considered passive income for purposes of the PFIC test. For example, if we were to be characterized as a PFIC for U.S. federal income tax purposes in any taxable year during which a U.S. Holder (as defined in “Taxation —Material United States federal income tax considerations” in our Annual Report on Form 20-F as of and for the year ended December 31, 2025, as amended) holds ordinary shares or ADSs, such U.S. Holder could be subject to additional taxes and interest charges upon certain distributions by us and any gain recognized on a sale, exchange or other disposition of our shares, whether or not we continue to be characterized as a PFIC. Certain adverse consequences of PFIC status can be mitigated if a U.S. Holder makes a “mark to market” election or a “Qualified Electing Fund,” or QEF, election. We have made available to U.S. Holders the information necessary to make and maintain a QEF election for the year ended December 31, 2025, and intend to provide U.S. holders with the necessary information for any taxable year in which we are treated as a PFIC. See “Taxation —Material United States federal income tax considerations —Passive foreign investment company considerations” in our Annual Report on Form 20-F as of and for the year ended December 31, 2025, as amended.</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Whether we are a PFIC for any taxable year will depend on the composition of our income and the composition and value of our assets from time to time. Each U.S. Holder is strongly urged to consult their tax advisor regarding these issues and any available elections to mitigate such tax consequences.</w:t>
      </w:r>
    </w:p>
    <w:p>
      <w:pPr>
        <w:pStyle w:val="TextBody"/>
        <w:bidi w:val="0"/>
        <w:spacing w:lineRule="auto" w:line="264" w:before="200" w:after="200"/>
        <w:jc w:val="both"/>
        <w:rPr>
          <w:rFonts w:ascii="Neue Haas Grotesk Display Pro 65 Medium;serif" w:hAnsi="Neue Haas Grotesk Display Pro 65 Medium;serif"/>
          <w:b/>
          <w:color w:val="005A64"/>
          <w:sz w:val="20"/>
        </w:rPr>
      </w:pPr>
      <w:r>
        <w:rPr>
          <w:rFonts w:ascii="Neue Haas Grotesk Display Pro 65 Medium;serif" w:hAnsi="Neue Haas Grotesk Display Pro 65 Medium;serif"/>
          <w:b/>
          <w:color w:val="005A64"/>
          <w:sz w:val="20"/>
        </w:rPr>
        <w:t>The acquisition of a substantial interest in the Company by non-EU/non-EFTA investors requires government approval, which may restrict certain investments and limit demand for the BioNTech ADSs.</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As the Company is considered an operator of “critical infrastructure” within the meaning of the Ordinance on the Designation of Critical Infrastructure pursuant to the BSI Act (Verordnung zur Bestimmung Kritischer Infrastrukturen nach dem BSI-Gesetz), it falls within the scope of the cross-sector review of the German foreign investment screening regime under the German Foreign Trade and Payments Ordinance (Außenwirtschaftsverordnung). As a result, non-EU/non-EFTA investors intending to acquire, directly or indirectly, at least 10% of the voting rights in the Company or who already hold voting rights in the Company and will acquire further voting rights reaching or exceeding 20%, 25%, 40%, 50% or 75% of the voting rights in the Company must notify the planned acquisition to the German Federal Ministry for Economic Affairs and Energy (Bundesministerium für Wirtschaft und Energie, or the BMWE). The BMWE will then assess whether the acquisition likely adversely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998220"/>
                <wp:effectExtent l="0" t="0" r="0" b="0"/>
                <wp:wrapNone/>
                <wp:docPr id="530" name="Frame181"/>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174</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31"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350" descr=""/>
                          <pic:cNvPicPr>
                            <a:picLocks noChangeAspect="1" noChangeArrowheads="1"/>
                          </pic:cNvPicPr>
                        </pic:nvPicPr>
                        <pic:blipFill>
                          <a:blip r:embed="rId351"/>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32"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351" descr=""/>
                          <pic:cNvPicPr>
                            <a:picLocks noChangeAspect="1" noChangeArrowheads="1"/>
                          </pic:cNvPicPr>
                        </pic:nvPicPr>
                        <pic:blipFill>
                          <a:blip r:embed="rId352"/>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affects the public order or security of Germany or other EU member states or projects or programs of Union interest within the meaning of Article 8 of Regulation (EU) 2019/452 of the European Parliament and of the Council of 19 March 2019 establishing a framework for the screening of foreign direct investments into the Union. Clearance by the BMWE qualifies as a closing condition for all over-the-counter transactions. If the acquisition has been made via the stock exchange, the acquirer is prohibited from exercising its voting rights until the transaction has been cleared or is deemed cleared. If the BMWE identifies likely adverse effects, the acquisition of voting rights in the Company could be restricted or prohibited or, if the acquisition has been made via the stock exchange, the BMWE may order a sell-down of the voting rights in the Company acquired via the stock exchange or a transfer to a trustee within a certain period of time and/or prohibit the exercise of voting rights until such time as the acquisition is finally reversed.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55 Roman;serif" w:hAnsi="Neue Haas Grotesk Display Pro 55 Roman;serif"/>
          <w:b w:val="false"/>
          <w:color w:val="005A64"/>
          <w:sz w:val="28"/>
        </w:rPr>
      </w:pPr>
      <w:r>
        <w:rPr>
          <w:rFonts w:ascii="Neue Haas Grotesk Display Pro 55 Roman;serif" w:hAnsi="Neue Haas Grotesk Display Pro 55 Roman;serif"/>
          <w:b w:val="false"/>
          <w:color w:val="005A64"/>
          <w:sz w:val="28"/>
        </w:rPr>
        <w:t>Disclaimer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Forward-Looking Statements</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This quarterly report contains forward-looking statements within the meaning of the Private Securities Litigation Reform Act of 1995, as amended, including, but not limited to, statements concerning: our expected revenues and net profit/(loss) related to sales of our COVID-19 vaccine, referred to as </w:t>
      </w:r>
      <w:r>
        <w:rPr>
          <w:rFonts w:ascii="Neue Haas Grotesk Display Pro 45 Light;serif" w:hAnsi="Neue Haas Grotesk Display Pro 45 Light;serif"/>
          <w:b w:val="false"/>
          <w:i/>
          <w:color w:val="080509"/>
          <w:sz w:val="20"/>
        </w:rPr>
        <w:t>Comirnaty</w:t>
      </w:r>
      <w:r>
        <w:rPr>
          <w:color w:val="080509"/>
        </w:rPr>
        <w:t xml:space="preserve"> </w:t>
      </w:r>
      <w:r>
        <w:rPr>
          <w:rFonts w:ascii="Neue Haas Grotesk Display Pro 45 Light;serif" w:hAnsi="Neue Haas Grotesk Display Pro 45 Light;serif"/>
          <w:b w:val="false"/>
          <w:color w:val="080509"/>
          <w:sz w:val="20"/>
        </w:rPr>
        <w:t>where approved for use under full or conditional marketing authorization, in territories controlled by our collaboration partners, particularly for those figures that are derived from preliminary estimates provided by our partners; the rate and degree of market acceptance of our COVID-19 vaccine and, if approved, our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our research and development programs, including our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our expectations regarding potential future commercialization in oncology, including goals regarding timing and indications; the targeted timing and number of potentially registrational trials, and the registrational potential of any trial we may initiate; our expectations regarding the impact of changes to our manufacturing operations; discussions with regulatory agencies; our expectations with respect to intellectual property; the impact of our collaboration and licensing agreements</w:t>
      </w:r>
      <w:r>
        <w:rPr>
          <w:rFonts w:ascii="Neue Haas Grotesk Display Pro 45 Light;serif" w:hAnsi="Neue Haas Grotesk Display Pro 45 Light;serif"/>
          <w:b w:val="false"/>
          <w:color w:val="080509"/>
          <w:sz w:val="20"/>
          <w:shd w:fill="FFFFFF" w:val="clear"/>
        </w:rPr>
        <w:t xml:space="preserve">; our expectations with respect to developments in law, public policy, and international trade; our expectations with respect to government investigations; </w:t>
      </w:r>
      <w:r>
        <w:rPr>
          <w:rFonts w:ascii="Neue Haas Grotesk Display Pro 45 Light;serif" w:hAnsi="Neue Haas Grotesk Display Pro 45 Light;serif"/>
          <w:b w:val="false"/>
          <w:color w:val="080509"/>
          <w:sz w:val="20"/>
        </w:rPr>
        <w:t>and our expectations with respect to legal claims and proceedings.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lineRule="atLeast" w:line="300" w:before="0" w:after="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 xml:space="preserve">The forward-looking statements in this quarterly report are based on our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998220"/>
                <wp:effectExtent l="0" t="0" r="0" b="0"/>
                <wp:wrapNone/>
                <wp:docPr id="533" name="Frame182"/>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175</w:t>
                            </w:r>
                          </w:p>
                        </w:tc>
                      </w:tr>
                    </w:tbl>
                    <w:p>
                      <w:pPr>
                        <w:pStyle w:val="TextBody"/>
                        <w:bidi w:val="0"/>
                        <w:spacing w:before="0" w:after="283"/>
                        <w:jc w:val="left"/>
                        <w:rPr/>
                      </w:pPr>
                      <w:r>
                        <w:rPr/>
                      </w:r>
                    </w:p>
                  </w:txbxContent>
                </v:textbox>
                <w10:wrap type="none"/>
              </v:rect>
            </w:pict>
          </mc:Fallback>
        </mc:AlternateContent>
      </w:r>
    </w:p>
    <w:tbl>
      <w:tblPr>
        <w:tblW w:w="10099" w:type="dxa"/>
        <w:jc w:val="left"/>
        <w:tblInd w:w="0" w:type="dxa"/>
        <w:tblLayout w:type="fixed"/>
        <w:tblCellMar>
          <w:top w:w="28" w:type="dxa"/>
          <w:left w:w="28" w:type="dxa"/>
          <w:bottom w:w="28" w:type="dxa"/>
          <w:right w:w="28" w:type="dxa"/>
        </w:tblCellMar>
      </w:tblPr>
      <w:tblGrid>
        <w:gridCol w:w="124"/>
        <w:gridCol w:w="109"/>
        <w:gridCol w:w="109"/>
        <w:gridCol w:w="1768"/>
        <w:gridCol w:w="1768"/>
        <w:gridCol w:w="1773"/>
        <w:gridCol w:w="109"/>
        <w:gridCol w:w="109"/>
        <w:gridCol w:w="109"/>
        <w:gridCol w:w="1244"/>
        <w:gridCol w:w="1244"/>
        <w:gridCol w:w="1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34"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352" descr=""/>
                          <pic:cNvPicPr>
                            <a:picLocks noChangeAspect="1" noChangeArrowheads="1"/>
                          </pic:cNvPicPr>
                        </pic:nvPicPr>
                        <pic:blipFill>
                          <a:blip r:embed="rId353"/>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673">
              <w:r>
                <w:rPr>
                  <w:rStyle w:val="InternetLink"/>
                  <w:rFonts w:ascii="Neue Haas Grotesk Display Pro 75 Bold;serif" w:hAnsi="Neue Haas Grotesk Display Pro 75 Bold;serif"/>
                  <w:b w:val="false"/>
                  <w:strike w:val="false"/>
                  <w:dstrike w:val="false"/>
                  <w:color w:val="C3C3C3"/>
                  <w:sz w:val="13"/>
                  <w:u w:val="none"/>
                  <w:effect w:val="none"/>
                </w:rPr>
                <w:t>UNAUDITED INTERIM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e89399d9d45f4ac20dcae213591ea_1131">
              <w:r>
                <w:rPr>
                  <w:rStyle w:val="InternetLink"/>
                  <w:rFonts w:ascii="Neue Haas Grotesk Display Pro 75 Bold;serif" w:hAnsi="Neue Haas Grotesk Display Pro 75 Bold;serif"/>
                  <w:b w:val="false"/>
                  <w:strike w:val="false"/>
                  <w:dstrike w:val="false"/>
                  <w:color w:val="3C9673"/>
                  <w:sz w:val="13"/>
                  <w:u w:val="none"/>
                  <w:effect w:val="none"/>
                </w:rPr>
                <w:t>OPERATING AND FINANCIAL REVIEW AND PROSPECTS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76200"/>
                  <wp:effectExtent l="0" t="0" r="0" b="0"/>
                  <wp:docPr id="535"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353" descr=""/>
                          <pic:cNvPicPr>
                            <a:picLocks noChangeAspect="1" noChangeArrowheads="1"/>
                          </pic:cNvPicPr>
                        </pic:nvPicPr>
                        <pic:blipFill>
                          <a:blip r:embed="rId354"/>
                          <a:stretch>
                            <a:fillRect/>
                          </a:stretch>
                        </pic:blipFill>
                        <pic:spPr bwMode="auto">
                          <a:xfrm>
                            <a:off x="0" y="0"/>
                            <a:ext cx="247650" cy="762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0"/>
        <w:jc w:val="both"/>
        <w:rPr/>
      </w:pPr>
      <w:r>
        <w:rPr>
          <w:rFonts w:ascii="Neue Haas Grotesk Display Pro 45 Light;serif" w:hAnsi="Neue Haas Grotesk Display Pro 45 Light;serif"/>
          <w:b w:val="false"/>
          <w:color w:val="080509"/>
          <w:sz w:val="20"/>
        </w:rPr>
        <w:t xml:space="preserve">commencement and/or completion dates for clinical trials, </w:t>
      </w:r>
      <w:r>
        <w:rPr>
          <w:rFonts w:ascii="Neue Haas Grotesk Display Pro 45 Light;serif" w:hAnsi="Neue Haas Grotesk Display Pro 45 Light;serif"/>
          <w:b w:val="false"/>
          <w:color w:val="080509"/>
          <w:sz w:val="20"/>
          <w:shd w:fill="FFFFFF" w:val="clear"/>
        </w:rPr>
        <w:t xml:space="preserve">projected data release timelines, </w:t>
      </w:r>
      <w:r>
        <w:rPr>
          <w:rFonts w:ascii="Neue Haas Grotesk Display Pro 45 Light;serif" w:hAnsi="Neue Haas Grotesk Display Pro 45 Light;serif"/>
          <w:b w:val="false"/>
          <w:color w:val="080509"/>
          <w:sz w:val="20"/>
        </w:rPr>
        <w:t xml:space="preserve">regulatory submission dates, regulatory approval dates and/or launch dates, as well as risks associated with preclinical and clinical data, including the data discussed in this report, and including the possibility of unfavorable new preclinical, clinical or safety data and further analyses of existing preclinical, clinical or safety data; the nature of the clinical data, which is subject to ongoing peer review, regulatory review and market interpretation; our pricing and coverage negotiations with governmental authorities, private health insurers and other third-party payors; the future commercial demand and medical need for initial or booster doses of a COVID-19 vaccine; the impact of tariffs and escalations in trade policy; competition from other COVID-19 vaccines or related to our other product candidates; the timing of and our ability to obtain and maintain regulatory approval for our product candidates; the ability of our COVID-19 vaccines to prevent COVID-19 caused by emerging virus variants; our ability to identify research opportunities and discover and develop investigational medicines; the ability and willingness of our third-party collaborators to continue research and development activities relating to our development candidates and investigational medicines; unforeseen safety issues and claims for personal injury or death arising from the use of our COVID-19 vaccine and other products and product candidates developed or manufactured by us; our ability and that of our collaborators to commercialize and market our product candidates, if approved; our ability to manage our development and related expenses; regulatory developments in the United States and other countries; our ability to effectively scale our production capabilities and manufacture our products, including our target COVID-19 vaccine production levels, and our product candidates; the expected timing of our manufacturing consolidation plans and our ability to enter into divestment sales; </w:t>
      </w:r>
      <w:r>
        <w:rPr>
          <w:rFonts w:ascii="Neue Haas Grotesk Display Pro 45 Light;serif" w:hAnsi="Neue Haas Grotesk Display Pro 45 Light;serif"/>
          <w:b w:val="false"/>
          <w:color w:val="080509"/>
          <w:sz w:val="20"/>
          <w:shd w:fill="FFFFFF" w:val="clear"/>
        </w:rPr>
        <w:t xml:space="preserve">expected changes to BioNTech’s leadership and the transition of responsibilities at the Management Board, including identification and recruitment of successors; </w:t>
      </w:r>
      <w:r>
        <w:rPr>
          <w:rFonts w:ascii="Neue Haas Grotesk Display Pro 45 Light;serif" w:hAnsi="Neue Haas Grotesk Display Pro 45 Light;serif"/>
          <w:b w:val="false"/>
          <w:color w:val="080509"/>
          <w:sz w:val="20"/>
        </w:rPr>
        <w:t>risks relating to the global financial system and markets; and other factors not known to us at this time. You should review the risks and uncertainties described under the heading “Risk Factors” in this quarterly report for the three and six months ended June 30, 2026 and in subsequent filings made by BioNTech with the SEC, which are available on the SEC’s website at https://www.sec.gov/. These forward-looking statements speak only as of the date hereof. Except as required by law, BioNTech disclaims any intention or responsibility for updating or revising any forward-looking statements contained in this quarterly report in the event of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Neue Haas Grotesk Display Pro 65 Medium;serif" w:hAnsi="Neue Haas Grotesk Display Pro 65 Medium;serif"/>
          <w:b/>
          <w:color w:val="005A64"/>
          <w:sz w:val="24"/>
        </w:rPr>
      </w:pPr>
      <w:r>
        <w:rPr>
          <w:rFonts w:ascii="Neue Haas Grotesk Display Pro 65 Medium;serif" w:hAnsi="Neue Haas Grotesk Display Pro 65 Medium;serif"/>
          <w:b/>
          <w:color w:val="005A64"/>
          <w:sz w:val="24"/>
        </w:rPr>
        <w:t>General Information</w:t>
      </w:r>
    </w:p>
    <w:p>
      <w:pPr>
        <w:pStyle w:val="TextBody"/>
        <w:bidi w:val="0"/>
        <w:spacing w:lineRule="atLeast" w:line="300" w:before="0" w:after="300"/>
        <w:jc w:val="both"/>
        <w:rPr>
          <w:rFonts w:ascii="Neue Haas Grotesk Display Pro 45 Light;serif" w:hAnsi="Neue Haas Grotesk Display Pro 45 Light;serif"/>
          <w:b w:val="false"/>
          <w:color w:val="080509"/>
          <w:sz w:val="20"/>
        </w:rPr>
      </w:pPr>
      <w:r>
        <w:rPr>
          <w:rFonts w:ascii="Neue Haas Grotesk Display Pro 45 Light;serif" w:hAnsi="Neue Haas Grotesk Display Pro 45 Light;serif"/>
          <w:b w:val="false"/>
          <w:color w:val="080509"/>
          <w:sz w:val="20"/>
        </w:rPr>
        <w:t>This quarterly report contains references to our trademarks and to trademarks belong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lineRule="atLeast" w:line="300" w:before="0" w:after="300"/>
        <w:jc w:val="both"/>
        <w:rPr/>
      </w:pPr>
      <w:r>
        <w:rPr>
          <w:rFonts w:ascii="Neue Haas Grotesk Display Pro 45 Light;serif" w:hAnsi="Neue Haas Grotesk Display Pro 45 Light;serif"/>
          <w:b w:val="false"/>
          <w:color w:val="080509"/>
          <w:sz w:val="20"/>
        </w:rPr>
        <w:t xml:space="preserve">The BioNTech name, and certain other names used or intended to be used by our business, are protected by trademarks. Our trademark portfolio includes, but is not limited to, </w:t>
      </w:r>
      <w:r>
        <w:rPr>
          <w:rFonts w:ascii="Neue Haas Grotesk Display Pro 45 Light;serif" w:hAnsi="Neue Haas Grotesk Display Pro 45 Light;serif"/>
          <w:b w:val="false"/>
          <w:i/>
          <w:color w:val="080509"/>
          <w:sz w:val="20"/>
        </w:rPr>
        <w:t>BioNTech</w:t>
      </w:r>
      <w:r>
        <w:rPr>
          <w:rFonts w:ascii="Neue Haas Grotesk Display Pro 45 Light;serif" w:hAnsi="Neue Haas Grotesk Display Pro 45 Light;serif"/>
          <w:b w:val="false"/>
          <w:color w:val="080509"/>
          <w:sz w:val="20"/>
        </w:rPr>
        <w:t xml:space="preserve">, </w:t>
      </w:r>
      <w:r>
        <w:rPr>
          <w:rFonts w:ascii="Neue Haas Grotesk Display Pro 45 Light;serif" w:hAnsi="Neue Haas Grotesk Display Pro 45 Light;serif"/>
          <w:b w:val="false"/>
          <w:i/>
          <w:color w:val="080509"/>
          <w:sz w:val="20"/>
        </w:rPr>
        <w:t>Comirnaty</w:t>
      </w:r>
      <w:r>
        <w:rPr>
          <w:rFonts w:ascii="Neue Haas Grotesk Display Pro 45 Light;serif" w:hAnsi="Neue Haas Grotesk Display Pro 45 Light;serif"/>
          <w:b w:val="false"/>
          <w:color w:val="080509"/>
          <w:sz w:val="20"/>
        </w:rPr>
        <w:t xml:space="preserve">, </w:t>
      </w:r>
      <w:r>
        <w:rPr>
          <w:rFonts w:ascii="Neue Haas Grotesk Display Pro 45 Light;serif" w:hAnsi="Neue Haas Grotesk Display Pro 45 Light;serif"/>
          <w:b w:val="false"/>
          <w:i/>
          <w:color w:val="080509"/>
          <w:sz w:val="20"/>
        </w:rPr>
        <w:t>BioNTainer</w:t>
      </w:r>
      <w:r>
        <w:rPr>
          <w:rFonts w:ascii="Neue Haas Grotesk Display Pro 45 Light;serif" w:hAnsi="Neue Haas Grotesk Display Pro 45 Light;serif"/>
          <w:b w:val="false"/>
          <w:color w:val="080509"/>
          <w:sz w:val="20"/>
        </w:rPr>
        <w:t xml:space="preserve">, </w:t>
      </w:r>
      <w:r>
        <w:rPr>
          <w:rFonts w:ascii="Neue Haas Grotesk Display Pro 45 Light;serif" w:hAnsi="Neue Haas Grotesk Display Pro 45 Light;serif"/>
          <w:b w:val="false"/>
          <w:i/>
          <w:color w:val="080509"/>
          <w:sz w:val="20"/>
        </w:rPr>
        <w:t>FixVac</w:t>
      </w:r>
      <w:r>
        <w:rPr>
          <w:rFonts w:ascii="Neue Haas Grotesk Display Pro 45 Light;serif" w:hAnsi="Neue Haas Grotesk Display Pro 45 Light;serif"/>
          <w:b w:val="false"/>
          <w:color w:val="080509"/>
          <w:sz w:val="20"/>
        </w:rPr>
        <w:t xml:space="preserve">, </w:t>
      </w:r>
      <w:r>
        <w:rPr>
          <w:rFonts w:ascii="Neue Haas Grotesk Display Pro 45 Light;serif" w:hAnsi="Neue Haas Grotesk Display Pro 45 Light;serif"/>
          <w:b w:val="false"/>
          <w:i/>
          <w:color w:val="080509"/>
          <w:sz w:val="20"/>
        </w:rPr>
        <w:t>RiboCytokine</w:t>
      </w:r>
      <w:r>
        <w:rPr>
          <w:color w:val="080509"/>
        </w:rPr>
        <w:t xml:space="preserve"> </w:t>
      </w:r>
      <w:r>
        <w:rPr>
          <w:rFonts w:ascii="Neue Haas Grotesk Display Pro 45 Light;serif" w:hAnsi="Neue Haas Grotesk Display Pro 45 Light;serif"/>
          <w:b w:val="false"/>
          <w:color w:val="080509"/>
          <w:sz w:val="20"/>
        </w:rPr>
        <w:t xml:space="preserve">and </w:t>
      </w:r>
      <w:r>
        <w:rPr>
          <w:rFonts w:ascii="Neue Haas Grotesk Display Pro 45 Light;serif" w:hAnsi="Neue Haas Grotesk Display Pro 45 Light;serif"/>
          <w:b w:val="false"/>
          <w:i/>
          <w:color w:val="080509"/>
          <w:sz w:val="20"/>
        </w:rPr>
        <w:t>RiboMab</w:t>
      </w:r>
      <w:r>
        <w:rPr>
          <w:rFonts w:ascii="Neue Haas Grotesk Display Pro 45 Light;serif" w:hAnsi="Neue Haas Grotesk Display Pro 45 Light;serif"/>
          <w:b w:val="false"/>
          <w:color w:val="080509"/>
          <w:sz w:val="20"/>
        </w:rPr>
        <w:t>, including logo versions of some of these trademarks. Brand names appearing in italics throughout this report, and the BioNTech name, are trademarks owned by BioNTech. All other trademarks are the property of their respective owners.</w:t>
      </w:r>
    </w:p>
    <w:p>
      <w:pPr>
        <w:pStyle w:val="TextBody"/>
        <w:bidi w:val="0"/>
        <w:spacing w:before="0" w:after="283"/>
        <w:jc w:val="lef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998220"/>
                <wp:effectExtent l="0" t="0" r="0" b="0"/>
                <wp:wrapNone/>
                <wp:docPr id="536" name="Frame183"/>
                <a:graphic xmlns:a="http://schemas.openxmlformats.org/drawingml/2006/main">
                  <a:graphicData uri="http://schemas.microsoft.com/office/word/2010/wordprocessingShape">
                    <wps:wsp>
                      <wps:cNvSpPr txBox="1"/>
                      <wps:spPr>
                        <a:xfrm>
                          <a:off x="0" y="0"/>
                          <a:ext cx="6480175" cy="998220"/>
                        </a:xfrm>
                        <a:prstGeom prst="rect"/>
                        <a:solidFill>
                          <a:srgbClr val="FFFFFF"/>
                        </a:solidFill>
                      </wps:spPr>
                      <wps:txbx>
                        <w:txbxContent>
                          <w:p>
                            <w:pPr>
                              <w:pStyle w:val="TextBody"/>
                              <w:bidi w:val="0"/>
                              <w:spacing w:before="0" w:after="300"/>
                              <w:jc w:val="center"/>
                              <w:rPr/>
                            </w:pPr>
                            <w:r>
                              <w:rPr/>
                            </w:r>
                            <w:r>
                              <w:br w:type="page"/>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00"/>
                        <w:jc w:val="center"/>
                        <w:rPr/>
                      </w:pPr>
                      <w:r>
                        <w:rPr/>
                      </w:r>
                    </w:p>
                    <w:tbl>
                      <w:tblPr>
                        <w:tblW w:w="7617" w:type="dxa"/>
                        <w:jc w:val="center"/>
                        <w:tblInd w:w="0" w:type="dxa"/>
                        <w:tblLayout w:type="fixed"/>
                        <w:tblCellMar>
                          <w:top w:w="28" w:type="dxa"/>
                          <w:left w:w="28" w:type="dxa"/>
                          <w:bottom w:w="28" w:type="dxa"/>
                          <w:right w:w="28" w:type="dxa"/>
                        </w:tblCellMar>
                      </w:tblPr>
                      <w:tblGrid>
                        <w:gridCol w:w="2405"/>
                        <w:gridCol w:w="2116"/>
                        <w:gridCol w:w="2123"/>
                        <w:gridCol w:w="109"/>
                        <w:gridCol w:w="109"/>
                        <w:gridCol w:w="109"/>
                        <w:gridCol w:w="189"/>
                        <w:gridCol w:w="189"/>
                        <w:gridCol w:w="268"/>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Neue Haas Grotesk Display Pro 55 Roman;serif" w:hAnsi="Neue Haas Grotesk Display Pro 55 Roman;serif"/>
                                <w:b w:val="false"/>
                                <w:color w:val="929292"/>
                                <w:sz w:val="16"/>
                              </w:rPr>
                            </w:pPr>
                            <w:r>
                              <w:rPr>
                                <w:rFonts w:ascii="Neue Haas Grotesk Display Pro 55 Roman;serif" w:hAnsi="Neue Haas Grotesk Display Pro 55 Roman;serif"/>
                                <w:b w:val="false"/>
                                <w:color w:val="929292"/>
                                <w:sz w:val="16"/>
                              </w:rPr>
                              <w:t>BioNTech | Quarterly Report 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Neue Haas Grotesk Display Pro 75 Bold;serif" w:hAnsi="Neue Haas Grotesk Display Pro 75 Bold;serif"/>
                                <w:b/>
                                <w:color w:val="C3C3C3"/>
                                <w:sz w:val="24"/>
                              </w:rPr>
                            </w:pPr>
                            <w:r>
                              <w:rPr>
                                <w:rFonts w:ascii="Neue Haas Grotesk Display Pro 75 Bold;serif" w:hAnsi="Neue Haas Grotesk Display Pro 75 Bold;serif"/>
                                <w:b/>
                                <w:color w:val="C3C3C3"/>
                                <w:sz w:val="24"/>
                              </w:rPr>
                              <w:t>176</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eue Haas Grotesk Display Pro 45 Light">
    <w:altName w:val="serif"/>
    <w:charset w:val="01"/>
    <w:family w:val="auto"/>
    <w:pitch w:val="default"/>
  </w:font>
  <w:font w:name="Neue Haas Grotesk Display Pro 65 Medium">
    <w:altName w:val="serif"/>
    <w:charset w:val="01"/>
    <w:family w:val="auto"/>
    <w:pitch w:val="default"/>
  </w:font>
  <w:font w:name="Neue Haas Grotesk Display Pro 75 Bold">
    <w:altName w:val="serif"/>
    <w:charset w:val="01"/>
    <w:family w:val="auto"/>
    <w:pitch w:val="default"/>
  </w:font>
  <w:font w:name="Neue Haas Grotesk Display Pro 55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2.gif"/><Relationship Id="rId6" Type="http://schemas.openxmlformats.org/officeDocument/2006/relationships/image" Target="media/image3.gif"/><Relationship Id="rId7" Type="http://schemas.openxmlformats.org/officeDocument/2006/relationships/image" Target="media/image2.gif"/><Relationship Id="rId8" Type="http://schemas.openxmlformats.org/officeDocument/2006/relationships/image" Target="media/image3.gif"/><Relationship Id="rId9" Type="http://schemas.openxmlformats.org/officeDocument/2006/relationships/image" Target="media/image2.gif"/><Relationship Id="rId10" Type="http://schemas.openxmlformats.org/officeDocument/2006/relationships/image" Target="media/image3.gif"/><Relationship Id="rId11" Type="http://schemas.openxmlformats.org/officeDocument/2006/relationships/image" Target="media/image2.gif"/><Relationship Id="rId12" Type="http://schemas.openxmlformats.org/officeDocument/2006/relationships/image" Target="media/image3.gif"/><Relationship Id="rId13" Type="http://schemas.openxmlformats.org/officeDocument/2006/relationships/image" Target="media/image2.gif"/><Relationship Id="rId14" Type="http://schemas.openxmlformats.org/officeDocument/2006/relationships/image" Target="media/image3.gif"/><Relationship Id="rId15" Type="http://schemas.openxmlformats.org/officeDocument/2006/relationships/image" Target="media/image2.gif"/><Relationship Id="rId16" Type="http://schemas.openxmlformats.org/officeDocument/2006/relationships/image" Target="media/image3.gif"/><Relationship Id="rId17" Type="http://schemas.openxmlformats.org/officeDocument/2006/relationships/image" Target="media/image2.gif"/><Relationship Id="rId18" Type="http://schemas.openxmlformats.org/officeDocument/2006/relationships/image" Target="media/image3.gif"/><Relationship Id="rId19" Type="http://schemas.openxmlformats.org/officeDocument/2006/relationships/image" Target="media/image2.gif"/><Relationship Id="rId20" Type="http://schemas.openxmlformats.org/officeDocument/2006/relationships/image" Target="media/image3.gif"/><Relationship Id="rId21" Type="http://schemas.openxmlformats.org/officeDocument/2006/relationships/image" Target="media/image2.gif"/><Relationship Id="rId22" Type="http://schemas.openxmlformats.org/officeDocument/2006/relationships/image" Target="media/image3.gif"/><Relationship Id="rId23" Type="http://schemas.openxmlformats.org/officeDocument/2006/relationships/image" Target="media/image2.gif"/><Relationship Id="rId24" Type="http://schemas.openxmlformats.org/officeDocument/2006/relationships/image" Target="media/image3.gif"/><Relationship Id="rId25" Type="http://schemas.openxmlformats.org/officeDocument/2006/relationships/image" Target="media/image2.gif"/><Relationship Id="rId26" Type="http://schemas.openxmlformats.org/officeDocument/2006/relationships/image" Target="media/image3.gif"/><Relationship Id="rId27" Type="http://schemas.openxmlformats.org/officeDocument/2006/relationships/image" Target="media/image2.gif"/><Relationship Id="rId28" Type="http://schemas.openxmlformats.org/officeDocument/2006/relationships/image" Target="media/image3.gif"/><Relationship Id="rId29" Type="http://schemas.openxmlformats.org/officeDocument/2006/relationships/image" Target="media/image2.gif"/><Relationship Id="rId30" Type="http://schemas.openxmlformats.org/officeDocument/2006/relationships/image" Target="media/image3.gif"/><Relationship Id="rId31" Type="http://schemas.openxmlformats.org/officeDocument/2006/relationships/image" Target="media/image2.gif"/><Relationship Id="rId32" Type="http://schemas.openxmlformats.org/officeDocument/2006/relationships/image" Target="media/image3.gif"/><Relationship Id="rId33" Type="http://schemas.openxmlformats.org/officeDocument/2006/relationships/image" Target="media/image2.gif"/><Relationship Id="rId34" Type="http://schemas.openxmlformats.org/officeDocument/2006/relationships/image" Target="media/image3.gif"/><Relationship Id="rId35" Type="http://schemas.openxmlformats.org/officeDocument/2006/relationships/image" Target="media/image2.gif"/><Relationship Id="rId36" Type="http://schemas.openxmlformats.org/officeDocument/2006/relationships/image" Target="media/image3.gif"/><Relationship Id="rId37" Type="http://schemas.openxmlformats.org/officeDocument/2006/relationships/image" Target="media/image2.gif"/><Relationship Id="rId38" Type="http://schemas.openxmlformats.org/officeDocument/2006/relationships/image" Target="media/image3.gif"/><Relationship Id="rId39" Type="http://schemas.openxmlformats.org/officeDocument/2006/relationships/image" Target="media/image2.gif"/><Relationship Id="rId40" Type="http://schemas.openxmlformats.org/officeDocument/2006/relationships/image" Target="media/image3.gif"/><Relationship Id="rId41" Type="http://schemas.openxmlformats.org/officeDocument/2006/relationships/image" Target="media/image2.gif"/><Relationship Id="rId42" Type="http://schemas.openxmlformats.org/officeDocument/2006/relationships/image" Target="media/image3.gif"/><Relationship Id="rId43" Type="http://schemas.openxmlformats.org/officeDocument/2006/relationships/image" Target="media/image2.gif"/><Relationship Id="rId44" Type="http://schemas.openxmlformats.org/officeDocument/2006/relationships/image" Target="media/image3.gif"/><Relationship Id="rId45" Type="http://schemas.openxmlformats.org/officeDocument/2006/relationships/image" Target="media/image2.gif"/><Relationship Id="rId46" Type="http://schemas.openxmlformats.org/officeDocument/2006/relationships/image" Target="media/image3.gif"/><Relationship Id="rId47" Type="http://schemas.openxmlformats.org/officeDocument/2006/relationships/image" Target="media/image2.gif"/><Relationship Id="rId48" Type="http://schemas.openxmlformats.org/officeDocument/2006/relationships/image" Target="media/image3.gif"/><Relationship Id="rId49" Type="http://schemas.openxmlformats.org/officeDocument/2006/relationships/image" Target="media/image2.gif"/><Relationship Id="rId50" Type="http://schemas.openxmlformats.org/officeDocument/2006/relationships/image" Target="media/image3.gif"/><Relationship Id="rId51" Type="http://schemas.openxmlformats.org/officeDocument/2006/relationships/image" Target="media/image2.gif"/><Relationship Id="rId52" Type="http://schemas.openxmlformats.org/officeDocument/2006/relationships/image" Target="media/image3.gif"/><Relationship Id="rId53" Type="http://schemas.openxmlformats.org/officeDocument/2006/relationships/image" Target="media/image2.gif"/><Relationship Id="rId54" Type="http://schemas.openxmlformats.org/officeDocument/2006/relationships/image" Target="media/image3.gif"/><Relationship Id="rId55" Type="http://schemas.openxmlformats.org/officeDocument/2006/relationships/image" Target="media/image2.gif"/><Relationship Id="rId56" Type="http://schemas.openxmlformats.org/officeDocument/2006/relationships/image" Target="media/image3.gif"/><Relationship Id="rId57" Type="http://schemas.openxmlformats.org/officeDocument/2006/relationships/image" Target="media/image2.gif"/><Relationship Id="rId58" Type="http://schemas.openxmlformats.org/officeDocument/2006/relationships/image" Target="media/image3.gif"/><Relationship Id="rId59" Type="http://schemas.openxmlformats.org/officeDocument/2006/relationships/image" Target="media/image2.gif"/><Relationship Id="rId60" Type="http://schemas.openxmlformats.org/officeDocument/2006/relationships/image" Target="media/image3.gif"/><Relationship Id="rId61" Type="http://schemas.openxmlformats.org/officeDocument/2006/relationships/image" Target="media/image2.gif"/><Relationship Id="rId62" Type="http://schemas.openxmlformats.org/officeDocument/2006/relationships/image" Target="media/image3.gif"/><Relationship Id="rId63" Type="http://schemas.openxmlformats.org/officeDocument/2006/relationships/image" Target="media/image2.gif"/><Relationship Id="rId64" Type="http://schemas.openxmlformats.org/officeDocument/2006/relationships/image" Target="media/image3.gif"/><Relationship Id="rId65" Type="http://schemas.openxmlformats.org/officeDocument/2006/relationships/image" Target="media/image2.gif"/><Relationship Id="rId66" Type="http://schemas.openxmlformats.org/officeDocument/2006/relationships/image" Target="media/image3.gif"/><Relationship Id="rId67" Type="http://schemas.openxmlformats.org/officeDocument/2006/relationships/image" Target="media/image2.gif"/><Relationship Id="rId68" Type="http://schemas.openxmlformats.org/officeDocument/2006/relationships/image" Target="media/image3.gif"/><Relationship Id="rId69" Type="http://schemas.openxmlformats.org/officeDocument/2006/relationships/image" Target="media/image2.gif"/><Relationship Id="rId70" Type="http://schemas.openxmlformats.org/officeDocument/2006/relationships/image" Target="media/image3.gif"/><Relationship Id="rId71" Type="http://schemas.openxmlformats.org/officeDocument/2006/relationships/image" Target="media/image2.gif"/><Relationship Id="rId72" Type="http://schemas.openxmlformats.org/officeDocument/2006/relationships/image" Target="media/image3.gif"/><Relationship Id="rId73" Type="http://schemas.openxmlformats.org/officeDocument/2006/relationships/image" Target="media/image2.gif"/><Relationship Id="rId74" Type="http://schemas.openxmlformats.org/officeDocument/2006/relationships/image" Target="media/image3.gif"/><Relationship Id="rId75" Type="http://schemas.openxmlformats.org/officeDocument/2006/relationships/image" Target="media/image2.gif"/><Relationship Id="rId76" Type="http://schemas.openxmlformats.org/officeDocument/2006/relationships/image" Target="media/image3.gif"/><Relationship Id="rId77" Type="http://schemas.openxmlformats.org/officeDocument/2006/relationships/image" Target="media/image2.gif"/><Relationship Id="rId78" Type="http://schemas.openxmlformats.org/officeDocument/2006/relationships/image" Target="media/image3.gif"/><Relationship Id="rId79" Type="http://schemas.openxmlformats.org/officeDocument/2006/relationships/image" Target="media/image2.gif"/><Relationship Id="rId80" Type="http://schemas.openxmlformats.org/officeDocument/2006/relationships/image" Target="media/image3.gif"/><Relationship Id="rId81" Type="http://schemas.openxmlformats.org/officeDocument/2006/relationships/image" Target="media/image2.gif"/><Relationship Id="rId82" Type="http://schemas.openxmlformats.org/officeDocument/2006/relationships/image" Target="media/image3.gif"/><Relationship Id="rId83" Type="http://schemas.openxmlformats.org/officeDocument/2006/relationships/image" Target="media/image2.gif"/><Relationship Id="rId84" Type="http://schemas.openxmlformats.org/officeDocument/2006/relationships/image" Target="media/image3.gif"/><Relationship Id="rId85" Type="http://schemas.openxmlformats.org/officeDocument/2006/relationships/image" Target="media/image2.gif"/><Relationship Id="rId86" Type="http://schemas.openxmlformats.org/officeDocument/2006/relationships/image" Target="media/image3.gif"/><Relationship Id="rId87" Type="http://schemas.openxmlformats.org/officeDocument/2006/relationships/image" Target="media/image2.gif"/><Relationship Id="rId88" Type="http://schemas.openxmlformats.org/officeDocument/2006/relationships/image" Target="media/image3.gif"/><Relationship Id="rId89" Type="http://schemas.openxmlformats.org/officeDocument/2006/relationships/image" Target="media/image2.gif"/><Relationship Id="rId90" Type="http://schemas.openxmlformats.org/officeDocument/2006/relationships/image" Target="media/image3.gif"/><Relationship Id="rId91" Type="http://schemas.openxmlformats.org/officeDocument/2006/relationships/image" Target="media/image2.gif"/><Relationship Id="rId92" Type="http://schemas.openxmlformats.org/officeDocument/2006/relationships/image" Target="media/image3.gif"/><Relationship Id="rId93" Type="http://schemas.openxmlformats.org/officeDocument/2006/relationships/image" Target="media/image2.gif"/><Relationship Id="rId94" Type="http://schemas.openxmlformats.org/officeDocument/2006/relationships/image" Target="media/image3.gif"/><Relationship Id="rId95" Type="http://schemas.openxmlformats.org/officeDocument/2006/relationships/image" Target="media/image2.gif"/><Relationship Id="rId96" Type="http://schemas.openxmlformats.org/officeDocument/2006/relationships/image" Target="media/image3.gif"/><Relationship Id="rId97" Type="http://schemas.openxmlformats.org/officeDocument/2006/relationships/image" Target="media/image2.gif"/><Relationship Id="rId98" Type="http://schemas.openxmlformats.org/officeDocument/2006/relationships/image" Target="media/image3.gif"/><Relationship Id="rId99" Type="http://schemas.openxmlformats.org/officeDocument/2006/relationships/image" Target="media/image2.gif"/><Relationship Id="rId100" Type="http://schemas.openxmlformats.org/officeDocument/2006/relationships/image" Target="media/image3.gif"/><Relationship Id="rId101" Type="http://schemas.openxmlformats.org/officeDocument/2006/relationships/image" Target="media/image2.gif"/><Relationship Id="rId102" Type="http://schemas.openxmlformats.org/officeDocument/2006/relationships/image" Target="media/image3.gif"/><Relationship Id="rId103" Type="http://schemas.openxmlformats.org/officeDocument/2006/relationships/image" Target="media/image2.gif"/><Relationship Id="rId104" Type="http://schemas.openxmlformats.org/officeDocument/2006/relationships/image" Target="media/image3.gif"/><Relationship Id="rId105" Type="http://schemas.openxmlformats.org/officeDocument/2006/relationships/image" Target="media/image2.gif"/><Relationship Id="rId106" Type="http://schemas.openxmlformats.org/officeDocument/2006/relationships/image" Target="media/image3.gif"/><Relationship Id="rId107" Type="http://schemas.openxmlformats.org/officeDocument/2006/relationships/image" Target="media/image2.gif"/><Relationship Id="rId108" Type="http://schemas.openxmlformats.org/officeDocument/2006/relationships/image" Target="media/image3.gif"/><Relationship Id="rId109" Type="http://schemas.openxmlformats.org/officeDocument/2006/relationships/image" Target="media/image2.gif"/><Relationship Id="rId110" Type="http://schemas.openxmlformats.org/officeDocument/2006/relationships/image" Target="media/image3.gif"/><Relationship Id="rId111" Type="http://schemas.openxmlformats.org/officeDocument/2006/relationships/image" Target="media/image2.gif"/><Relationship Id="rId112" Type="http://schemas.openxmlformats.org/officeDocument/2006/relationships/image" Target="media/image3.gif"/><Relationship Id="rId113" Type="http://schemas.openxmlformats.org/officeDocument/2006/relationships/image" Target="media/image2.gif"/><Relationship Id="rId114" Type="http://schemas.openxmlformats.org/officeDocument/2006/relationships/image" Target="media/image3.gif"/><Relationship Id="rId115" Type="http://schemas.openxmlformats.org/officeDocument/2006/relationships/image" Target="media/image2.gif"/><Relationship Id="rId116" Type="http://schemas.openxmlformats.org/officeDocument/2006/relationships/image" Target="media/image3.gif"/><Relationship Id="rId117" Type="http://schemas.openxmlformats.org/officeDocument/2006/relationships/image" Target="media/image2.gif"/><Relationship Id="rId118" Type="http://schemas.openxmlformats.org/officeDocument/2006/relationships/image" Target="media/image3.gif"/><Relationship Id="rId119" Type="http://schemas.openxmlformats.org/officeDocument/2006/relationships/image" Target="media/image2.gif"/><Relationship Id="rId120" Type="http://schemas.openxmlformats.org/officeDocument/2006/relationships/image" Target="media/image3.gif"/><Relationship Id="rId121" Type="http://schemas.openxmlformats.org/officeDocument/2006/relationships/image" Target="media/image2.gif"/><Relationship Id="rId122" Type="http://schemas.openxmlformats.org/officeDocument/2006/relationships/image" Target="media/image3.gif"/><Relationship Id="rId123" Type="http://schemas.openxmlformats.org/officeDocument/2006/relationships/image" Target="media/image2.gif"/><Relationship Id="rId124" Type="http://schemas.openxmlformats.org/officeDocument/2006/relationships/image" Target="media/image3.gif"/><Relationship Id="rId125" Type="http://schemas.openxmlformats.org/officeDocument/2006/relationships/image" Target="media/image2.gif"/><Relationship Id="rId126" Type="http://schemas.openxmlformats.org/officeDocument/2006/relationships/image" Target="media/image3.gif"/><Relationship Id="rId127" Type="http://schemas.openxmlformats.org/officeDocument/2006/relationships/image" Target="media/image2.gif"/><Relationship Id="rId128" Type="http://schemas.openxmlformats.org/officeDocument/2006/relationships/image" Target="media/image3.gif"/><Relationship Id="rId129" Type="http://schemas.openxmlformats.org/officeDocument/2006/relationships/image" Target="media/image2.gif"/><Relationship Id="rId130" Type="http://schemas.openxmlformats.org/officeDocument/2006/relationships/image" Target="media/image3.gif"/><Relationship Id="rId131" Type="http://schemas.openxmlformats.org/officeDocument/2006/relationships/image" Target="media/image2.gif"/><Relationship Id="rId132" Type="http://schemas.openxmlformats.org/officeDocument/2006/relationships/image" Target="media/image3.gif"/><Relationship Id="rId133" Type="http://schemas.openxmlformats.org/officeDocument/2006/relationships/image" Target="media/image2.gif"/><Relationship Id="rId134" Type="http://schemas.openxmlformats.org/officeDocument/2006/relationships/image" Target="media/image3.gif"/><Relationship Id="rId135" Type="http://schemas.openxmlformats.org/officeDocument/2006/relationships/image" Target="media/image2.gif"/><Relationship Id="rId136" Type="http://schemas.openxmlformats.org/officeDocument/2006/relationships/image" Target="media/image3.gif"/><Relationship Id="rId137" Type="http://schemas.openxmlformats.org/officeDocument/2006/relationships/image" Target="media/image2.gif"/><Relationship Id="rId138" Type="http://schemas.openxmlformats.org/officeDocument/2006/relationships/image" Target="media/image3.gif"/><Relationship Id="rId139" Type="http://schemas.openxmlformats.org/officeDocument/2006/relationships/image" Target="media/image2.gif"/><Relationship Id="rId140" Type="http://schemas.openxmlformats.org/officeDocument/2006/relationships/image" Target="media/image3.gif"/><Relationship Id="rId141" Type="http://schemas.openxmlformats.org/officeDocument/2006/relationships/image" Target="media/image2.gif"/><Relationship Id="rId142" Type="http://schemas.openxmlformats.org/officeDocument/2006/relationships/image" Target="media/image3.gif"/><Relationship Id="rId143" Type="http://schemas.openxmlformats.org/officeDocument/2006/relationships/image" Target="media/image2.gif"/><Relationship Id="rId144" Type="http://schemas.openxmlformats.org/officeDocument/2006/relationships/image" Target="media/image3.gif"/><Relationship Id="rId145" Type="http://schemas.openxmlformats.org/officeDocument/2006/relationships/image" Target="media/image2.gif"/><Relationship Id="rId146" Type="http://schemas.openxmlformats.org/officeDocument/2006/relationships/image" Target="media/image3.gif"/><Relationship Id="rId147" Type="http://schemas.openxmlformats.org/officeDocument/2006/relationships/image" Target="media/image2.gif"/><Relationship Id="rId148" Type="http://schemas.openxmlformats.org/officeDocument/2006/relationships/image" Target="media/image3.gif"/><Relationship Id="rId149" Type="http://schemas.openxmlformats.org/officeDocument/2006/relationships/image" Target="media/image2.gif"/><Relationship Id="rId150" Type="http://schemas.openxmlformats.org/officeDocument/2006/relationships/image" Target="media/image3.gif"/><Relationship Id="rId151" Type="http://schemas.openxmlformats.org/officeDocument/2006/relationships/image" Target="media/image2.gif"/><Relationship Id="rId152" Type="http://schemas.openxmlformats.org/officeDocument/2006/relationships/image" Target="media/image3.gif"/><Relationship Id="rId153" Type="http://schemas.openxmlformats.org/officeDocument/2006/relationships/image" Target="media/image2.gif"/><Relationship Id="rId154" Type="http://schemas.openxmlformats.org/officeDocument/2006/relationships/image" Target="media/image3.gif"/><Relationship Id="rId155" Type="http://schemas.openxmlformats.org/officeDocument/2006/relationships/image" Target="media/image2.gif"/><Relationship Id="rId156" Type="http://schemas.openxmlformats.org/officeDocument/2006/relationships/image" Target="media/image3.gif"/><Relationship Id="rId157" Type="http://schemas.openxmlformats.org/officeDocument/2006/relationships/image" Target="media/image2.gif"/><Relationship Id="rId158" Type="http://schemas.openxmlformats.org/officeDocument/2006/relationships/image" Target="media/image3.gif"/><Relationship Id="rId159" Type="http://schemas.openxmlformats.org/officeDocument/2006/relationships/image" Target="media/image2.gif"/><Relationship Id="rId160" Type="http://schemas.openxmlformats.org/officeDocument/2006/relationships/image" Target="media/image3.gif"/><Relationship Id="rId161" Type="http://schemas.openxmlformats.org/officeDocument/2006/relationships/image" Target="media/image2.gif"/><Relationship Id="rId162" Type="http://schemas.openxmlformats.org/officeDocument/2006/relationships/image" Target="media/image3.gif"/><Relationship Id="rId163" Type="http://schemas.openxmlformats.org/officeDocument/2006/relationships/image" Target="media/image2.gif"/><Relationship Id="rId164" Type="http://schemas.openxmlformats.org/officeDocument/2006/relationships/image" Target="media/image3.gif"/><Relationship Id="rId165" Type="http://schemas.openxmlformats.org/officeDocument/2006/relationships/image" Target="media/image2.gif"/><Relationship Id="rId166" Type="http://schemas.openxmlformats.org/officeDocument/2006/relationships/image" Target="media/image3.gif"/><Relationship Id="rId167" Type="http://schemas.openxmlformats.org/officeDocument/2006/relationships/image" Target="media/image2.gif"/><Relationship Id="rId168" Type="http://schemas.openxmlformats.org/officeDocument/2006/relationships/image" Target="media/image3.gif"/><Relationship Id="rId169" Type="http://schemas.openxmlformats.org/officeDocument/2006/relationships/image" Target="media/image2.gif"/><Relationship Id="rId170" Type="http://schemas.openxmlformats.org/officeDocument/2006/relationships/image" Target="media/image3.gif"/><Relationship Id="rId171" Type="http://schemas.openxmlformats.org/officeDocument/2006/relationships/image" Target="media/image2.gif"/><Relationship Id="rId172" Type="http://schemas.openxmlformats.org/officeDocument/2006/relationships/image" Target="media/image3.gif"/><Relationship Id="rId173" Type="http://schemas.openxmlformats.org/officeDocument/2006/relationships/image" Target="media/image2.gif"/><Relationship Id="rId174" Type="http://schemas.openxmlformats.org/officeDocument/2006/relationships/image" Target="media/image3.gif"/><Relationship Id="rId175" Type="http://schemas.openxmlformats.org/officeDocument/2006/relationships/image" Target="media/image2.gif"/><Relationship Id="rId176" Type="http://schemas.openxmlformats.org/officeDocument/2006/relationships/image" Target="media/image3.gif"/><Relationship Id="rId177" Type="http://schemas.openxmlformats.org/officeDocument/2006/relationships/image" Target="media/image2.gif"/><Relationship Id="rId178" Type="http://schemas.openxmlformats.org/officeDocument/2006/relationships/image" Target="media/image3.gif"/><Relationship Id="rId179" Type="http://schemas.openxmlformats.org/officeDocument/2006/relationships/image" Target="media/image2.gif"/><Relationship Id="rId180" Type="http://schemas.openxmlformats.org/officeDocument/2006/relationships/image" Target="media/image3.gif"/><Relationship Id="rId181" Type="http://schemas.openxmlformats.org/officeDocument/2006/relationships/image" Target="media/image2.gif"/><Relationship Id="rId182" Type="http://schemas.openxmlformats.org/officeDocument/2006/relationships/image" Target="media/image3.gif"/><Relationship Id="rId183" Type="http://schemas.openxmlformats.org/officeDocument/2006/relationships/image" Target="media/image2.gif"/><Relationship Id="rId184" Type="http://schemas.openxmlformats.org/officeDocument/2006/relationships/image" Target="media/image3.gif"/><Relationship Id="rId185" Type="http://schemas.openxmlformats.org/officeDocument/2006/relationships/image" Target="media/image2.gif"/><Relationship Id="rId186" Type="http://schemas.openxmlformats.org/officeDocument/2006/relationships/image" Target="media/image3.gif"/><Relationship Id="rId187" Type="http://schemas.openxmlformats.org/officeDocument/2006/relationships/image" Target="media/image2.gif"/><Relationship Id="rId188" Type="http://schemas.openxmlformats.org/officeDocument/2006/relationships/image" Target="media/image3.gif"/><Relationship Id="rId189" Type="http://schemas.openxmlformats.org/officeDocument/2006/relationships/image" Target="media/image2.gif"/><Relationship Id="rId190" Type="http://schemas.openxmlformats.org/officeDocument/2006/relationships/image" Target="media/image3.gif"/><Relationship Id="rId191" Type="http://schemas.openxmlformats.org/officeDocument/2006/relationships/image" Target="media/image2.gif"/><Relationship Id="rId192" Type="http://schemas.openxmlformats.org/officeDocument/2006/relationships/image" Target="media/image3.gif"/><Relationship Id="rId193" Type="http://schemas.openxmlformats.org/officeDocument/2006/relationships/image" Target="media/image2.gif"/><Relationship Id="rId194" Type="http://schemas.openxmlformats.org/officeDocument/2006/relationships/image" Target="media/image3.gif"/><Relationship Id="rId195" Type="http://schemas.openxmlformats.org/officeDocument/2006/relationships/image" Target="media/image2.gif"/><Relationship Id="rId196" Type="http://schemas.openxmlformats.org/officeDocument/2006/relationships/image" Target="media/image3.gif"/><Relationship Id="rId197" Type="http://schemas.openxmlformats.org/officeDocument/2006/relationships/image" Target="media/image2.gif"/><Relationship Id="rId198" Type="http://schemas.openxmlformats.org/officeDocument/2006/relationships/image" Target="media/image3.gif"/><Relationship Id="rId199" Type="http://schemas.openxmlformats.org/officeDocument/2006/relationships/image" Target="media/image2.gif"/><Relationship Id="rId200" Type="http://schemas.openxmlformats.org/officeDocument/2006/relationships/image" Target="media/image3.gif"/><Relationship Id="rId201" Type="http://schemas.openxmlformats.org/officeDocument/2006/relationships/image" Target="media/image2.gif"/><Relationship Id="rId202" Type="http://schemas.openxmlformats.org/officeDocument/2006/relationships/image" Target="media/image3.gif"/><Relationship Id="rId203" Type="http://schemas.openxmlformats.org/officeDocument/2006/relationships/image" Target="media/image2.gif"/><Relationship Id="rId204" Type="http://schemas.openxmlformats.org/officeDocument/2006/relationships/image" Target="media/image3.gif"/><Relationship Id="rId205" Type="http://schemas.openxmlformats.org/officeDocument/2006/relationships/image" Target="media/image2.gif"/><Relationship Id="rId206" Type="http://schemas.openxmlformats.org/officeDocument/2006/relationships/image" Target="media/image3.gif"/><Relationship Id="rId207" Type="http://schemas.openxmlformats.org/officeDocument/2006/relationships/image" Target="media/image2.gif"/><Relationship Id="rId208" Type="http://schemas.openxmlformats.org/officeDocument/2006/relationships/image" Target="media/image3.gif"/><Relationship Id="rId209" Type="http://schemas.openxmlformats.org/officeDocument/2006/relationships/image" Target="media/image2.gif"/><Relationship Id="rId210" Type="http://schemas.openxmlformats.org/officeDocument/2006/relationships/image" Target="media/image3.gif"/><Relationship Id="rId211" Type="http://schemas.openxmlformats.org/officeDocument/2006/relationships/image" Target="media/image2.gif"/><Relationship Id="rId212" Type="http://schemas.openxmlformats.org/officeDocument/2006/relationships/image" Target="media/image3.gif"/><Relationship Id="rId213" Type="http://schemas.openxmlformats.org/officeDocument/2006/relationships/image" Target="media/image2.gif"/><Relationship Id="rId214" Type="http://schemas.openxmlformats.org/officeDocument/2006/relationships/image" Target="media/image3.gif"/><Relationship Id="rId215" Type="http://schemas.openxmlformats.org/officeDocument/2006/relationships/image" Target="media/image2.gif"/><Relationship Id="rId216" Type="http://schemas.openxmlformats.org/officeDocument/2006/relationships/image" Target="media/image3.gif"/><Relationship Id="rId217" Type="http://schemas.openxmlformats.org/officeDocument/2006/relationships/image" Target="media/image2.gif"/><Relationship Id="rId218" Type="http://schemas.openxmlformats.org/officeDocument/2006/relationships/image" Target="media/image3.gif"/><Relationship Id="rId219" Type="http://schemas.openxmlformats.org/officeDocument/2006/relationships/image" Target="media/image2.gif"/><Relationship Id="rId220" Type="http://schemas.openxmlformats.org/officeDocument/2006/relationships/image" Target="media/image3.gif"/><Relationship Id="rId221" Type="http://schemas.openxmlformats.org/officeDocument/2006/relationships/image" Target="media/image2.gif"/><Relationship Id="rId222" Type="http://schemas.openxmlformats.org/officeDocument/2006/relationships/image" Target="media/image3.gif"/><Relationship Id="rId223" Type="http://schemas.openxmlformats.org/officeDocument/2006/relationships/image" Target="media/image2.gif"/><Relationship Id="rId224" Type="http://schemas.openxmlformats.org/officeDocument/2006/relationships/image" Target="media/image3.gif"/><Relationship Id="rId225" Type="http://schemas.openxmlformats.org/officeDocument/2006/relationships/image" Target="media/image2.gif"/><Relationship Id="rId226" Type="http://schemas.openxmlformats.org/officeDocument/2006/relationships/image" Target="media/image3.gif"/><Relationship Id="rId227" Type="http://schemas.openxmlformats.org/officeDocument/2006/relationships/image" Target="media/image2.gif"/><Relationship Id="rId228" Type="http://schemas.openxmlformats.org/officeDocument/2006/relationships/image" Target="media/image3.gif"/><Relationship Id="rId229" Type="http://schemas.openxmlformats.org/officeDocument/2006/relationships/image" Target="media/image2.gif"/><Relationship Id="rId230" Type="http://schemas.openxmlformats.org/officeDocument/2006/relationships/image" Target="media/image3.gif"/><Relationship Id="rId231" Type="http://schemas.openxmlformats.org/officeDocument/2006/relationships/image" Target="media/image2.gif"/><Relationship Id="rId232" Type="http://schemas.openxmlformats.org/officeDocument/2006/relationships/image" Target="media/image3.gif"/><Relationship Id="rId233" Type="http://schemas.openxmlformats.org/officeDocument/2006/relationships/image" Target="media/image2.gif"/><Relationship Id="rId234" Type="http://schemas.openxmlformats.org/officeDocument/2006/relationships/image" Target="media/image3.gif"/><Relationship Id="rId235" Type="http://schemas.openxmlformats.org/officeDocument/2006/relationships/image" Target="media/image2.gif"/><Relationship Id="rId236" Type="http://schemas.openxmlformats.org/officeDocument/2006/relationships/image" Target="media/image3.gif"/><Relationship Id="rId237" Type="http://schemas.openxmlformats.org/officeDocument/2006/relationships/image" Target="media/image2.gif"/><Relationship Id="rId238" Type="http://schemas.openxmlformats.org/officeDocument/2006/relationships/image" Target="media/image3.gif"/><Relationship Id="rId239" Type="http://schemas.openxmlformats.org/officeDocument/2006/relationships/image" Target="media/image2.gif"/><Relationship Id="rId240" Type="http://schemas.openxmlformats.org/officeDocument/2006/relationships/image" Target="media/image3.gif"/><Relationship Id="rId241" Type="http://schemas.openxmlformats.org/officeDocument/2006/relationships/image" Target="media/image2.gif"/><Relationship Id="rId242" Type="http://schemas.openxmlformats.org/officeDocument/2006/relationships/image" Target="media/image3.gif"/><Relationship Id="rId243" Type="http://schemas.openxmlformats.org/officeDocument/2006/relationships/image" Target="media/image2.gif"/><Relationship Id="rId244" Type="http://schemas.openxmlformats.org/officeDocument/2006/relationships/image" Target="media/image3.gif"/><Relationship Id="rId245" Type="http://schemas.openxmlformats.org/officeDocument/2006/relationships/image" Target="media/image2.gif"/><Relationship Id="rId246" Type="http://schemas.openxmlformats.org/officeDocument/2006/relationships/image" Target="media/image3.gif"/><Relationship Id="rId247" Type="http://schemas.openxmlformats.org/officeDocument/2006/relationships/image" Target="media/image2.gif"/><Relationship Id="rId248" Type="http://schemas.openxmlformats.org/officeDocument/2006/relationships/image" Target="media/image3.gif"/><Relationship Id="rId249" Type="http://schemas.openxmlformats.org/officeDocument/2006/relationships/image" Target="media/image2.gif"/><Relationship Id="rId250" Type="http://schemas.openxmlformats.org/officeDocument/2006/relationships/image" Target="media/image3.gif"/><Relationship Id="rId251" Type="http://schemas.openxmlformats.org/officeDocument/2006/relationships/image" Target="media/image2.gif"/><Relationship Id="rId252" Type="http://schemas.openxmlformats.org/officeDocument/2006/relationships/image" Target="media/image3.gif"/><Relationship Id="rId253" Type="http://schemas.openxmlformats.org/officeDocument/2006/relationships/image" Target="media/image2.gif"/><Relationship Id="rId254" Type="http://schemas.openxmlformats.org/officeDocument/2006/relationships/image" Target="media/image3.gif"/><Relationship Id="rId255" Type="http://schemas.openxmlformats.org/officeDocument/2006/relationships/image" Target="media/image2.gif"/><Relationship Id="rId256" Type="http://schemas.openxmlformats.org/officeDocument/2006/relationships/image" Target="media/image3.gif"/><Relationship Id="rId257" Type="http://schemas.openxmlformats.org/officeDocument/2006/relationships/image" Target="media/image2.gif"/><Relationship Id="rId258" Type="http://schemas.openxmlformats.org/officeDocument/2006/relationships/image" Target="media/image3.gif"/><Relationship Id="rId259" Type="http://schemas.openxmlformats.org/officeDocument/2006/relationships/image" Target="media/image2.gif"/><Relationship Id="rId260" Type="http://schemas.openxmlformats.org/officeDocument/2006/relationships/image" Target="media/image3.gif"/><Relationship Id="rId261" Type="http://schemas.openxmlformats.org/officeDocument/2006/relationships/image" Target="media/image2.gif"/><Relationship Id="rId262" Type="http://schemas.openxmlformats.org/officeDocument/2006/relationships/image" Target="media/image3.gif"/><Relationship Id="rId263" Type="http://schemas.openxmlformats.org/officeDocument/2006/relationships/image" Target="media/image2.gif"/><Relationship Id="rId264" Type="http://schemas.openxmlformats.org/officeDocument/2006/relationships/image" Target="media/image3.gif"/><Relationship Id="rId265" Type="http://schemas.openxmlformats.org/officeDocument/2006/relationships/image" Target="media/image2.gif"/><Relationship Id="rId266" Type="http://schemas.openxmlformats.org/officeDocument/2006/relationships/image" Target="media/image3.gif"/><Relationship Id="rId267" Type="http://schemas.openxmlformats.org/officeDocument/2006/relationships/image" Target="media/image2.gif"/><Relationship Id="rId268" Type="http://schemas.openxmlformats.org/officeDocument/2006/relationships/image" Target="media/image3.gif"/><Relationship Id="rId269" Type="http://schemas.openxmlformats.org/officeDocument/2006/relationships/image" Target="media/image2.gif"/><Relationship Id="rId270" Type="http://schemas.openxmlformats.org/officeDocument/2006/relationships/image" Target="media/image3.gif"/><Relationship Id="rId271" Type="http://schemas.openxmlformats.org/officeDocument/2006/relationships/image" Target="media/image2.gif"/><Relationship Id="rId272" Type="http://schemas.openxmlformats.org/officeDocument/2006/relationships/image" Target="media/image3.gif"/><Relationship Id="rId273" Type="http://schemas.openxmlformats.org/officeDocument/2006/relationships/image" Target="media/image2.gif"/><Relationship Id="rId274" Type="http://schemas.openxmlformats.org/officeDocument/2006/relationships/image" Target="media/image3.gif"/><Relationship Id="rId275" Type="http://schemas.openxmlformats.org/officeDocument/2006/relationships/image" Target="media/image2.gif"/><Relationship Id="rId276" Type="http://schemas.openxmlformats.org/officeDocument/2006/relationships/image" Target="media/image3.gif"/><Relationship Id="rId277" Type="http://schemas.openxmlformats.org/officeDocument/2006/relationships/image" Target="media/image2.gif"/><Relationship Id="rId278" Type="http://schemas.openxmlformats.org/officeDocument/2006/relationships/image" Target="media/image3.gif"/><Relationship Id="rId279" Type="http://schemas.openxmlformats.org/officeDocument/2006/relationships/image" Target="media/image2.gif"/><Relationship Id="rId280" Type="http://schemas.openxmlformats.org/officeDocument/2006/relationships/image" Target="media/image3.gif"/><Relationship Id="rId281" Type="http://schemas.openxmlformats.org/officeDocument/2006/relationships/image" Target="media/image2.gif"/><Relationship Id="rId282" Type="http://schemas.openxmlformats.org/officeDocument/2006/relationships/image" Target="media/image3.gif"/><Relationship Id="rId283" Type="http://schemas.openxmlformats.org/officeDocument/2006/relationships/image" Target="media/image2.gif"/><Relationship Id="rId284" Type="http://schemas.openxmlformats.org/officeDocument/2006/relationships/image" Target="media/image3.gif"/><Relationship Id="rId285" Type="http://schemas.openxmlformats.org/officeDocument/2006/relationships/image" Target="media/image2.gif"/><Relationship Id="rId286" Type="http://schemas.openxmlformats.org/officeDocument/2006/relationships/image" Target="media/image3.gif"/><Relationship Id="rId287" Type="http://schemas.openxmlformats.org/officeDocument/2006/relationships/image" Target="media/image2.gif"/><Relationship Id="rId288" Type="http://schemas.openxmlformats.org/officeDocument/2006/relationships/image" Target="media/image3.gif"/><Relationship Id="rId289" Type="http://schemas.openxmlformats.org/officeDocument/2006/relationships/image" Target="media/image2.gif"/><Relationship Id="rId290" Type="http://schemas.openxmlformats.org/officeDocument/2006/relationships/image" Target="media/image3.gif"/><Relationship Id="rId291" Type="http://schemas.openxmlformats.org/officeDocument/2006/relationships/image" Target="media/image2.gif"/><Relationship Id="rId292" Type="http://schemas.openxmlformats.org/officeDocument/2006/relationships/image" Target="media/image3.gif"/><Relationship Id="rId293" Type="http://schemas.openxmlformats.org/officeDocument/2006/relationships/image" Target="media/image2.gif"/><Relationship Id="rId294" Type="http://schemas.openxmlformats.org/officeDocument/2006/relationships/image" Target="media/image3.gif"/><Relationship Id="rId295" Type="http://schemas.openxmlformats.org/officeDocument/2006/relationships/image" Target="media/image2.gif"/><Relationship Id="rId296" Type="http://schemas.openxmlformats.org/officeDocument/2006/relationships/image" Target="media/image3.gif"/><Relationship Id="rId297" Type="http://schemas.openxmlformats.org/officeDocument/2006/relationships/image" Target="media/image2.gif"/><Relationship Id="rId298" Type="http://schemas.openxmlformats.org/officeDocument/2006/relationships/image" Target="media/image3.gif"/><Relationship Id="rId299" Type="http://schemas.openxmlformats.org/officeDocument/2006/relationships/image" Target="media/image2.gif"/><Relationship Id="rId300" Type="http://schemas.openxmlformats.org/officeDocument/2006/relationships/image" Target="media/image3.gif"/><Relationship Id="rId301" Type="http://schemas.openxmlformats.org/officeDocument/2006/relationships/image" Target="media/image2.gif"/><Relationship Id="rId302" Type="http://schemas.openxmlformats.org/officeDocument/2006/relationships/image" Target="media/image3.gif"/><Relationship Id="rId303" Type="http://schemas.openxmlformats.org/officeDocument/2006/relationships/image" Target="media/image2.gif"/><Relationship Id="rId304" Type="http://schemas.openxmlformats.org/officeDocument/2006/relationships/image" Target="media/image3.gif"/><Relationship Id="rId305" Type="http://schemas.openxmlformats.org/officeDocument/2006/relationships/image" Target="media/image2.gif"/><Relationship Id="rId306" Type="http://schemas.openxmlformats.org/officeDocument/2006/relationships/image" Target="media/image3.gif"/><Relationship Id="rId307" Type="http://schemas.openxmlformats.org/officeDocument/2006/relationships/image" Target="media/image2.gif"/><Relationship Id="rId308" Type="http://schemas.openxmlformats.org/officeDocument/2006/relationships/image" Target="media/image3.gif"/><Relationship Id="rId309" Type="http://schemas.openxmlformats.org/officeDocument/2006/relationships/image" Target="media/image2.gif"/><Relationship Id="rId310" Type="http://schemas.openxmlformats.org/officeDocument/2006/relationships/image" Target="media/image3.gif"/><Relationship Id="rId311" Type="http://schemas.openxmlformats.org/officeDocument/2006/relationships/image" Target="media/image2.gif"/><Relationship Id="rId312" Type="http://schemas.openxmlformats.org/officeDocument/2006/relationships/image" Target="media/image3.gif"/><Relationship Id="rId313" Type="http://schemas.openxmlformats.org/officeDocument/2006/relationships/image" Target="media/image2.gif"/><Relationship Id="rId314" Type="http://schemas.openxmlformats.org/officeDocument/2006/relationships/image" Target="media/image3.gif"/><Relationship Id="rId315" Type="http://schemas.openxmlformats.org/officeDocument/2006/relationships/image" Target="media/image2.gif"/><Relationship Id="rId316" Type="http://schemas.openxmlformats.org/officeDocument/2006/relationships/image" Target="media/image3.gif"/><Relationship Id="rId317" Type="http://schemas.openxmlformats.org/officeDocument/2006/relationships/image" Target="media/image2.gif"/><Relationship Id="rId318" Type="http://schemas.openxmlformats.org/officeDocument/2006/relationships/image" Target="media/image3.gif"/><Relationship Id="rId319" Type="http://schemas.openxmlformats.org/officeDocument/2006/relationships/image" Target="media/image2.gif"/><Relationship Id="rId320" Type="http://schemas.openxmlformats.org/officeDocument/2006/relationships/image" Target="media/image3.gif"/><Relationship Id="rId321" Type="http://schemas.openxmlformats.org/officeDocument/2006/relationships/image" Target="media/image2.gif"/><Relationship Id="rId322" Type="http://schemas.openxmlformats.org/officeDocument/2006/relationships/image" Target="media/image3.gif"/><Relationship Id="rId323" Type="http://schemas.openxmlformats.org/officeDocument/2006/relationships/image" Target="media/image2.gif"/><Relationship Id="rId324" Type="http://schemas.openxmlformats.org/officeDocument/2006/relationships/image" Target="media/image3.gif"/><Relationship Id="rId325" Type="http://schemas.openxmlformats.org/officeDocument/2006/relationships/image" Target="media/image2.gif"/><Relationship Id="rId326" Type="http://schemas.openxmlformats.org/officeDocument/2006/relationships/image" Target="media/image3.gif"/><Relationship Id="rId327" Type="http://schemas.openxmlformats.org/officeDocument/2006/relationships/image" Target="media/image2.gif"/><Relationship Id="rId328" Type="http://schemas.openxmlformats.org/officeDocument/2006/relationships/image" Target="media/image3.gif"/><Relationship Id="rId329" Type="http://schemas.openxmlformats.org/officeDocument/2006/relationships/image" Target="media/image2.gif"/><Relationship Id="rId330" Type="http://schemas.openxmlformats.org/officeDocument/2006/relationships/image" Target="media/image3.gif"/><Relationship Id="rId331" Type="http://schemas.openxmlformats.org/officeDocument/2006/relationships/image" Target="media/image2.gif"/><Relationship Id="rId332" Type="http://schemas.openxmlformats.org/officeDocument/2006/relationships/image" Target="media/image3.gif"/><Relationship Id="rId333" Type="http://schemas.openxmlformats.org/officeDocument/2006/relationships/image" Target="media/image2.gif"/><Relationship Id="rId334" Type="http://schemas.openxmlformats.org/officeDocument/2006/relationships/image" Target="media/image3.gif"/><Relationship Id="rId335" Type="http://schemas.openxmlformats.org/officeDocument/2006/relationships/image" Target="media/image2.gif"/><Relationship Id="rId336" Type="http://schemas.openxmlformats.org/officeDocument/2006/relationships/image" Target="media/image3.gif"/><Relationship Id="rId337" Type="http://schemas.openxmlformats.org/officeDocument/2006/relationships/image" Target="media/image2.gif"/><Relationship Id="rId338" Type="http://schemas.openxmlformats.org/officeDocument/2006/relationships/image" Target="media/image3.gif"/><Relationship Id="rId339" Type="http://schemas.openxmlformats.org/officeDocument/2006/relationships/image" Target="media/image2.gif"/><Relationship Id="rId340" Type="http://schemas.openxmlformats.org/officeDocument/2006/relationships/image" Target="media/image3.gif"/><Relationship Id="rId341" Type="http://schemas.openxmlformats.org/officeDocument/2006/relationships/image" Target="media/image2.gif"/><Relationship Id="rId342" Type="http://schemas.openxmlformats.org/officeDocument/2006/relationships/image" Target="media/image3.gif"/><Relationship Id="rId343" Type="http://schemas.openxmlformats.org/officeDocument/2006/relationships/image" Target="media/image2.gif"/><Relationship Id="rId344" Type="http://schemas.openxmlformats.org/officeDocument/2006/relationships/image" Target="media/image3.gif"/><Relationship Id="rId345" Type="http://schemas.openxmlformats.org/officeDocument/2006/relationships/image" Target="media/image2.gif"/><Relationship Id="rId346" Type="http://schemas.openxmlformats.org/officeDocument/2006/relationships/image" Target="media/image3.gif"/><Relationship Id="rId347" Type="http://schemas.openxmlformats.org/officeDocument/2006/relationships/image" Target="media/image2.gif"/><Relationship Id="rId348" Type="http://schemas.openxmlformats.org/officeDocument/2006/relationships/image" Target="media/image3.gif"/><Relationship Id="rId349" Type="http://schemas.openxmlformats.org/officeDocument/2006/relationships/image" Target="media/image2.gif"/><Relationship Id="rId350" Type="http://schemas.openxmlformats.org/officeDocument/2006/relationships/image" Target="media/image3.gif"/><Relationship Id="rId351" Type="http://schemas.openxmlformats.org/officeDocument/2006/relationships/image" Target="media/image2.gif"/><Relationship Id="rId352" Type="http://schemas.openxmlformats.org/officeDocument/2006/relationships/image" Target="media/image3.gif"/><Relationship Id="rId353" Type="http://schemas.openxmlformats.org/officeDocument/2006/relationships/image" Target="media/image2.gif"/><Relationship Id="rId354" Type="http://schemas.openxmlformats.org/officeDocument/2006/relationships/image" Target="media/image3.gif"/><Relationship Id="rId355" Type="http://schemas.openxmlformats.org/officeDocument/2006/relationships/fontTable" Target="fontTable.xml"/><Relationship Id="rId3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183</Pages>
  <Words>93934</Words>
  <Characters>535223</Characters>
  <CharactersWithSpaces>625378</CharactersWithSpaces>
  <Paragraphs>4754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