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October 9, 2019.</w:t>
      </w:r>
    </w:p>
    <w:p>
      <w:pPr>
        <w:spacing w:after="0" w:line="6" w:lineRule="exact"/>
        <w:rPr>
          <w:sz w:val="24"/>
          <w:szCs w:val="24"/>
          <w:color w:val="auto"/>
        </w:rPr>
      </w:pPr>
    </w:p>
    <w:p>
      <w:pPr>
        <w:ind w:left="9380"/>
        <w:spacing w:after="0"/>
        <w:rPr>
          <w:sz w:val="20"/>
          <w:szCs w:val="20"/>
          <w:color w:val="auto"/>
        </w:rPr>
      </w:pPr>
      <w:r>
        <w:rPr>
          <w:rFonts w:ascii="Arial" w:cs="Arial" w:eastAsia="Arial" w:hAnsi="Arial"/>
          <w:sz w:val="13"/>
          <w:szCs w:val="13"/>
          <w:b w:val="1"/>
          <w:bCs w:val="1"/>
          <w:color w:val="auto"/>
        </w:rPr>
        <w:t>Registration No. 333-233688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73025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Amendment No. 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3"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BioNTech SE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Not Applicable</w:t>
      </w:r>
    </w:p>
    <w:p>
      <w:pPr>
        <w:jc w:val="center"/>
        <w:ind w:right="-17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3" w:lineRule="exact"/>
        <w:rPr>
          <w:sz w:val="24"/>
          <w:szCs w:val="24"/>
          <w:color w:val="auto"/>
        </w:rPr>
      </w:pPr>
    </w:p>
    <w:tbl>
      <w:tblPr>
        <w:tblLayout w:type="fixed"/>
        <w:tblInd w:w="1100" w:type="dxa"/>
        <w:tblCellMar>
          <w:top w:w="0" w:type="dxa"/>
          <w:left w:w="0" w:type="dxa"/>
          <w:bottom w:w="0" w:type="dxa"/>
          <w:right w:w="0" w:type="dxa"/>
        </w:tblCellMar>
      </w:tblPr>
      <w:tr>
        <w:trPr>
          <w:trHeight w:val="172"/>
        </w:trPr>
        <w:tc>
          <w:tcPr>
            <w:tcW w:w="2880" w:type="dxa"/>
            <w:vAlign w:val="bottom"/>
          </w:tcPr>
          <w:p>
            <w:pPr>
              <w:jc w:val="center"/>
              <w:ind w:right="867"/>
              <w:spacing w:after="0"/>
              <w:rPr>
                <w:sz w:val="20"/>
                <w:szCs w:val="20"/>
                <w:color w:val="auto"/>
              </w:rPr>
            </w:pPr>
            <w:r>
              <w:rPr>
                <w:rFonts w:ascii="Arial" w:cs="Arial" w:eastAsia="Arial" w:hAnsi="Arial"/>
                <w:sz w:val="15"/>
                <w:szCs w:val="15"/>
                <w:b w:val="1"/>
                <w:bCs w:val="1"/>
                <w:color w:val="auto"/>
                <w:w w:val="93"/>
              </w:rPr>
              <w:t>Federal Republic of Germany</w:t>
            </w:r>
          </w:p>
        </w:tc>
        <w:tc>
          <w:tcPr>
            <w:tcW w:w="3760" w:type="dxa"/>
            <w:vAlign w:val="bottom"/>
          </w:tcPr>
          <w:p>
            <w:pPr>
              <w:jc w:val="center"/>
              <w:spacing w:after="0"/>
              <w:rPr>
                <w:sz w:val="20"/>
                <w:szCs w:val="20"/>
                <w:color w:val="auto"/>
              </w:rPr>
            </w:pPr>
            <w:r>
              <w:rPr>
                <w:rFonts w:ascii="Arial" w:cs="Arial" w:eastAsia="Arial" w:hAnsi="Arial"/>
                <w:sz w:val="15"/>
                <w:szCs w:val="15"/>
                <w:b w:val="1"/>
                <w:bCs w:val="1"/>
                <w:color w:val="auto"/>
                <w:w w:val="89"/>
              </w:rPr>
              <w:t>2836</w:t>
            </w:r>
          </w:p>
        </w:tc>
        <w:tc>
          <w:tcPr>
            <w:tcW w:w="2440" w:type="dxa"/>
            <w:vAlign w:val="bottom"/>
          </w:tcPr>
          <w:p>
            <w:pPr>
              <w:jc w:val="center"/>
              <w:ind w:left="927"/>
              <w:spacing w:after="0"/>
              <w:rPr>
                <w:sz w:val="20"/>
                <w:szCs w:val="20"/>
                <w:color w:val="auto"/>
              </w:rPr>
            </w:pPr>
            <w:r>
              <w:rPr>
                <w:rFonts w:ascii="Arial" w:cs="Arial" w:eastAsia="Arial" w:hAnsi="Arial"/>
                <w:sz w:val="15"/>
                <w:szCs w:val="15"/>
                <w:b w:val="1"/>
                <w:bCs w:val="1"/>
                <w:color w:val="auto"/>
              </w:rPr>
              <w:t>NOT APPLICABLE</w:t>
            </w:r>
          </w:p>
        </w:tc>
      </w:tr>
      <w:tr>
        <w:trPr>
          <w:trHeight w:val="149"/>
        </w:trPr>
        <w:tc>
          <w:tcPr>
            <w:tcW w:w="2880" w:type="dxa"/>
            <w:vAlign w:val="bottom"/>
          </w:tcPr>
          <w:p>
            <w:pPr>
              <w:jc w:val="center"/>
              <w:ind w:right="86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867"/>
              <w:spacing w:after="0"/>
              <w:rPr>
                <w:sz w:val="20"/>
                <w:szCs w:val="20"/>
                <w:color w:val="auto"/>
              </w:rPr>
            </w:pPr>
            <w:r>
              <w:rPr>
                <w:rFonts w:ascii="Arial" w:cs="Arial" w:eastAsia="Arial" w:hAnsi="Arial"/>
                <w:sz w:val="14"/>
                <w:szCs w:val="14"/>
                <w:b w:val="1"/>
                <w:bCs w:val="1"/>
                <w:color w:val="auto"/>
                <w:w w:val="95"/>
              </w:rPr>
              <w:t>Incorporation or Organization)</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40" w:type="dxa"/>
            <w:vAlign w:val="bottom"/>
          </w:tcPr>
          <w:p>
            <w:pPr>
              <w:jc w:val="center"/>
              <w:ind w:left="927"/>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Prof. Ugur Sahin, M.D.</w:t>
      </w:r>
    </w:p>
    <w:p>
      <w:pPr>
        <w:jc w:val="center"/>
        <w:ind w:right="-179"/>
        <w:spacing w:after="0" w:line="233" w:lineRule="auto"/>
        <w:rPr>
          <w:sz w:val="20"/>
          <w:szCs w:val="20"/>
          <w:color w:val="auto"/>
        </w:rPr>
      </w:pPr>
      <w:r>
        <w:rPr>
          <w:rFonts w:ascii="Arial" w:cs="Arial" w:eastAsia="Arial" w:hAnsi="Arial"/>
          <w:sz w:val="15"/>
          <w:szCs w:val="15"/>
          <w:b w:val="1"/>
          <w:bCs w:val="1"/>
          <w:color w:val="auto"/>
        </w:rPr>
        <w:t>An der Goldgrube 12</w:t>
      </w:r>
    </w:p>
    <w:p>
      <w:pPr>
        <w:jc w:val="center"/>
        <w:ind w:right="-179"/>
        <w:spacing w:after="0" w:line="225" w:lineRule="auto"/>
        <w:rPr>
          <w:sz w:val="20"/>
          <w:szCs w:val="20"/>
          <w:color w:val="auto"/>
        </w:rPr>
      </w:pPr>
      <w:r>
        <w:rPr>
          <w:rFonts w:ascii="Arial" w:cs="Arial" w:eastAsia="Arial" w:hAnsi="Arial"/>
          <w:sz w:val="15"/>
          <w:szCs w:val="15"/>
          <w:b w:val="1"/>
          <w:bCs w:val="1"/>
          <w:color w:val="auto"/>
        </w:rPr>
        <w:t>D-55131 Mainz</w:t>
      </w:r>
    </w:p>
    <w:p>
      <w:pPr>
        <w:jc w:val="center"/>
        <w:ind w:right="-179"/>
        <w:spacing w:after="0" w:line="226" w:lineRule="auto"/>
        <w:rPr>
          <w:sz w:val="20"/>
          <w:szCs w:val="20"/>
          <w:color w:val="auto"/>
        </w:rPr>
      </w:pPr>
      <w:r>
        <w:rPr>
          <w:rFonts w:ascii="Arial" w:cs="Arial" w:eastAsia="Arial" w:hAnsi="Arial"/>
          <w:sz w:val="15"/>
          <w:szCs w:val="15"/>
          <w:b w:val="1"/>
          <w:bCs w:val="1"/>
          <w:color w:val="auto"/>
        </w:rPr>
        <w:t>Germany</w:t>
      </w:r>
    </w:p>
    <w:p>
      <w:pPr>
        <w:jc w:val="center"/>
        <w:ind w:right="-179"/>
        <w:spacing w:after="0" w:line="218" w:lineRule="auto"/>
        <w:rPr>
          <w:sz w:val="20"/>
          <w:szCs w:val="20"/>
          <w:color w:val="auto"/>
        </w:rPr>
      </w:pPr>
      <w:r>
        <w:rPr>
          <w:rFonts w:ascii="Arial" w:cs="Arial" w:eastAsia="Arial" w:hAnsi="Arial"/>
          <w:sz w:val="15"/>
          <w:szCs w:val="15"/>
          <w:b w:val="1"/>
          <w:bCs w:val="1"/>
          <w:color w:val="auto"/>
        </w:rPr>
        <w:t>Tel: +49 6131-9084-0</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73660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3"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BioNTech USA Holding, LLC</w:t>
      </w:r>
    </w:p>
    <w:p>
      <w:pPr>
        <w:jc w:val="center"/>
        <w:ind w:right="-179"/>
        <w:spacing w:after="0" w:line="233" w:lineRule="auto"/>
        <w:rPr>
          <w:sz w:val="20"/>
          <w:szCs w:val="20"/>
          <w:color w:val="auto"/>
        </w:rPr>
      </w:pPr>
      <w:r>
        <w:rPr>
          <w:rFonts w:ascii="Arial" w:cs="Arial" w:eastAsia="Arial" w:hAnsi="Arial"/>
          <w:sz w:val="15"/>
          <w:szCs w:val="15"/>
          <w:b w:val="1"/>
          <w:bCs w:val="1"/>
          <w:color w:val="auto"/>
        </w:rPr>
        <w:t>228 E 45th Street, Suite 9e</w:t>
      </w:r>
    </w:p>
    <w:p>
      <w:pPr>
        <w:jc w:val="center"/>
        <w:ind w:right="-179"/>
        <w:spacing w:after="0" w:line="225" w:lineRule="auto"/>
        <w:rPr>
          <w:sz w:val="20"/>
          <w:szCs w:val="20"/>
          <w:color w:val="auto"/>
        </w:rPr>
      </w:pPr>
      <w:r>
        <w:rPr>
          <w:rFonts w:ascii="Arial" w:cs="Arial" w:eastAsia="Arial" w:hAnsi="Arial"/>
          <w:sz w:val="15"/>
          <w:szCs w:val="15"/>
          <w:b w:val="1"/>
          <w:bCs w:val="1"/>
          <w:color w:val="auto"/>
        </w:rPr>
        <w:t>New York, NY 10017</w:t>
      </w:r>
    </w:p>
    <w:p>
      <w:pPr>
        <w:jc w:val="center"/>
        <w:ind w:right="-179"/>
        <w:spacing w:after="0" w:line="218" w:lineRule="auto"/>
        <w:rPr>
          <w:sz w:val="20"/>
          <w:szCs w:val="20"/>
          <w:color w:val="auto"/>
        </w:rPr>
      </w:pPr>
      <w:r>
        <w:rPr>
          <w:rFonts w:ascii="Arial" w:cs="Arial" w:eastAsia="Arial" w:hAnsi="Arial"/>
          <w:sz w:val="15"/>
          <w:szCs w:val="15"/>
          <w:b w:val="1"/>
          <w:bCs w:val="1"/>
          <w:color w:val="auto"/>
        </w:rPr>
        <w:t>+1 (347) 694-5321</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3" w:lineRule="exact"/>
        <w:rPr>
          <w:sz w:val="24"/>
          <w:szCs w:val="24"/>
          <w:color w:val="auto"/>
        </w:rPr>
      </w:pPr>
    </w:p>
    <w:tbl>
      <w:tblPr>
        <w:tblLayout w:type="fixed"/>
        <w:tblInd w:w="62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3460" w:type="dxa"/>
            <w:vAlign w:val="bottom"/>
          </w:tcPr>
          <w:p>
            <w:pPr>
              <w:ind w:left="2720"/>
              <w:spacing w:after="0"/>
              <w:rPr>
                <w:sz w:val="20"/>
                <w:szCs w:val="20"/>
                <w:color w:val="auto"/>
              </w:rPr>
            </w:pPr>
            <w:r>
              <w:rPr>
                <w:rFonts w:ascii="Arial" w:cs="Arial" w:eastAsia="Arial" w:hAnsi="Arial"/>
                <w:sz w:val="15"/>
                <w:szCs w:val="15"/>
                <w:b w:val="1"/>
                <w:bCs w:val="1"/>
                <w:i w:val="1"/>
                <w:iCs w:val="1"/>
                <w:color w:val="auto"/>
                <w:w w:val="98"/>
              </w:rPr>
              <w:t>Copies to:</w:t>
            </w:r>
          </w:p>
        </w:tc>
        <w:tc>
          <w:tcPr>
            <w:tcW w:w="23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66"/>
        </w:trPr>
        <w:tc>
          <w:tcPr>
            <w:tcW w:w="2060" w:type="dxa"/>
            <w:vAlign w:val="bottom"/>
          </w:tcPr>
          <w:p>
            <w:pPr>
              <w:jc w:val="center"/>
              <w:ind w:right="283"/>
              <w:spacing w:after="0" w:line="167" w:lineRule="exact"/>
              <w:rPr>
                <w:sz w:val="20"/>
                <w:szCs w:val="20"/>
                <w:color w:val="auto"/>
              </w:rPr>
            </w:pPr>
            <w:r>
              <w:rPr>
                <w:rFonts w:ascii="Arial" w:cs="Arial" w:eastAsia="Arial" w:hAnsi="Arial"/>
                <w:sz w:val="15"/>
                <w:szCs w:val="15"/>
                <w:b w:val="1"/>
                <w:bCs w:val="1"/>
                <w:color w:val="auto"/>
                <w:w w:val="94"/>
              </w:rPr>
              <w:t>Paul Claydon</w:t>
            </w:r>
          </w:p>
        </w:tc>
        <w:tc>
          <w:tcPr>
            <w:tcW w:w="3460" w:type="dxa"/>
            <w:vAlign w:val="bottom"/>
          </w:tcPr>
          <w:p>
            <w:pPr>
              <w:jc w:val="center"/>
              <w:ind w:right="263"/>
              <w:spacing w:after="0" w:line="167" w:lineRule="exact"/>
              <w:rPr>
                <w:sz w:val="20"/>
                <w:szCs w:val="20"/>
                <w:color w:val="auto"/>
              </w:rPr>
            </w:pPr>
            <w:r>
              <w:rPr>
                <w:rFonts w:ascii="Arial" w:cs="Arial" w:eastAsia="Arial" w:hAnsi="Arial"/>
                <w:sz w:val="15"/>
                <w:szCs w:val="15"/>
                <w:b w:val="1"/>
                <w:bCs w:val="1"/>
                <w:color w:val="auto"/>
                <w:w w:val="89"/>
              </w:rPr>
              <w:t>Jochen Dieselhorst</w:t>
            </w:r>
          </w:p>
        </w:tc>
        <w:tc>
          <w:tcPr>
            <w:tcW w:w="2320" w:type="dxa"/>
            <w:vAlign w:val="bottom"/>
          </w:tcPr>
          <w:p>
            <w:pPr>
              <w:jc w:val="center"/>
              <w:ind w:right="303"/>
              <w:spacing w:after="0" w:line="167" w:lineRule="exact"/>
              <w:rPr>
                <w:sz w:val="20"/>
                <w:szCs w:val="20"/>
                <w:color w:val="auto"/>
              </w:rPr>
            </w:pPr>
            <w:r>
              <w:rPr>
                <w:rFonts w:ascii="Arial" w:cs="Arial" w:eastAsia="Arial" w:hAnsi="Arial"/>
                <w:sz w:val="15"/>
                <w:szCs w:val="15"/>
                <w:b w:val="1"/>
                <w:bCs w:val="1"/>
                <w:color w:val="auto"/>
                <w:w w:val="94"/>
              </w:rPr>
              <w:t>Stephan Hutter</w:t>
            </w:r>
          </w:p>
        </w:tc>
        <w:tc>
          <w:tcPr>
            <w:tcW w:w="2380" w:type="dxa"/>
            <w:vAlign w:val="bottom"/>
          </w:tcPr>
          <w:p>
            <w:pPr>
              <w:jc w:val="center"/>
              <w:ind w:left="443"/>
              <w:spacing w:after="0" w:line="167" w:lineRule="exact"/>
              <w:rPr>
                <w:sz w:val="20"/>
                <w:szCs w:val="20"/>
                <w:color w:val="auto"/>
              </w:rPr>
            </w:pPr>
            <w:r>
              <w:rPr>
                <w:rFonts w:ascii="Arial" w:cs="Arial" w:eastAsia="Arial" w:hAnsi="Arial"/>
                <w:sz w:val="15"/>
                <w:szCs w:val="15"/>
                <w:b w:val="1"/>
                <w:bCs w:val="1"/>
                <w:color w:val="auto"/>
                <w:w w:val="97"/>
              </w:rPr>
              <w:t>Deanna Kirkpatrick</w:t>
            </w:r>
          </w:p>
        </w:tc>
      </w:tr>
      <w:tr>
        <w:trPr>
          <w:trHeight w:val="162"/>
        </w:trPr>
        <w:tc>
          <w:tcPr>
            <w:tcW w:w="2060" w:type="dxa"/>
            <w:vAlign w:val="bottom"/>
          </w:tcPr>
          <w:p>
            <w:pPr>
              <w:jc w:val="center"/>
              <w:ind w:right="283"/>
              <w:spacing w:after="0" w:line="162" w:lineRule="exact"/>
              <w:rPr>
                <w:sz w:val="20"/>
                <w:szCs w:val="20"/>
                <w:color w:val="auto"/>
              </w:rPr>
            </w:pPr>
            <w:r>
              <w:rPr>
                <w:rFonts w:ascii="Arial" w:cs="Arial" w:eastAsia="Arial" w:hAnsi="Arial"/>
                <w:sz w:val="15"/>
                <w:szCs w:val="15"/>
                <w:b w:val="1"/>
                <w:bCs w:val="1"/>
                <w:color w:val="auto"/>
                <w:w w:val="94"/>
              </w:rPr>
              <w:t>Eric W. Blanchard</w:t>
            </w:r>
          </w:p>
        </w:tc>
        <w:tc>
          <w:tcPr>
            <w:tcW w:w="3460" w:type="dxa"/>
            <w:vAlign w:val="bottom"/>
          </w:tcPr>
          <w:p>
            <w:pPr>
              <w:jc w:val="center"/>
              <w:ind w:right="263"/>
              <w:spacing w:after="0" w:line="162" w:lineRule="exact"/>
              <w:rPr>
                <w:sz w:val="20"/>
                <w:szCs w:val="20"/>
                <w:color w:val="auto"/>
              </w:rPr>
            </w:pPr>
            <w:r>
              <w:rPr>
                <w:rFonts w:ascii="Arial" w:cs="Arial" w:eastAsia="Arial" w:hAnsi="Arial"/>
                <w:sz w:val="15"/>
                <w:szCs w:val="15"/>
                <w:b w:val="1"/>
                <w:bCs w:val="1"/>
                <w:color w:val="auto"/>
                <w:w w:val="88"/>
              </w:rPr>
              <w:t>Peter Versteegen</w:t>
            </w:r>
          </w:p>
        </w:tc>
        <w:tc>
          <w:tcPr>
            <w:tcW w:w="2320" w:type="dxa"/>
            <w:vAlign w:val="bottom"/>
          </w:tcPr>
          <w:p>
            <w:pPr>
              <w:jc w:val="center"/>
              <w:ind w:right="323"/>
              <w:spacing w:after="0" w:line="162" w:lineRule="exact"/>
              <w:rPr>
                <w:sz w:val="20"/>
                <w:szCs w:val="20"/>
                <w:color w:val="auto"/>
              </w:rPr>
            </w:pPr>
            <w:r>
              <w:rPr>
                <w:rFonts w:ascii="Arial" w:cs="Arial" w:eastAsia="Arial" w:hAnsi="Arial"/>
                <w:sz w:val="15"/>
                <w:szCs w:val="15"/>
                <w:b w:val="1"/>
                <w:bCs w:val="1"/>
                <w:color w:val="auto"/>
                <w:w w:val="91"/>
              </w:rPr>
              <w:t>Skadden, Arps, Slate,</w:t>
            </w:r>
          </w:p>
        </w:tc>
        <w:tc>
          <w:tcPr>
            <w:tcW w:w="2380" w:type="dxa"/>
            <w:vAlign w:val="bottom"/>
          </w:tcPr>
          <w:p>
            <w:pPr>
              <w:jc w:val="center"/>
              <w:ind w:left="443"/>
              <w:spacing w:after="0" w:line="162" w:lineRule="exact"/>
              <w:rPr>
                <w:sz w:val="20"/>
                <w:szCs w:val="20"/>
                <w:color w:val="auto"/>
              </w:rPr>
            </w:pPr>
            <w:r>
              <w:rPr>
                <w:rFonts w:ascii="Arial" w:cs="Arial" w:eastAsia="Arial" w:hAnsi="Arial"/>
                <w:sz w:val="15"/>
                <w:szCs w:val="15"/>
                <w:b w:val="1"/>
                <w:bCs w:val="1"/>
                <w:color w:val="auto"/>
                <w:w w:val="93"/>
              </w:rPr>
              <w:t>Yasin Keshvargar</w:t>
            </w:r>
          </w:p>
        </w:tc>
      </w:tr>
      <w:tr>
        <w:trPr>
          <w:trHeight w:val="162"/>
        </w:trPr>
        <w:tc>
          <w:tcPr>
            <w:tcW w:w="2060" w:type="dxa"/>
            <w:vAlign w:val="bottom"/>
          </w:tcPr>
          <w:p>
            <w:pPr>
              <w:jc w:val="center"/>
              <w:ind w:right="263"/>
              <w:spacing w:after="0" w:line="162" w:lineRule="exact"/>
              <w:rPr>
                <w:sz w:val="20"/>
                <w:szCs w:val="20"/>
                <w:color w:val="auto"/>
              </w:rPr>
            </w:pPr>
            <w:r>
              <w:rPr>
                <w:rFonts w:ascii="Arial" w:cs="Arial" w:eastAsia="Arial" w:hAnsi="Arial"/>
                <w:sz w:val="15"/>
                <w:szCs w:val="15"/>
                <w:b w:val="1"/>
                <w:bCs w:val="1"/>
                <w:color w:val="auto"/>
                <w:w w:val="96"/>
              </w:rPr>
              <w:t>Kristian Wiggert</w:t>
            </w:r>
          </w:p>
        </w:tc>
        <w:tc>
          <w:tcPr>
            <w:tcW w:w="3460" w:type="dxa"/>
            <w:vAlign w:val="bottom"/>
          </w:tcPr>
          <w:p>
            <w:pPr>
              <w:jc w:val="center"/>
              <w:ind w:right="263"/>
              <w:spacing w:after="0" w:line="162" w:lineRule="exact"/>
              <w:rPr>
                <w:sz w:val="20"/>
                <w:szCs w:val="20"/>
                <w:color w:val="auto"/>
              </w:rPr>
            </w:pPr>
            <w:r>
              <w:rPr>
                <w:rFonts w:ascii="Arial" w:cs="Arial" w:eastAsia="Arial" w:hAnsi="Arial"/>
                <w:sz w:val="15"/>
                <w:szCs w:val="15"/>
                <w:b w:val="1"/>
                <w:bCs w:val="1"/>
                <w:color w:val="auto"/>
                <w:w w:val="93"/>
              </w:rPr>
              <w:t>Freshfields Bruckhaus Deringer LLP</w:t>
            </w:r>
          </w:p>
        </w:tc>
        <w:tc>
          <w:tcPr>
            <w:tcW w:w="2320" w:type="dxa"/>
            <w:vAlign w:val="bottom"/>
          </w:tcPr>
          <w:p>
            <w:pPr>
              <w:jc w:val="center"/>
              <w:ind w:right="303"/>
              <w:spacing w:after="0" w:line="162" w:lineRule="exact"/>
              <w:rPr>
                <w:sz w:val="20"/>
                <w:szCs w:val="20"/>
                <w:color w:val="auto"/>
              </w:rPr>
            </w:pPr>
            <w:r>
              <w:rPr>
                <w:rFonts w:ascii="Arial" w:cs="Arial" w:eastAsia="Arial" w:hAnsi="Arial"/>
                <w:sz w:val="15"/>
                <w:szCs w:val="15"/>
                <w:b w:val="1"/>
                <w:bCs w:val="1"/>
                <w:color w:val="auto"/>
                <w:w w:val="97"/>
              </w:rPr>
              <w:t>Meagher &amp; Flom LLP</w:t>
            </w:r>
          </w:p>
        </w:tc>
        <w:tc>
          <w:tcPr>
            <w:tcW w:w="2380" w:type="dxa"/>
            <w:vAlign w:val="bottom"/>
          </w:tcPr>
          <w:p>
            <w:pPr>
              <w:jc w:val="center"/>
              <w:ind w:left="42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r>
      <w:tr>
        <w:trPr>
          <w:trHeight w:val="162"/>
        </w:trPr>
        <w:tc>
          <w:tcPr>
            <w:tcW w:w="2060" w:type="dxa"/>
            <w:vAlign w:val="bottom"/>
          </w:tcPr>
          <w:p>
            <w:pPr>
              <w:jc w:val="center"/>
              <w:ind w:right="283"/>
              <w:spacing w:after="0" w:line="162" w:lineRule="exact"/>
              <w:rPr>
                <w:sz w:val="20"/>
                <w:szCs w:val="20"/>
                <w:color w:val="auto"/>
              </w:rPr>
            </w:pPr>
            <w:r>
              <w:rPr>
                <w:rFonts w:ascii="Arial" w:cs="Arial" w:eastAsia="Arial" w:hAnsi="Arial"/>
                <w:sz w:val="15"/>
                <w:szCs w:val="15"/>
                <w:b w:val="1"/>
                <w:bCs w:val="1"/>
                <w:color w:val="auto"/>
                <w:w w:val="95"/>
              </w:rPr>
              <w:t>Matthew T. Gehl</w:t>
            </w:r>
          </w:p>
        </w:tc>
        <w:tc>
          <w:tcPr>
            <w:tcW w:w="3460" w:type="dxa"/>
            <w:vAlign w:val="bottom"/>
          </w:tcPr>
          <w:p>
            <w:pPr>
              <w:jc w:val="center"/>
              <w:ind w:right="243"/>
              <w:spacing w:after="0" w:line="162" w:lineRule="exact"/>
              <w:rPr>
                <w:sz w:val="20"/>
                <w:szCs w:val="20"/>
                <w:color w:val="auto"/>
              </w:rPr>
            </w:pPr>
            <w:r>
              <w:rPr>
                <w:rFonts w:ascii="Arial" w:cs="Arial" w:eastAsia="Arial" w:hAnsi="Arial"/>
                <w:sz w:val="15"/>
                <w:szCs w:val="15"/>
                <w:b w:val="1"/>
                <w:bCs w:val="1"/>
                <w:color w:val="auto"/>
                <w:w w:val="90"/>
              </w:rPr>
              <w:t>Hohe Bleichen 7</w:t>
            </w:r>
          </w:p>
        </w:tc>
        <w:tc>
          <w:tcPr>
            <w:tcW w:w="2320" w:type="dxa"/>
            <w:vAlign w:val="bottom"/>
          </w:tcPr>
          <w:p>
            <w:pPr>
              <w:jc w:val="center"/>
              <w:ind w:right="323"/>
              <w:spacing w:after="0" w:line="162" w:lineRule="exact"/>
              <w:rPr>
                <w:sz w:val="20"/>
                <w:szCs w:val="20"/>
                <w:color w:val="auto"/>
              </w:rPr>
            </w:pPr>
            <w:r>
              <w:rPr>
                <w:rFonts w:ascii="Arial" w:cs="Arial" w:eastAsia="Arial" w:hAnsi="Arial"/>
                <w:sz w:val="15"/>
                <w:szCs w:val="15"/>
                <w:b w:val="1"/>
                <w:bCs w:val="1"/>
                <w:color w:val="auto"/>
                <w:w w:val="92"/>
              </w:rPr>
              <w:t>TaunusTurm</w:t>
            </w:r>
          </w:p>
        </w:tc>
        <w:tc>
          <w:tcPr>
            <w:tcW w:w="2380" w:type="dxa"/>
            <w:vAlign w:val="bottom"/>
          </w:tcPr>
          <w:p>
            <w:pPr>
              <w:jc w:val="center"/>
              <w:ind w:left="443"/>
              <w:spacing w:after="0" w:line="162" w:lineRule="exact"/>
              <w:rPr>
                <w:sz w:val="20"/>
                <w:szCs w:val="20"/>
                <w:color w:val="auto"/>
              </w:rPr>
            </w:pPr>
            <w:r>
              <w:rPr>
                <w:rFonts w:ascii="Arial" w:cs="Arial" w:eastAsia="Arial" w:hAnsi="Arial"/>
                <w:sz w:val="15"/>
                <w:szCs w:val="15"/>
                <w:b w:val="1"/>
                <w:bCs w:val="1"/>
                <w:color w:val="auto"/>
                <w:w w:val="91"/>
              </w:rPr>
              <w:t>450 Lexington Avenue</w:t>
            </w:r>
          </w:p>
        </w:tc>
      </w:tr>
      <w:tr>
        <w:trPr>
          <w:trHeight w:val="162"/>
        </w:trPr>
        <w:tc>
          <w:tcPr>
            <w:tcW w:w="2060" w:type="dxa"/>
            <w:vAlign w:val="bottom"/>
          </w:tcPr>
          <w:p>
            <w:pPr>
              <w:jc w:val="center"/>
              <w:ind w:right="263"/>
              <w:spacing w:after="0" w:line="162" w:lineRule="exact"/>
              <w:rPr>
                <w:sz w:val="20"/>
                <w:szCs w:val="20"/>
                <w:color w:val="auto"/>
              </w:rPr>
            </w:pPr>
            <w:r>
              <w:rPr>
                <w:rFonts w:ascii="Arial" w:cs="Arial" w:eastAsia="Arial" w:hAnsi="Arial"/>
                <w:sz w:val="15"/>
                <w:szCs w:val="15"/>
                <w:b w:val="1"/>
                <w:bCs w:val="1"/>
                <w:color w:val="auto"/>
                <w:w w:val="96"/>
              </w:rPr>
              <w:t>Covington &amp; Burling LLP</w:t>
            </w:r>
          </w:p>
        </w:tc>
        <w:tc>
          <w:tcPr>
            <w:tcW w:w="3460" w:type="dxa"/>
            <w:vAlign w:val="bottom"/>
          </w:tcPr>
          <w:p>
            <w:pPr>
              <w:jc w:val="center"/>
              <w:ind w:right="243"/>
              <w:spacing w:after="0" w:line="162" w:lineRule="exact"/>
              <w:rPr>
                <w:sz w:val="20"/>
                <w:szCs w:val="20"/>
                <w:color w:val="auto"/>
              </w:rPr>
            </w:pPr>
            <w:r>
              <w:rPr>
                <w:rFonts w:ascii="Arial" w:cs="Arial" w:eastAsia="Arial" w:hAnsi="Arial"/>
                <w:sz w:val="15"/>
                <w:szCs w:val="15"/>
                <w:b w:val="1"/>
                <w:bCs w:val="1"/>
                <w:color w:val="auto"/>
                <w:w w:val="94"/>
              </w:rPr>
              <w:t>20354 Hamburg</w:t>
            </w:r>
          </w:p>
        </w:tc>
        <w:tc>
          <w:tcPr>
            <w:tcW w:w="2320" w:type="dxa"/>
            <w:vAlign w:val="bottom"/>
          </w:tcPr>
          <w:p>
            <w:pPr>
              <w:jc w:val="center"/>
              <w:ind w:right="303"/>
              <w:spacing w:after="0" w:line="162" w:lineRule="exact"/>
              <w:rPr>
                <w:sz w:val="20"/>
                <w:szCs w:val="20"/>
                <w:color w:val="auto"/>
              </w:rPr>
            </w:pPr>
            <w:r>
              <w:rPr>
                <w:rFonts w:ascii="Arial" w:cs="Arial" w:eastAsia="Arial" w:hAnsi="Arial"/>
                <w:sz w:val="15"/>
                <w:szCs w:val="15"/>
                <w:b w:val="1"/>
                <w:bCs w:val="1"/>
                <w:color w:val="auto"/>
                <w:w w:val="90"/>
              </w:rPr>
              <w:t>Taunustor 1</w:t>
            </w:r>
          </w:p>
        </w:tc>
        <w:tc>
          <w:tcPr>
            <w:tcW w:w="2380" w:type="dxa"/>
            <w:vAlign w:val="bottom"/>
          </w:tcPr>
          <w:p>
            <w:pPr>
              <w:jc w:val="center"/>
              <w:ind w:left="443"/>
              <w:spacing w:after="0" w:line="162" w:lineRule="exact"/>
              <w:rPr>
                <w:sz w:val="20"/>
                <w:szCs w:val="20"/>
                <w:color w:val="auto"/>
              </w:rPr>
            </w:pPr>
            <w:r>
              <w:rPr>
                <w:rFonts w:ascii="Arial" w:cs="Arial" w:eastAsia="Arial" w:hAnsi="Arial"/>
                <w:sz w:val="15"/>
                <w:szCs w:val="15"/>
                <w:b w:val="1"/>
                <w:bCs w:val="1"/>
                <w:color w:val="auto"/>
                <w:w w:val="96"/>
              </w:rPr>
              <w:t>New York,</w:t>
            </w:r>
          </w:p>
        </w:tc>
      </w:tr>
      <w:tr>
        <w:trPr>
          <w:trHeight w:val="162"/>
        </w:trPr>
        <w:tc>
          <w:tcPr>
            <w:tcW w:w="2060" w:type="dxa"/>
            <w:vAlign w:val="bottom"/>
          </w:tcPr>
          <w:p>
            <w:pPr>
              <w:jc w:val="center"/>
              <w:ind w:right="263"/>
              <w:spacing w:after="0" w:line="162" w:lineRule="exact"/>
              <w:rPr>
                <w:sz w:val="20"/>
                <w:szCs w:val="20"/>
                <w:color w:val="auto"/>
              </w:rPr>
            </w:pPr>
            <w:r>
              <w:rPr>
                <w:rFonts w:ascii="Arial" w:cs="Arial" w:eastAsia="Arial" w:hAnsi="Arial"/>
                <w:sz w:val="15"/>
                <w:szCs w:val="15"/>
                <w:b w:val="1"/>
                <w:bCs w:val="1"/>
                <w:color w:val="auto"/>
                <w:w w:val="93"/>
              </w:rPr>
              <w:t>265 Strand</w:t>
            </w:r>
          </w:p>
        </w:tc>
        <w:tc>
          <w:tcPr>
            <w:tcW w:w="3460" w:type="dxa"/>
            <w:vAlign w:val="bottom"/>
          </w:tcPr>
          <w:p>
            <w:pPr>
              <w:jc w:val="center"/>
              <w:ind w:right="243"/>
              <w:spacing w:after="0" w:line="162" w:lineRule="exact"/>
              <w:rPr>
                <w:sz w:val="20"/>
                <w:szCs w:val="20"/>
                <w:color w:val="auto"/>
              </w:rPr>
            </w:pPr>
            <w:r>
              <w:rPr>
                <w:rFonts w:ascii="Arial" w:cs="Arial" w:eastAsia="Arial" w:hAnsi="Arial"/>
                <w:sz w:val="15"/>
                <w:szCs w:val="15"/>
                <w:b w:val="1"/>
                <w:bCs w:val="1"/>
                <w:color w:val="auto"/>
                <w:w w:val="95"/>
              </w:rPr>
              <w:t>Germany</w:t>
            </w:r>
          </w:p>
        </w:tc>
        <w:tc>
          <w:tcPr>
            <w:tcW w:w="2320" w:type="dxa"/>
            <w:vAlign w:val="bottom"/>
          </w:tcPr>
          <w:p>
            <w:pPr>
              <w:jc w:val="center"/>
              <w:ind w:right="323"/>
              <w:spacing w:after="0" w:line="162" w:lineRule="exact"/>
              <w:rPr>
                <w:sz w:val="20"/>
                <w:szCs w:val="20"/>
                <w:color w:val="auto"/>
              </w:rPr>
            </w:pPr>
            <w:r>
              <w:rPr>
                <w:rFonts w:ascii="Arial" w:cs="Arial" w:eastAsia="Arial" w:hAnsi="Arial"/>
                <w:sz w:val="15"/>
                <w:szCs w:val="15"/>
                <w:b w:val="1"/>
                <w:bCs w:val="1"/>
                <w:color w:val="auto"/>
                <w:w w:val="97"/>
              </w:rPr>
              <w:t>60310 Frankfurt am Main</w:t>
            </w:r>
          </w:p>
        </w:tc>
        <w:tc>
          <w:tcPr>
            <w:tcW w:w="2380" w:type="dxa"/>
            <w:vAlign w:val="bottom"/>
          </w:tcPr>
          <w:p>
            <w:pPr>
              <w:jc w:val="center"/>
              <w:ind w:left="443"/>
              <w:spacing w:after="0" w:line="162" w:lineRule="exact"/>
              <w:rPr>
                <w:sz w:val="20"/>
                <w:szCs w:val="20"/>
                <w:color w:val="auto"/>
              </w:rPr>
            </w:pPr>
            <w:r>
              <w:rPr>
                <w:rFonts w:ascii="Arial" w:cs="Arial" w:eastAsia="Arial" w:hAnsi="Arial"/>
                <w:sz w:val="15"/>
                <w:szCs w:val="15"/>
                <w:b w:val="1"/>
                <w:bCs w:val="1"/>
                <w:color w:val="auto"/>
                <w:w w:val="92"/>
              </w:rPr>
              <w:t>New York 10017</w:t>
            </w:r>
          </w:p>
        </w:tc>
      </w:tr>
      <w:tr>
        <w:trPr>
          <w:trHeight w:val="162"/>
        </w:trPr>
        <w:tc>
          <w:tcPr>
            <w:tcW w:w="2060" w:type="dxa"/>
            <w:vAlign w:val="bottom"/>
          </w:tcPr>
          <w:p>
            <w:pPr>
              <w:jc w:val="center"/>
              <w:ind w:right="283"/>
              <w:spacing w:after="0" w:line="162" w:lineRule="exact"/>
              <w:rPr>
                <w:sz w:val="20"/>
                <w:szCs w:val="20"/>
                <w:color w:val="auto"/>
              </w:rPr>
            </w:pPr>
            <w:r>
              <w:rPr>
                <w:rFonts w:ascii="Arial" w:cs="Arial" w:eastAsia="Arial" w:hAnsi="Arial"/>
                <w:sz w:val="15"/>
                <w:szCs w:val="15"/>
                <w:b w:val="1"/>
                <w:bCs w:val="1"/>
                <w:color w:val="auto"/>
                <w:w w:val="97"/>
              </w:rPr>
              <w:t>London WC2R 1BH</w:t>
            </w:r>
          </w:p>
        </w:tc>
        <w:tc>
          <w:tcPr>
            <w:tcW w:w="3460" w:type="dxa"/>
            <w:vAlign w:val="bottom"/>
          </w:tcPr>
          <w:p>
            <w:pPr>
              <w:jc w:val="center"/>
              <w:ind w:right="263"/>
              <w:spacing w:after="0" w:line="162" w:lineRule="exact"/>
              <w:rPr>
                <w:sz w:val="20"/>
                <w:szCs w:val="20"/>
                <w:color w:val="auto"/>
              </w:rPr>
            </w:pPr>
            <w:r>
              <w:rPr>
                <w:rFonts w:ascii="Arial" w:cs="Arial" w:eastAsia="Arial" w:hAnsi="Arial"/>
                <w:sz w:val="15"/>
                <w:szCs w:val="15"/>
                <w:b w:val="1"/>
                <w:bCs w:val="1"/>
                <w:color w:val="auto"/>
                <w:w w:val="91"/>
              </w:rPr>
              <w:t>+49 40 36 90 60</w:t>
            </w:r>
          </w:p>
        </w:tc>
        <w:tc>
          <w:tcPr>
            <w:tcW w:w="2320" w:type="dxa"/>
            <w:vAlign w:val="bottom"/>
          </w:tcPr>
          <w:p>
            <w:pPr>
              <w:jc w:val="center"/>
              <w:ind w:right="303"/>
              <w:spacing w:after="0" w:line="162" w:lineRule="exact"/>
              <w:rPr>
                <w:sz w:val="20"/>
                <w:szCs w:val="20"/>
                <w:color w:val="auto"/>
              </w:rPr>
            </w:pPr>
            <w:r>
              <w:rPr>
                <w:rFonts w:ascii="Arial" w:cs="Arial" w:eastAsia="Arial" w:hAnsi="Arial"/>
                <w:sz w:val="15"/>
                <w:szCs w:val="15"/>
                <w:b w:val="1"/>
                <w:bCs w:val="1"/>
                <w:color w:val="auto"/>
                <w:w w:val="95"/>
              </w:rPr>
              <w:t>Germany</w:t>
            </w:r>
          </w:p>
        </w:tc>
        <w:tc>
          <w:tcPr>
            <w:tcW w:w="2380" w:type="dxa"/>
            <w:vAlign w:val="bottom"/>
          </w:tcPr>
          <w:p>
            <w:pPr>
              <w:jc w:val="center"/>
              <w:ind w:left="423"/>
              <w:spacing w:after="0" w:line="162" w:lineRule="exact"/>
              <w:rPr>
                <w:sz w:val="20"/>
                <w:szCs w:val="20"/>
                <w:color w:val="auto"/>
              </w:rPr>
            </w:pPr>
            <w:r>
              <w:rPr>
                <w:rFonts w:ascii="Arial" w:cs="Arial" w:eastAsia="Arial" w:hAnsi="Arial"/>
                <w:sz w:val="15"/>
                <w:szCs w:val="15"/>
                <w:b w:val="1"/>
                <w:bCs w:val="1"/>
                <w:color w:val="auto"/>
                <w:w w:val="93"/>
              </w:rPr>
              <w:t>+1 (212) 450-4000</w:t>
            </w:r>
          </w:p>
        </w:tc>
      </w:tr>
      <w:tr>
        <w:trPr>
          <w:trHeight w:val="162"/>
        </w:trPr>
        <w:tc>
          <w:tcPr>
            <w:tcW w:w="2060" w:type="dxa"/>
            <w:vAlign w:val="bottom"/>
          </w:tcPr>
          <w:p>
            <w:pPr>
              <w:jc w:val="center"/>
              <w:ind w:right="283"/>
              <w:spacing w:after="0" w:line="162" w:lineRule="exact"/>
              <w:rPr>
                <w:sz w:val="20"/>
                <w:szCs w:val="20"/>
                <w:color w:val="auto"/>
              </w:rPr>
            </w:pPr>
            <w:r>
              <w:rPr>
                <w:rFonts w:ascii="Arial" w:cs="Arial" w:eastAsia="Arial" w:hAnsi="Arial"/>
                <w:sz w:val="15"/>
                <w:szCs w:val="15"/>
                <w:b w:val="1"/>
                <w:bCs w:val="1"/>
                <w:color w:val="auto"/>
                <w:w w:val="94"/>
              </w:rPr>
              <w:t>United Kingdom</w:t>
            </w:r>
          </w:p>
        </w:tc>
        <w:tc>
          <w:tcPr>
            <w:tcW w:w="3460" w:type="dxa"/>
            <w:vAlign w:val="bottom"/>
          </w:tcPr>
          <w:p>
            <w:pPr>
              <w:spacing w:after="0"/>
              <w:rPr>
                <w:sz w:val="14"/>
                <w:szCs w:val="14"/>
                <w:color w:val="auto"/>
              </w:rPr>
            </w:pPr>
          </w:p>
        </w:tc>
        <w:tc>
          <w:tcPr>
            <w:tcW w:w="2320" w:type="dxa"/>
            <w:vAlign w:val="bottom"/>
          </w:tcPr>
          <w:p>
            <w:pPr>
              <w:jc w:val="center"/>
              <w:ind w:right="323"/>
              <w:spacing w:after="0" w:line="162" w:lineRule="exact"/>
              <w:rPr>
                <w:sz w:val="20"/>
                <w:szCs w:val="20"/>
                <w:color w:val="auto"/>
              </w:rPr>
            </w:pPr>
            <w:r>
              <w:rPr>
                <w:rFonts w:ascii="Arial" w:cs="Arial" w:eastAsia="Arial" w:hAnsi="Arial"/>
                <w:sz w:val="15"/>
                <w:szCs w:val="15"/>
                <w:b w:val="1"/>
                <w:bCs w:val="1"/>
                <w:color w:val="auto"/>
                <w:w w:val="91"/>
              </w:rPr>
              <w:t>+49 69 74 22 00</w:t>
            </w:r>
          </w:p>
        </w:tc>
        <w:tc>
          <w:tcPr>
            <w:tcW w:w="2380" w:type="dxa"/>
            <w:vAlign w:val="bottom"/>
          </w:tcPr>
          <w:p>
            <w:pPr>
              <w:spacing w:after="0"/>
              <w:rPr>
                <w:sz w:val="14"/>
                <w:szCs w:val="14"/>
                <w:color w:val="auto"/>
              </w:rPr>
            </w:pPr>
          </w:p>
        </w:tc>
      </w:tr>
      <w:tr>
        <w:trPr>
          <w:trHeight w:val="198"/>
        </w:trPr>
        <w:tc>
          <w:tcPr>
            <w:tcW w:w="2060" w:type="dxa"/>
            <w:vAlign w:val="bottom"/>
          </w:tcPr>
          <w:p>
            <w:pPr>
              <w:jc w:val="center"/>
              <w:ind w:right="263"/>
              <w:spacing w:after="0"/>
              <w:rPr>
                <w:sz w:val="20"/>
                <w:szCs w:val="20"/>
                <w:color w:val="auto"/>
              </w:rPr>
            </w:pPr>
            <w:r>
              <w:rPr>
                <w:rFonts w:ascii="Arial" w:cs="Arial" w:eastAsia="Arial" w:hAnsi="Arial"/>
                <w:sz w:val="15"/>
                <w:szCs w:val="15"/>
                <w:b w:val="1"/>
                <w:bCs w:val="1"/>
                <w:color w:val="auto"/>
                <w:w w:val="92"/>
              </w:rPr>
              <w:t>+44 20 7067 2000</w:t>
            </w:r>
          </w:p>
        </w:tc>
        <w:tc>
          <w:tcPr>
            <w:tcW w:w="3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65405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9" w:lineRule="exact"/>
        <w:rPr>
          <w:sz w:val="24"/>
          <w:szCs w:val="24"/>
          <w:color w:val="auto"/>
        </w:rPr>
      </w:pPr>
    </w:p>
    <w:p>
      <w:pPr>
        <w:ind w:left="6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ind w:left="200" w:right="360" w:firstLine="441"/>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 w:lineRule="exact"/>
        <w:rPr>
          <w:sz w:val="24"/>
          <w:szCs w:val="24"/>
          <w:color w:val="auto"/>
        </w:rPr>
      </w:pPr>
    </w:p>
    <w:p>
      <w:pPr>
        <w:ind w:left="200" w:right="420" w:firstLine="441"/>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left="200" w:right="180" w:firstLine="441"/>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200" w:right="160" w:firstLine="441"/>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left="640"/>
        <w:spacing w:after="0"/>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w:t>
      </w:r>
    </w:p>
    <w:p>
      <w:pPr>
        <w:spacing w:after="0" w:line="22" w:lineRule="exact"/>
        <w:rPr>
          <w:sz w:val="24"/>
          <w:szCs w:val="24"/>
          <w:color w:val="auto"/>
        </w:rPr>
      </w:pPr>
    </w:p>
    <w:p>
      <w:pPr>
        <w:ind w:left="93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71" w:lineRule="exact"/>
        <w:rPr>
          <w:sz w:val="24"/>
          <w:szCs w:val="24"/>
          <w:color w:val="auto"/>
        </w:rPr>
      </w:pPr>
    </w:p>
    <w:p>
      <w:pPr>
        <w:ind w:left="200" w:right="380" w:firstLine="441"/>
        <w:spacing w:after="0" w:line="189"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 w:lineRule="exact"/>
        <w:rPr>
          <w:sz w:val="24"/>
          <w:szCs w:val="24"/>
          <w:color w:val="auto"/>
        </w:rPr>
      </w:pPr>
    </w:p>
    <w:p>
      <w:pPr>
        <w:ind w:left="200" w:right="780" w:firstLine="444"/>
        <w:spacing w:after="0" w:line="255" w:lineRule="auto"/>
        <w:tabs>
          <w:tab w:leader="none" w:pos="755"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50165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44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4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Title Of Each Class Of</w:t>
            </w:r>
          </w:p>
        </w:tc>
        <w:tc>
          <w:tcPr>
            <w:tcW w:w="1660" w:type="dxa"/>
            <w:vAlign w:val="bottom"/>
            <w:tcBorders>
              <w:right w:val="single" w:sz="8" w:color="auto"/>
            </w:tcBorders>
          </w:tcPr>
          <w:p>
            <w:pPr>
              <w:jc w:val="center"/>
              <w:ind w:left="7"/>
              <w:spacing w:after="0" w:line="158" w:lineRule="exact"/>
              <w:rPr>
                <w:sz w:val="20"/>
                <w:szCs w:val="20"/>
                <w:color w:val="auto"/>
              </w:rPr>
            </w:pPr>
            <w:r>
              <w:rPr>
                <w:rFonts w:ascii="Arial" w:cs="Arial" w:eastAsia="Arial" w:hAnsi="Arial"/>
                <w:sz w:val="14"/>
                <w:szCs w:val="14"/>
                <w:b w:val="1"/>
                <w:bCs w:val="1"/>
                <w:color w:val="auto"/>
                <w:w w:val="94"/>
              </w:rPr>
              <w:t>Amount to</w:t>
            </w:r>
          </w:p>
        </w:tc>
        <w:tc>
          <w:tcPr>
            <w:tcW w:w="1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r>
      <w:tr>
        <w:trPr>
          <w:trHeight w:val="176"/>
        </w:trPr>
        <w:tc>
          <w:tcPr>
            <w:tcW w:w="20" w:type="dxa"/>
            <w:vAlign w:val="bottom"/>
          </w:tcPr>
          <w:p>
            <w:pPr>
              <w:spacing w:after="0"/>
              <w:rPr>
                <w:sz w:val="15"/>
                <w:szCs w:val="15"/>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r>
              <w:rPr>
                <w:rFonts w:ascii="Arial" w:cs="Arial" w:eastAsia="Arial" w:hAnsi="Arial"/>
                <w:sz w:val="12"/>
                <w:szCs w:val="12"/>
                <w:b w:val="1"/>
                <w:bCs w:val="1"/>
                <w:color w:val="auto"/>
                <w:w w:val="90"/>
              </w:rPr>
              <w:t>(1)</w:t>
            </w:r>
          </w:p>
        </w:tc>
        <w:tc>
          <w:tcPr>
            <w:tcW w:w="16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1"/>
              </w:rPr>
              <w:t>be Registered</w:t>
            </w:r>
            <w:r>
              <w:rPr>
                <w:rFonts w:ascii="Arial" w:cs="Arial" w:eastAsia="Arial" w:hAnsi="Arial"/>
                <w:sz w:val="12"/>
                <w:szCs w:val="12"/>
                <w:b w:val="1"/>
                <w:bCs w:val="1"/>
                <w:color w:val="auto"/>
                <w:w w:val="91"/>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r>
              <w:rPr>
                <w:rFonts w:ascii="Arial" w:cs="Arial" w:eastAsia="Arial" w:hAnsi="Arial"/>
                <w:sz w:val="12"/>
                <w:szCs w:val="12"/>
                <w:b w:val="1"/>
                <w:bCs w:val="1"/>
                <w:color w:val="auto"/>
                <w:w w:val="94"/>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(3)</w:t>
            </w:r>
          </w:p>
        </w:tc>
        <w:tc>
          <w:tcPr>
            <w:tcW w:w="164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(4)</w:t>
            </w:r>
          </w:p>
        </w:tc>
      </w:tr>
      <w:tr>
        <w:trPr>
          <w:trHeight w:val="169"/>
        </w:trPr>
        <w:tc>
          <w:tcPr>
            <w:tcW w:w="20" w:type="dxa"/>
            <w:vAlign w:val="bottom"/>
            <w:tcBorders>
              <w:bottom w:val="single" w:sz="8" w:color="auto"/>
            </w:tcBorders>
          </w:tcPr>
          <w:p>
            <w:pPr>
              <w:spacing w:after="0"/>
              <w:rPr>
                <w:sz w:val="14"/>
                <w:szCs w:val="14"/>
                <w:color w:val="auto"/>
              </w:rPr>
            </w:pPr>
          </w:p>
        </w:tc>
        <w:tc>
          <w:tcPr>
            <w:tcW w:w="442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Ordinary shares, no par value per share</w:t>
            </w:r>
          </w:p>
        </w:tc>
        <w:tc>
          <w:tcPr>
            <w:tcW w:w="1660" w:type="dxa"/>
            <w:vAlign w:val="bottom"/>
            <w:tcBorders>
              <w:bottom w:val="single" w:sz="8" w:color="auto"/>
              <w:right w:val="single" w:sz="8" w:color="auto"/>
            </w:tcBorders>
          </w:tcPr>
          <w:p>
            <w:pPr>
              <w:jc w:val="center"/>
              <w:ind w:left="27"/>
              <w:spacing w:after="0" w:line="169" w:lineRule="exact"/>
              <w:rPr>
                <w:sz w:val="20"/>
                <w:szCs w:val="20"/>
                <w:color w:val="auto"/>
              </w:rPr>
            </w:pPr>
            <w:r>
              <w:rPr>
                <w:rFonts w:ascii="Arial" w:cs="Arial" w:eastAsia="Arial" w:hAnsi="Arial"/>
                <w:sz w:val="15"/>
                <w:szCs w:val="15"/>
                <w:color w:val="auto"/>
                <w:w w:val="90"/>
              </w:rPr>
              <w:t>11,500,000</w:t>
            </w:r>
          </w:p>
        </w:tc>
        <w:tc>
          <w:tcPr>
            <w:tcW w:w="16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5"/>
                <w:szCs w:val="15"/>
                <w:color w:val="auto"/>
                <w:w w:val="91"/>
              </w:rPr>
              <w:t>$16.00</w:t>
            </w:r>
          </w:p>
        </w:tc>
        <w:tc>
          <w:tcPr>
            <w:tcW w:w="164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5"/>
                <w:szCs w:val="15"/>
                <w:color w:val="auto"/>
                <w:w w:val="91"/>
              </w:rPr>
              <w:t>$184,000,000</w:t>
            </w:r>
          </w:p>
        </w:tc>
        <w:tc>
          <w:tcPr>
            <w:tcW w:w="16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2"/>
              </w:rPr>
              <w:t>$23,884</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640" w:right="460" w:hanging="436"/>
        <w:spacing w:after="0" w:line="253" w:lineRule="auto"/>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All ordinary shares will be represented by American Depositary Shares, or ADSs, with each ADS representing one ordinary share. ADSs issuable upon deposit of the ordinary shares registered hereby will be registered pursuant to a separate Registration Statement on Form F-6.</w:t>
      </w:r>
    </w:p>
    <w:p>
      <w:pPr>
        <w:ind w:left="640" w:right="400" w:hanging="436"/>
        <w:spacing w:after="0" w:line="233" w:lineRule="auto"/>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Includes 1,500,000 additional ordinary shares represented by 1,500,000 ADSs that may be sold upon exercise of an option to purchase additional ordinary shares to be granted to the underwriters.</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amount of the registration fee pursuant to Rule 457(a) of the Securities Act of 1933, as amended.</w:t>
      </w:r>
    </w:p>
    <w:p>
      <w:pPr>
        <w:spacing w:after="0" w:line="58" w:lineRule="exact"/>
        <w:rPr>
          <w:rFonts w:ascii="Arial" w:cs="Arial" w:eastAsia="Arial" w:hAnsi="Arial"/>
          <w:sz w:val="15"/>
          <w:szCs w:val="15"/>
          <w:color w:val="auto"/>
        </w:rPr>
      </w:pPr>
    </w:p>
    <w:p>
      <w:pPr>
        <w:ind w:left="640" w:hanging="436"/>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registration fee of $36,797 was previously paid in connection with the registration statement. No additional registration fee is required to be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70485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8" w:lineRule="exact"/>
        <w:rPr>
          <w:sz w:val="24"/>
          <w:szCs w:val="24"/>
          <w:color w:val="auto"/>
        </w:rPr>
      </w:pPr>
    </w:p>
    <w:p>
      <w:pPr>
        <w:jc w:val="both"/>
        <w:ind w:left="200" w:right="240"/>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41910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42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600"/>
        <w:spacing w:after="0" w:line="282" w:lineRule="auto"/>
        <w:rPr>
          <w:sz w:val="20"/>
          <w:szCs w:val="20"/>
          <w:color w:val="auto"/>
        </w:rPr>
      </w:pPr>
      <w:r>
        <w:rPr>
          <w:rFonts w:ascii="Arial" w:cs="Arial" w:eastAsia="Arial" w:hAnsi="Arial"/>
          <w:sz w:val="18"/>
          <w:szCs w:val="18"/>
          <w:b w:val="1"/>
          <w:bCs w:val="1"/>
          <w:color w:val="EB0029"/>
        </w:rPr>
        <w:t>The information contained in this preliminary prospectus is not complete and may be changed. We may not sell these securities until the registration statement filed with the Securities and Exchange Commission is effective.</w:t>
      </w:r>
    </w:p>
    <w:p>
      <w:pPr>
        <w:spacing w:after="0" w:line="94" w:lineRule="exact"/>
        <w:rPr>
          <w:sz w:val="20"/>
          <w:szCs w:val="20"/>
          <w:color w:val="auto"/>
        </w:rPr>
      </w:pPr>
    </w:p>
    <w:p>
      <w:pPr>
        <w:ind w:left="200"/>
        <w:spacing w:after="0"/>
        <w:tabs>
          <w:tab w:leader="none" w:pos="6580" w:val="left"/>
        </w:tabs>
        <w:rPr>
          <w:sz w:val="20"/>
          <w:szCs w:val="20"/>
          <w:color w:val="auto"/>
        </w:rPr>
      </w:pPr>
      <w:r>
        <w:rPr>
          <w:rFonts w:ascii="Arial" w:cs="Arial" w:eastAsia="Arial" w:hAnsi="Arial"/>
          <w:sz w:val="18"/>
          <w:szCs w:val="18"/>
          <w:b w:val="1"/>
          <w:bCs w:val="1"/>
          <w:color w:val="EB0029"/>
        </w:rPr>
        <w:t>PRELIMINARY PROSPECTUS</w:t>
      </w:r>
      <w:r>
        <w:rPr>
          <w:sz w:val="20"/>
          <w:szCs w:val="20"/>
          <w:color w:val="auto"/>
        </w:rPr>
        <w:tab/>
      </w:r>
      <w:r>
        <w:rPr>
          <w:rFonts w:ascii="Arial" w:cs="Arial" w:eastAsia="Arial" w:hAnsi="Arial"/>
          <w:sz w:val="17"/>
          <w:szCs w:val="17"/>
          <w:b w:val="1"/>
          <w:bCs w:val="1"/>
          <w:color w:val="EB0029"/>
        </w:rPr>
        <w:t>SUBJECT TO COMPLETION, DATED OCTOBER 9, 2019</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252095</wp:posOffset>
            </wp:positionV>
            <wp:extent cx="283019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01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Representing 10,000,000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329565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We are offering 10,000,000 American Depositary Shares, or ADSs, with each ADS representing one ordinary share. This is our initial public offering and no public market currently exists for our ordinary shares or the ADSs. The initial public offering price is expected to be between $15.00 and $16.00 per ADS. We have applied to list the ADSs on the Nasdaq Global Select Market under the symbol “BNTX.”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287020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ADSs involves a high degree of risk. See “</w:t>
      </w:r>
      <w:hyperlink w:anchor="page1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15 of this prospectus.</w:t>
      </w:r>
    </w:p>
    <w:p>
      <w:pPr>
        <w:spacing w:after="0" w:line="358" w:lineRule="exact"/>
        <w:rPr>
          <w:sz w:val="20"/>
          <w:szCs w:val="20"/>
          <w:color w:val="auto"/>
        </w:rPr>
      </w:pPr>
    </w:p>
    <w:p>
      <w:pPr>
        <w:ind w:left="200" w:right="340"/>
        <w:spacing w:after="0" w:line="266" w:lineRule="auto"/>
        <w:rPr>
          <w:sz w:val="20"/>
          <w:szCs w:val="20"/>
          <w:color w:val="auto"/>
        </w:rPr>
      </w:pPr>
      <w:r>
        <w:rPr>
          <w:rFonts w:ascii="Arial" w:cs="Arial" w:eastAsia="Arial" w:hAnsi="Arial"/>
          <w:sz w:val="18"/>
          <w:szCs w:val="18"/>
          <w:b w:val="1"/>
          <w:bCs w:val="1"/>
          <w:color w:val="auto"/>
        </w:rPr>
        <w:t>We are an “emerging growth company” and a “foreign private issuer” as defined under the U.S. federal securities laws and, as such, will be eligible for reduced public company disclosure requirements. See “Prospectus Summary—Implications of Being an Emerging Growth Company and a Foreign Private Issuer” for additional information.</w:t>
      </w:r>
    </w:p>
    <w:p>
      <w:pPr>
        <w:spacing w:after="0" w:line="284" w:lineRule="exact"/>
        <w:rPr>
          <w:sz w:val="20"/>
          <w:szCs w:val="20"/>
          <w:color w:val="auto"/>
        </w:rPr>
      </w:pPr>
    </w:p>
    <w:p>
      <w:pPr>
        <w:ind w:left="200" w:right="58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8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PER ADS</w:t>
            </w:r>
          </w:p>
        </w:tc>
        <w:tc>
          <w:tcPr>
            <w:tcW w:w="5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to BioNTech SE before expenses</w:t>
            </w:r>
          </w:p>
        </w:tc>
        <w:tc>
          <w:tcPr>
            <w:tcW w:w="23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incurred in this offering. See “Underwriting” for details.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granted the underwriters an option for a period of 30 days from the date of this prospectus to purchase an additional 1,500,000 ADSs. If the</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360" w:type="dxa"/>
            <w:vAlign w:val="bottom"/>
            <w:gridSpan w:val="4"/>
          </w:tcPr>
          <w:p>
            <w:pPr>
              <w:spacing w:after="0"/>
              <w:rPr>
                <w:sz w:val="20"/>
                <w:szCs w:val="20"/>
                <w:color w:val="auto"/>
              </w:rPr>
            </w:pPr>
            <w:r>
              <w:rPr>
                <w:rFonts w:ascii="Arial" w:cs="Arial" w:eastAsia="Arial" w:hAnsi="Arial"/>
                <w:sz w:val="18"/>
                <w:szCs w:val="18"/>
                <w:color w:val="auto"/>
                <w:w w:val="93"/>
              </w:rPr>
              <w:t>underwriters exercise the option in full, the total underwriting discounts and commissions payable by us will be $</w:t>
            </w:r>
          </w:p>
        </w:tc>
        <w:tc>
          <w:tcPr>
            <w:tcW w:w="2280" w:type="dxa"/>
            <w:vAlign w:val="bottom"/>
          </w:tcPr>
          <w:p>
            <w:pPr>
              <w:ind w:left="180"/>
              <w:spacing w:after="0"/>
              <w:rPr>
                <w:sz w:val="20"/>
                <w:szCs w:val="20"/>
                <w:color w:val="auto"/>
              </w:rPr>
            </w:pPr>
            <w:r>
              <w:rPr>
                <w:rFonts w:ascii="Arial" w:cs="Arial" w:eastAsia="Arial" w:hAnsi="Arial"/>
                <w:sz w:val="18"/>
                <w:szCs w:val="18"/>
                <w:color w:val="auto"/>
                <w:w w:val="87"/>
              </w:rPr>
              <w:t>, and the total proceeds to us,</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w w:val="98"/>
              </w:rPr>
              <w:t>before expenses, will be $</w:t>
            </w:r>
          </w:p>
        </w:tc>
        <w:tc>
          <w:tcPr>
            <w:tcW w:w="2300" w:type="dxa"/>
            <w:vAlign w:val="bottom"/>
          </w:tcPr>
          <w:p>
            <w:pPr>
              <w:jc w:val="right"/>
              <w:ind w:right="199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40"/>
        </w:trPr>
        <w:tc>
          <w:tcPr>
            <w:tcW w:w="4360" w:type="dxa"/>
            <w:vAlign w:val="bottom"/>
            <w:gridSpan w:val="2"/>
          </w:tcPr>
          <w:p>
            <w:pPr>
              <w:spacing w:after="0"/>
              <w:rPr>
                <w:sz w:val="20"/>
                <w:szCs w:val="20"/>
                <w:color w:val="auto"/>
              </w:rPr>
            </w:pPr>
            <w:r>
              <w:rPr>
                <w:rFonts w:ascii="Arial" w:cs="Arial" w:eastAsia="Arial" w:hAnsi="Arial"/>
                <w:sz w:val="18"/>
                <w:szCs w:val="18"/>
                <w:color w:val="auto"/>
                <w:w w:val="95"/>
              </w:rPr>
              <w:t>Delivery of the ADSs is expected to be made on or about</w:t>
            </w:r>
          </w:p>
        </w:tc>
        <w:tc>
          <w:tcPr>
            <w:tcW w:w="2300" w:type="dxa"/>
            <w:vAlign w:val="bottom"/>
          </w:tcPr>
          <w:p>
            <w:pPr>
              <w:jc w:val="right"/>
              <w:ind w:right="1190"/>
              <w:spacing w:after="0"/>
              <w:rPr>
                <w:sz w:val="20"/>
                <w:szCs w:val="20"/>
                <w:color w:val="auto"/>
              </w:rPr>
            </w:pPr>
            <w:r>
              <w:rPr>
                <w:rFonts w:ascii="Arial" w:cs="Arial" w:eastAsia="Arial" w:hAnsi="Arial"/>
                <w:sz w:val="18"/>
                <w:szCs w:val="18"/>
                <w:color w:val="auto"/>
              </w:rPr>
              <w:t>, 2019.</w:t>
            </w: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73"/>
        </w:trPr>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90" w:lineRule="exact"/>
        <w:rPr>
          <w:sz w:val="20"/>
          <w:szCs w:val="20"/>
          <w:color w:val="auto"/>
        </w:rPr>
      </w:pPr>
    </w:p>
    <w:p>
      <w:pPr>
        <w:ind w:left="200"/>
        <w:spacing w:after="0"/>
        <w:tabs>
          <w:tab w:leader="none" w:pos="3360" w:val="left"/>
          <w:tab w:leader="none" w:pos="6740" w:val="left"/>
          <w:tab w:leader="none" w:pos="980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3"/>
          <w:szCs w:val="23"/>
          <w:b w:val="1"/>
          <w:bCs w:val="1"/>
          <w:color w:val="auto"/>
        </w:rPr>
        <w:t>SVB Leerink</w:t>
      </w:r>
    </w:p>
    <w:p>
      <w:pPr>
        <w:spacing w:after="0" w:line="122" w:lineRule="exact"/>
        <w:rPr>
          <w:sz w:val="20"/>
          <w:szCs w:val="20"/>
          <w:color w:val="auto"/>
        </w:rPr>
      </w:pPr>
    </w:p>
    <w:p>
      <w:pPr>
        <w:ind w:left="1040"/>
        <w:spacing w:after="0"/>
        <w:tabs>
          <w:tab w:leader="none" w:pos="4660" w:val="left"/>
          <w:tab w:leader="none" w:pos="8920" w:val="left"/>
        </w:tabs>
        <w:rPr>
          <w:sz w:val="20"/>
          <w:szCs w:val="20"/>
          <w:color w:val="auto"/>
        </w:rPr>
      </w:pPr>
      <w:r>
        <w:rPr>
          <w:rFonts w:ascii="Arial" w:cs="Arial" w:eastAsia="Arial" w:hAnsi="Arial"/>
          <w:sz w:val="23"/>
          <w:szCs w:val="23"/>
          <w:b w:val="1"/>
          <w:bCs w:val="1"/>
          <w:color w:val="auto"/>
        </w:rPr>
        <w:t>Canaccord Genuity</w:t>
      </w:r>
      <w:r>
        <w:rPr>
          <w:sz w:val="20"/>
          <w:szCs w:val="20"/>
          <w:color w:val="auto"/>
        </w:rPr>
        <w:tab/>
      </w:r>
      <w:r>
        <w:rPr>
          <w:rFonts w:ascii="Arial" w:cs="Arial" w:eastAsia="Arial" w:hAnsi="Arial"/>
          <w:sz w:val="23"/>
          <w:szCs w:val="23"/>
          <w:b w:val="1"/>
          <w:bCs w:val="1"/>
          <w:color w:val="auto"/>
        </w:rPr>
        <w:t>Bryan, Garnier &amp; Co.</w:t>
      </w:r>
      <w:r>
        <w:rPr>
          <w:sz w:val="20"/>
          <w:szCs w:val="20"/>
          <w:color w:val="auto"/>
        </w:rPr>
        <w:tab/>
      </w:r>
      <w:r>
        <w:rPr>
          <w:rFonts w:ascii="Arial" w:cs="Arial" w:eastAsia="Arial" w:hAnsi="Arial"/>
          <w:sz w:val="20"/>
          <w:szCs w:val="20"/>
          <w:b w:val="1"/>
          <w:bCs w:val="1"/>
          <w:color w:val="auto"/>
        </w:rPr>
        <w:t>Berenberg</w:t>
      </w:r>
    </w:p>
    <w:p>
      <w:pPr>
        <w:spacing w:after="0" w:line="118" w:lineRule="exact"/>
        <w:rPr>
          <w:sz w:val="20"/>
          <w:szCs w:val="20"/>
          <w:color w:val="auto"/>
        </w:rPr>
      </w:pPr>
    </w:p>
    <w:p>
      <w:pPr>
        <w:ind w:left="320"/>
        <w:spacing w:after="0"/>
        <w:tabs>
          <w:tab w:leader="none" w:pos="5360" w:val="left"/>
          <w:tab w:leader="none" w:pos="8420" w:val="left"/>
        </w:tabs>
        <w:rPr>
          <w:sz w:val="20"/>
          <w:szCs w:val="20"/>
          <w:color w:val="auto"/>
        </w:rPr>
      </w:pPr>
      <w:r>
        <w:rPr>
          <w:rFonts w:ascii="Arial" w:cs="Arial" w:eastAsia="Arial" w:hAnsi="Arial"/>
          <w:sz w:val="22"/>
          <w:szCs w:val="22"/>
          <w:b w:val="1"/>
          <w:bCs w:val="1"/>
          <w:color w:val="auto"/>
        </w:rPr>
        <w:t>Wolfe Capital Markets and Advisory</w:t>
      </w:r>
      <w:r>
        <w:rPr>
          <w:sz w:val="20"/>
          <w:szCs w:val="20"/>
          <w:color w:val="auto"/>
        </w:rPr>
        <w:tab/>
      </w:r>
      <w:r>
        <w:rPr>
          <w:rFonts w:ascii="Arial" w:cs="Arial" w:eastAsia="Arial" w:hAnsi="Arial"/>
          <w:sz w:val="22"/>
          <w:szCs w:val="22"/>
          <w:b w:val="1"/>
          <w:bCs w:val="1"/>
          <w:color w:val="auto"/>
        </w:rPr>
        <w:t>Kempen</w:t>
      </w:r>
      <w:r>
        <w:rPr>
          <w:sz w:val="20"/>
          <w:szCs w:val="20"/>
          <w:color w:val="auto"/>
        </w:rPr>
        <w:tab/>
      </w:r>
      <w:r>
        <w:rPr>
          <w:rFonts w:ascii="Arial" w:cs="Arial" w:eastAsia="Arial" w:hAnsi="Arial"/>
          <w:sz w:val="19"/>
          <w:szCs w:val="19"/>
          <w:b w:val="1"/>
          <w:bCs w:val="1"/>
          <w:color w:val="auto"/>
        </w:rPr>
        <w:t>Mirae Asset Securities</w:t>
      </w:r>
    </w:p>
    <w:p>
      <w:pPr>
        <w:sectPr>
          <w:pgSz w:w="11900" w:h="16838" w:orient="portrait"/>
          <w:cols w:equalWidth="0" w:num="1">
            <w:col w:w="11220"/>
          </w:cols>
          <w:pgMar w:left="240" w:top="459" w:right="439" w:bottom="1440" w:gutter="0" w:footer="0" w:header="0"/>
        </w:sectPr>
      </w:pPr>
    </w:p>
    <w:p>
      <w:pPr>
        <w:spacing w:after="0" w:line="215" w:lineRule="exact"/>
        <w:rPr>
          <w:sz w:val="20"/>
          <w:szCs w:val="20"/>
          <w:color w:val="auto"/>
        </w:rPr>
      </w:pPr>
    </w:p>
    <w:p>
      <w:pPr>
        <w:ind w:left="4460"/>
        <w:spacing w:after="0"/>
        <w:tabs>
          <w:tab w:leader="none" w:pos="650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6"/>
          <w:szCs w:val="16"/>
          <w:b w:val="1"/>
          <w:bCs w:val="1"/>
          <w:color w:val="auto"/>
        </w:rPr>
        <w:t>, 2019</w:t>
      </w:r>
    </w:p>
    <w:p>
      <w:pPr>
        <w:sectPr>
          <w:pgSz w:w="11900" w:h="16838" w:orient="portrait"/>
          <w:cols w:equalWidth="0" w:num="1">
            <w:col w:w="11220"/>
          </w:cols>
          <w:pgMar w:left="24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2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92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820" w:type="dxa"/>
            <w:vAlign w:val="bottom"/>
            <w:tcBorders>
              <w:top w:val="single" w:sz="8" w:color="0000EE"/>
            </w:tcBorders>
            <w:gridSpan w:val="7"/>
          </w:tcPr>
          <w:p>
            <w:pPr>
              <w:spacing w:after="0"/>
              <w:rPr>
                <w:sz w:val="17"/>
                <w:szCs w:val="17"/>
                <w:color w:val="auto"/>
              </w:rPr>
            </w:pPr>
          </w:p>
        </w:tc>
        <w:tc>
          <w:tcPr>
            <w:tcW w:w="68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CAUTIONARY NOTE REGARDING FORWARD-LOOKING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USE OF PROCEEDS</w:t>
              </w:r>
            </w:hyperlink>
          </w:p>
        </w:tc>
        <w:tc>
          <w:tcPr>
            <w:tcW w:w="4180" w:type="dxa"/>
            <w:vAlign w:val="bottom"/>
            <w:tcBorders>
              <w:top w:val="single" w:sz="8" w:color="0000EE"/>
            </w:tcBorders>
            <w:gridSpan w:val="10"/>
          </w:tcPr>
          <w:p>
            <w:pPr>
              <w:spacing w:after="0"/>
              <w:rPr>
                <w:sz w:val="17"/>
                <w:szCs w:val="17"/>
                <w:color w:val="auto"/>
              </w:rPr>
            </w:pPr>
          </w:p>
        </w:tc>
        <w:tc>
          <w:tcPr>
            <w:tcW w:w="314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DIVIDEND POLICY</w:t>
              </w:r>
            </w:hyperlink>
          </w:p>
        </w:tc>
        <w:tc>
          <w:tcPr>
            <w:tcW w:w="734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0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CAPITALIZATION</w:t>
              </w:r>
            </w:hyperlink>
          </w:p>
        </w:tc>
        <w:tc>
          <w:tcPr>
            <w:tcW w:w="7440" w:type="dxa"/>
            <w:vAlign w:val="bottom"/>
            <w:gridSpan w:val="1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20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DILUTION</w:t>
              </w:r>
            </w:hyperlink>
          </w:p>
        </w:tc>
        <w:tc>
          <w:tcPr>
            <w:tcW w:w="8040" w:type="dxa"/>
            <w:vAlign w:val="bottom"/>
            <w:gridSpan w:val="2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SELECTED CONSOLIDATED FINANCIAL DATA</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2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20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BUSINESS</w:t>
              </w:r>
            </w:hyperlink>
          </w:p>
        </w:tc>
        <w:tc>
          <w:tcPr>
            <w:tcW w:w="80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249</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RELATED PARTY TRANSACTIONS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196"/>
        </w:trPr>
        <w:tc>
          <w:tcPr>
            <w:tcW w:w="200" w:type="dxa"/>
            <w:vAlign w:val="bottom"/>
          </w:tcPr>
          <w:p>
            <w:pPr>
              <w:spacing w:after="0"/>
              <w:rPr>
                <w:sz w:val="17"/>
                <w:szCs w:val="17"/>
                <w:color w:val="auto"/>
              </w:rPr>
            </w:pPr>
          </w:p>
        </w:tc>
        <w:tc>
          <w:tcPr>
            <w:tcW w:w="28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PRINCIPAL SHAREHOLDERS</w:t>
              </w:r>
            </w:hyperlink>
          </w:p>
        </w:tc>
        <w:tc>
          <w:tcPr>
            <w:tcW w:w="6100" w:type="dxa"/>
            <w:vAlign w:val="bottom"/>
            <w:gridSpan w:val="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DESCRIPTION OF SHARE CAPITAL AND ARTICLES OF ASSOCIATION (</w:t>
              </w:r>
              <w:r>
                <w:rPr>
                  <w:rFonts w:ascii="Arial" w:cs="Arial" w:eastAsia="Arial" w:hAnsi="Arial"/>
                  <w:sz w:val="18"/>
                  <w:szCs w:val="18"/>
                  <w:i w:val="1"/>
                  <w:iCs w:val="1"/>
                  <w:color w:val="0000EE"/>
                </w:rPr>
                <w:t>SATZUNG</w:t>
              </w:r>
              <w:r>
                <w:rPr>
                  <w:rFonts w:ascii="Arial" w:cs="Arial" w:eastAsia="Arial" w:hAnsi="Arial"/>
                  <w:sz w:val="18"/>
                  <w:szCs w:val="18"/>
                  <w:color w:val="0000EE"/>
                </w:rPr>
                <w: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266</w:t>
            </w:r>
          </w:p>
        </w:tc>
      </w:tr>
      <w:tr>
        <w:trPr>
          <w:trHeight w:val="196"/>
        </w:trPr>
        <w:tc>
          <w:tcPr>
            <w:tcW w:w="200" w:type="dxa"/>
            <w:vAlign w:val="bottom"/>
          </w:tcPr>
          <w:p>
            <w:pPr>
              <w:spacing w:after="0"/>
              <w:rPr>
                <w:sz w:val="17"/>
                <w:szCs w:val="17"/>
                <w:color w:val="auto"/>
              </w:rPr>
            </w:pPr>
          </w:p>
        </w:tc>
        <w:tc>
          <w:tcPr>
            <w:tcW w:w="66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DESCRIPTION OF AMERICAN DEPOSITARY SHARES</w:t>
              </w:r>
            </w:hyperlink>
          </w:p>
        </w:tc>
        <w:tc>
          <w:tcPr>
            <w:tcW w:w="22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280</w:t>
            </w:r>
          </w:p>
        </w:tc>
      </w:tr>
      <w:tr>
        <w:trPr>
          <w:trHeight w:val="196"/>
        </w:trPr>
        <w:tc>
          <w:tcPr>
            <w:tcW w:w="20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w:anchor="page292">
              <w:r>
                <w:rPr>
                  <w:rFonts w:ascii="Arial" w:cs="Arial" w:eastAsia="Arial" w:hAnsi="Arial"/>
                  <w:sz w:val="18"/>
                  <w:szCs w:val="18"/>
                  <w:color w:val="0000EE"/>
                  <w:w w:val="95"/>
                </w:rPr>
                <w:t>SHARES AND ADSs ELIGIBLE FOR FUTURE SALE</w:t>
              </w:r>
            </w:hyperlink>
          </w:p>
        </w:tc>
        <w:tc>
          <w:tcPr>
            <w:tcW w:w="220" w:type="dxa"/>
            <w:vAlign w:val="bottom"/>
            <w:tcBorders>
              <w:top w:val="single" w:sz="8" w:color="0000EE"/>
            </w:tcBorders>
          </w:tcPr>
          <w:p>
            <w:pPr>
              <w:spacing w:after="0"/>
              <w:rPr>
                <w:sz w:val="17"/>
                <w:szCs w:val="17"/>
                <w:color w:val="auto"/>
              </w:rPr>
            </w:pPr>
          </w:p>
        </w:tc>
        <w:tc>
          <w:tcPr>
            <w:tcW w:w="460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r>
      <w:tr>
        <w:trPr>
          <w:trHeight w:val="196"/>
        </w:trPr>
        <w:tc>
          <w:tcPr>
            <w:tcW w:w="200" w:type="dxa"/>
            <w:vAlign w:val="bottom"/>
          </w:tcPr>
          <w:p>
            <w:pPr>
              <w:spacing w:after="0"/>
              <w:rPr>
                <w:sz w:val="17"/>
                <w:szCs w:val="17"/>
                <w:color w:val="auto"/>
              </w:rPr>
            </w:pPr>
          </w:p>
        </w:tc>
        <w:tc>
          <w:tcPr>
            <w:tcW w:w="610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294">
              <w:r>
                <w:rPr>
                  <w:rFonts w:ascii="Arial" w:cs="Arial" w:eastAsia="Arial" w:hAnsi="Arial"/>
                  <w:sz w:val="18"/>
                  <w:szCs w:val="18"/>
                  <w:color w:val="0000EE"/>
                  <w:w w:val="96"/>
                </w:rPr>
                <w:t>EXCHANGE CONTROLS AND LIMITATIONS AFFECTING SHAREHOLDERS</w:t>
              </w:r>
            </w:hyperlink>
          </w:p>
        </w:tc>
        <w:tc>
          <w:tcPr>
            <w:tcW w:w="28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290</w:t>
            </w:r>
          </w:p>
        </w:tc>
      </w:tr>
      <w:tr>
        <w:trPr>
          <w:trHeight w:val="196"/>
        </w:trPr>
        <w:tc>
          <w:tcPr>
            <w:tcW w:w="20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295">
              <w:r>
                <w:rPr>
                  <w:rFonts w:ascii="Arial" w:cs="Arial" w:eastAsia="Arial" w:hAnsi="Arial"/>
                  <w:sz w:val="18"/>
                  <w:szCs w:val="18"/>
                  <w:color w:val="0000EE"/>
                  <w:w w:val="97"/>
                </w:rPr>
                <w:t>TAXATION</w:t>
              </w:r>
            </w:hyperlink>
          </w:p>
        </w:tc>
        <w:tc>
          <w:tcPr>
            <w:tcW w:w="802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291</w:t>
            </w:r>
          </w:p>
        </w:tc>
      </w:tr>
      <w:tr>
        <w:trPr>
          <w:trHeight w:val="196"/>
        </w:trPr>
        <w:tc>
          <w:tcPr>
            <w:tcW w:w="20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306">
              <w:r>
                <w:rPr>
                  <w:rFonts w:ascii="Arial" w:cs="Arial" w:eastAsia="Arial" w:hAnsi="Arial"/>
                  <w:sz w:val="18"/>
                  <w:szCs w:val="18"/>
                  <w:color w:val="0000EE"/>
                  <w:w w:val="97"/>
                </w:rPr>
                <w:t>UNDERWRITING</w:t>
              </w:r>
            </w:hyperlink>
          </w:p>
        </w:tc>
        <w:tc>
          <w:tcPr>
            <w:tcW w:w="752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302</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EXPENSES OF THE OFFERING</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310</w:t>
            </w:r>
          </w:p>
        </w:tc>
      </w:tr>
      <w:tr>
        <w:trPr>
          <w:trHeight w:val="196"/>
        </w:trPr>
        <w:tc>
          <w:tcPr>
            <w:tcW w:w="2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315">
              <w:r>
                <w:rPr>
                  <w:rFonts w:ascii="Arial" w:cs="Arial" w:eastAsia="Arial" w:hAnsi="Arial"/>
                  <w:sz w:val="18"/>
                  <w:szCs w:val="18"/>
                  <w:color w:val="0000EE"/>
                  <w:w w:val="96"/>
                </w:rPr>
                <w:t>LEGAL MATTERS</w:t>
              </w:r>
            </w:hyperlink>
          </w:p>
        </w:tc>
        <w:tc>
          <w:tcPr>
            <w:tcW w:w="1020" w:type="dxa"/>
            <w:vAlign w:val="bottom"/>
            <w:tcBorders>
              <w:top w:val="single" w:sz="8" w:color="0000EE"/>
            </w:tcBorders>
            <w:gridSpan w:val="6"/>
          </w:tcPr>
          <w:p>
            <w:pPr>
              <w:spacing w:after="0"/>
              <w:rPr>
                <w:sz w:val="17"/>
                <w:szCs w:val="17"/>
                <w:color w:val="auto"/>
              </w:rPr>
            </w:pPr>
          </w:p>
        </w:tc>
        <w:tc>
          <w:tcPr>
            <w:tcW w:w="644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315">
              <w:r>
                <w:rPr>
                  <w:rFonts w:ascii="Arial" w:cs="Arial" w:eastAsia="Arial" w:hAnsi="Arial"/>
                  <w:sz w:val="18"/>
                  <w:szCs w:val="18"/>
                  <w:color w:val="0000EE"/>
                  <w:w w:val="96"/>
                </w:rPr>
                <w:t>CHANGE IN ACCOUNTANTS</w:t>
              </w:r>
            </w:hyperlink>
          </w:p>
        </w:tc>
        <w:tc>
          <w:tcPr>
            <w:tcW w:w="654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15">
              <w:r>
                <w:rPr>
                  <w:rFonts w:ascii="Arial" w:cs="Arial" w:eastAsia="Arial" w:hAnsi="Arial"/>
                  <w:sz w:val="18"/>
                  <w:szCs w:val="18"/>
                  <w:color w:val="0000EE"/>
                  <w:w w:val="90"/>
                </w:rPr>
                <w:t>EXPERTS</w:t>
              </w:r>
            </w:hyperlink>
          </w:p>
        </w:tc>
        <w:tc>
          <w:tcPr>
            <w:tcW w:w="814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50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315">
              <w:r>
                <w:rPr>
                  <w:rFonts w:ascii="Arial" w:cs="Arial" w:eastAsia="Arial" w:hAnsi="Arial"/>
                  <w:sz w:val="18"/>
                  <w:szCs w:val="18"/>
                  <w:color w:val="0000EE"/>
                  <w:w w:val="95"/>
                </w:rPr>
                <w:t>SERVICE OF PROCESS AND ENFORCEMENT OF LIABILITIES</w:t>
              </w:r>
            </w:hyperlink>
          </w:p>
        </w:tc>
        <w:tc>
          <w:tcPr>
            <w:tcW w:w="392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38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316">
              <w:r>
                <w:rPr>
                  <w:rFonts w:ascii="Arial" w:cs="Arial" w:eastAsia="Arial" w:hAnsi="Arial"/>
                  <w:sz w:val="18"/>
                  <w:szCs w:val="18"/>
                  <w:color w:val="0000EE"/>
                  <w:w w:val="97"/>
                </w:rPr>
                <w:t>WHERE YOU CAN FIND MORE INFORMATION</w:t>
              </w:r>
            </w:hyperlink>
          </w:p>
        </w:tc>
        <w:tc>
          <w:tcPr>
            <w:tcW w:w="50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312</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317">
              <w:r>
                <w:rPr>
                  <w:rFonts w:ascii="Arial" w:cs="Arial" w:eastAsia="Arial" w:hAnsi="Arial"/>
                  <w:sz w:val="18"/>
                  <w:szCs w:val="18"/>
                  <w:color w:val="0000EE"/>
                </w:rPr>
                <w:t>INDEX TO FINANCIAL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that contained in this prospectus, any amendment or supplement to this prospectus, or any free writing prospectus we may authorize to be delivered or made available to you. We take no responsibility for, and can provide no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cover page of this prospectus, regardless of the time of delivery of this prospectus or the sale of any ADSs. Our business, financial condition, results of operations and prospects may have changed since the date on the cover page of this prospectus.</w:t>
      </w:r>
    </w:p>
    <w:p>
      <w:pPr>
        <w:spacing w:after="0" w:line="17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ADSs and the distribution of this prospectus outside of the United States.</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The prospectus summary beginning on page 1 below highlights information contained elsewhere in this prospectus and does not contain all of the information that you should consider in making your investment decision. Before deciding to invest in our ADSs, you should read this entire prospectus carefully, including the sections titled “Risk Factors,” “Business” and “Management’s Discussion and Analysis of Financial Condition and Results of Operations” and our consolidated financial statements and related notes included elsewhere in this prospectus.</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“BioNTech,” the “Company,” “we,” “us” and ”our” refer to BioNTech SE and our wholly owned subsidiaries.</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This prospectus includes our audited consolidated financial statements as of and for the years ended December 31, 2018 and 2017, which have been prepared in accordance with International Financial Reporting Standards, or IFRS, as issued by the International Accounting Standards Board, or IASB, which differ in certain significant respects from U.S. generally accepted accounting principles, or U.S. GAAP.</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financial information is presented in Euros. For the convenience of the reader, we have translated some of our financial information into U.S. dollars. Unless otherwise indicated, these translations were made at the rate of €1.00 to $1.1074, the noon buying rate of the Federal Reserve Bank of New York on September 13, 2019. Such U.S. dollar amounts are not necessarily indicative of the amounts of U.S. dollars that could actually have been purchased upon exchange of Euros at the dates indicated. All references in this prospectus to “$” mean U.S. dollars and all references to “€” mean Euros.</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made rounding adjustments to some of the figures contained in this prospectus. Accordingly, numerical figures shown as totals in some tables may not be exact arithmetic aggregations of the figures that preceded them.</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BioNTech SE logo, FixVac</w:t>
      </w:r>
      <w:r>
        <w:rPr>
          <w:rFonts w:ascii="Arial" w:cs="Arial" w:eastAsia="Arial" w:hAnsi="Arial"/>
          <w:sz w:val="13"/>
          <w:szCs w:val="13"/>
          <w:color w:val="auto"/>
        </w:rPr>
        <w:t>®</w:t>
      </w:r>
      <w:r>
        <w:rPr>
          <w:rFonts w:ascii="Arial" w:cs="Arial" w:eastAsia="Arial" w:hAnsi="Arial"/>
          <w:sz w:val="16"/>
          <w:szCs w:val="16"/>
          <w:color w:val="auto"/>
        </w:rPr>
        <w:t>, RiboMab</w:t>
      </w:r>
      <w:r>
        <w:rPr>
          <w:rFonts w:ascii="Arial" w:cs="Arial" w:eastAsia="Arial" w:hAnsi="Arial"/>
          <w:sz w:val="13"/>
          <w:szCs w:val="13"/>
          <w:color w:val="auto"/>
        </w:rPr>
        <w:t>®</w:t>
      </w:r>
      <w:r>
        <w:rPr>
          <w:rFonts w:ascii="Arial" w:cs="Arial" w:eastAsia="Arial" w:hAnsi="Arial"/>
          <w:sz w:val="16"/>
          <w:szCs w:val="16"/>
          <w:color w:val="auto"/>
        </w:rPr>
        <w:t>, RiboCytokine</w:t>
      </w:r>
      <w:r>
        <w:rPr>
          <w:rFonts w:ascii="Arial" w:cs="Arial" w:eastAsia="Arial" w:hAnsi="Arial"/>
          <w:sz w:val="13"/>
          <w:szCs w:val="13"/>
          <w:color w:val="auto"/>
        </w:rPr>
        <w:t>®</w:t>
      </w:r>
      <w:r>
        <w:rPr>
          <w:rFonts w:ascii="Arial" w:cs="Arial" w:eastAsia="Arial" w:hAnsi="Arial"/>
          <w:sz w:val="16"/>
          <w:szCs w:val="16"/>
          <w:color w:val="auto"/>
        </w:rPr>
        <w:t>, MammaTyper</w:t>
      </w:r>
      <w:r>
        <w:rPr>
          <w:rFonts w:ascii="Arial" w:cs="Arial" w:eastAsia="Arial" w:hAnsi="Arial"/>
          <w:sz w:val="13"/>
          <w:szCs w:val="13"/>
          <w:color w:val="auto"/>
        </w:rPr>
        <w:t>®</w:t>
      </w:r>
      <w:r>
        <w:rPr>
          <w:rFonts w:ascii="Arial" w:cs="Arial" w:eastAsia="Arial" w:hAnsi="Arial"/>
          <w:sz w:val="16"/>
          <w:szCs w:val="16"/>
          <w:color w:val="auto"/>
        </w:rPr>
        <w:t xml:space="preserve"> and other trademarks or service marks of BioNTech appearing in this prospectus are the property of the Company. Solely for convenience, some of the trademarks, service marks, logos and trade names referred to in this prospectus are presented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they contain has been obtained from sources believed to be reliable, although they do not guarantee the accuracy or completeness of such information. While we believe that each of these publications and third-party studies is reliable, we have not independently verified the market and industry data obtained from these third-party sources. Forecasts and other forward-looking information obtained from these sources are subject to the same qualifications and uncertainties as the other forward-looking statements contained in this prospectus. These forecasts and forward-looking information are subject to uncertainty and risk due to a variety of factors, including those described in “Risk Factors.” These and other factors could cause results to differ materially from those expressed in our forecasts or estimates or those of independent third parties. While we believe our internal research is reliable and the definitions of our market and industry are appropriate, neither such research nor these definitions have been verified by any independent source.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99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899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PROSPECTUS SUMMARY</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8"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The interconnected dimensions of cancer heterogeneity on which we focus are illustrated below. The interaction between cancer and the immune system is shaped by various host, tumor and environmental factors. The complex interplay of these sources of interpatient heterogeneity both affects the course of disease and determines the most appropriate choice of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24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20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020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Leveraging our expertise in these factors, we and our collaborators have advanced a development pipeline of over 20 product candidates, of which eight have entered into nine ongoing clinical trials. While we believe our approach is broadly applicable across a number of therapeutic areas, our most advanced programs are focused on oncology, where we have treated over 250 patients across 17 tumor types to date. In our Phase 1 trials, we have observed single-agent antigen-specific immune responses in over 90% of advanced melanoma patients treated with BNT111, our wholly owned lead off-the-shelf immunotherapy product candidate from our FixVac platform. In addition, we have observed single-agent antigen-specific immune responses in patients treated with BNT121, the precursor to RO7198457 (BNT122), our lead individualized neoantigen specific immunotherapy product candidate from our iNeST platform, which we are co-developing with Genentech, Inc., or Genentech. For both product candidates, we have also observed durable reduction in tumor volume in both the monotherapy and checkpoint-combination settings.</w:t>
      </w:r>
    </w:p>
    <w:p>
      <w:pPr>
        <w:spacing w:after="0" w:line="166" w:lineRule="exact"/>
        <w:rPr>
          <w:sz w:val="20"/>
          <w:szCs w:val="20"/>
          <w:color w:val="auto"/>
        </w:rPr>
      </w:pPr>
    </w:p>
    <w:p>
      <w:pPr>
        <w:ind w:left="380" w:right="400" w:firstLine="426"/>
        <w:spacing w:after="0" w:line="277" w:lineRule="auto"/>
        <w:rPr>
          <w:sz w:val="20"/>
          <w:szCs w:val="20"/>
          <w:color w:val="auto"/>
        </w:rPr>
      </w:pPr>
      <w:r>
        <w:rPr>
          <w:rFonts w:ascii="Arial" w:cs="Arial" w:eastAsia="Arial" w:hAnsi="Arial"/>
          <w:sz w:val="18"/>
          <w:szCs w:val="18"/>
          <w:color w:val="auto"/>
        </w:rPr>
        <w:t>Our potentially first-in-class product candidates are the result of our pioneering development of numerous immunotherapeutic platforms across four drug classes:</w:t>
      </w:r>
    </w:p>
    <w:p>
      <w:pPr>
        <w:spacing w:after="0" w:line="72" w:lineRule="exact"/>
        <w:rPr>
          <w:sz w:val="20"/>
          <w:szCs w:val="20"/>
          <w:color w:val="auto"/>
        </w:rPr>
      </w:pPr>
    </w:p>
    <w:p>
      <w:pPr>
        <w:ind w:left="1320" w:right="20" w:hanging="407"/>
        <w:spacing w:after="0" w:line="282"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mRNA Therapeutics. </w:t>
      </w:r>
      <w:r>
        <w:rPr>
          <w:rFonts w:ascii="Arial" w:cs="Arial" w:eastAsia="Arial" w:hAnsi="Arial"/>
          <w:sz w:val="18"/>
          <w:szCs w:val="18"/>
          <w:color w:val="auto"/>
        </w:rPr>
        <w:t>We have developed multiple proprietary formats and formulations of messenger ribonucleic acid, or mRNA,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genetic information to cells, where it is used to express proteins for therapeutic effect.</w:t>
      </w:r>
    </w:p>
    <w:p>
      <w:pPr>
        <w:spacing w:after="0" w:line="67" w:lineRule="exact"/>
        <w:rPr>
          <w:rFonts w:ascii="Arial" w:cs="Arial" w:eastAsia="Arial" w:hAnsi="Arial"/>
          <w:sz w:val="18"/>
          <w:szCs w:val="18"/>
          <w:color w:val="auto"/>
        </w:rPr>
      </w:pPr>
    </w:p>
    <w:p>
      <w:pPr>
        <w:ind w:left="1320" w:right="300" w:hanging="407"/>
        <w:spacing w:after="0" w:line="282"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Engineered Cell Therapies. </w:t>
      </w:r>
      <w:r>
        <w:rPr>
          <w:rFonts w:ascii="Arial" w:cs="Arial" w:eastAsia="Arial" w:hAnsi="Arial"/>
          <w:sz w:val="18"/>
          <w:szCs w:val="18"/>
          <w:color w:val="auto"/>
        </w:rPr>
        <w:t>We are developing a range of cell therapies, including CAR-T cells, in which the patient’s T cells are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to target cancer-specific antigens.</w:t>
      </w:r>
    </w:p>
    <w:p>
      <w:pPr>
        <w:spacing w:after="0" w:line="67" w:lineRule="exact"/>
        <w:rPr>
          <w:rFonts w:ascii="Arial" w:cs="Arial" w:eastAsia="Arial" w:hAnsi="Arial"/>
          <w:sz w:val="18"/>
          <w:szCs w:val="18"/>
          <w:color w:val="auto"/>
        </w:rPr>
      </w:pPr>
    </w:p>
    <w:p>
      <w:pPr>
        <w:ind w:left="1320" w:right="100" w:hanging="407"/>
        <w:spacing w:after="0" w:line="282"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next-generation antibodies, including bispecifics, that are designed to target immune checkpoints and</w:t>
      </w:r>
      <w:r>
        <w:rPr>
          <w:rFonts w:ascii="Arial" w:cs="Arial" w:eastAsia="Arial" w:hAnsi="Arial"/>
          <w:sz w:val="18"/>
          <w:szCs w:val="18"/>
          <w:b w:val="1"/>
          <w:bCs w:val="1"/>
          <w:color w:val="auto"/>
        </w:rPr>
        <w:t xml:space="preserve"> </w:t>
      </w:r>
      <w:r>
        <w:rPr>
          <w:rFonts w:ascii="Arial" w:cs="Arial" w:eastAsia="Arial" w:hAnsi="Arial"/>
          <w:sz w:val="18"/>
          <w:szCs w:val="18"/>
          <w:color w:val="auto"/>
        </w:rPr>
        <w:t>novel cancer antigens.</w:t>
      </w:r>
    </w:p>
    <w:p>
      <w:pPr>
        <w:spacing w:after="0" w:line="67" w:lineRule="exact"/>
        <w:rPr>
          <w:rFonts w:ascii="Arial" w:cs="Arial" w:eastAsia="Arial" w:hAnsi="Arial"/>
          <w:sz w:val="18"/>
          <w:szCs w:val="18"/>
          <w:color w:val="auto"/>
        </w:rPr>
      </w:pPr>
    </w:p>
    <w:p>
      <w:pPr>
        <w:ind w:left="1320" w:right="80" w:hanging="407"/>
        <w:spacing w:after="0" w:line="282"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patterns of immunomodulation.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We are focused on delivering on the promise of individualized immunotherapy for cancer patients. We believe that we can accomplish this by applying the following principles:</w:t>
      </w:r>
    </w:p>
    <w:p>
      <w:pPr>
        <w:spacing w:after="0" w:line="76" w:lineRule="exact"/>
        <w:rPr>
          <w:sz w:val="20"/>
          <w:szCs w:val="20"/>
          <w:color w:val="auto"/>
        </w:rPr>
      </w:pPr>
    </w:p>
    <w:p>
      <w:pPr>
        <w:ind w:left="1320" w:right="52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Harnessing the full potential of the immune system by exploiting multiple drug classes and addressing multiple complementary immune pathways.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the universe of patients benefiting from cancer immunotherapy.</w:t>
      </w:r>
    </w:p>
    <w:p>
      <w:pPr>
        <w:spacing w:after="0" w:line="130" w:lineRule="exact"/>
        <w:rPr>
          <w:rFonts w:ascii="Arial" w:cs="Arial" w:eastAsia="Arial" w:hAnsi="Arial"/>
          <w:sz w:val="18"/>
          <w:szCs w:val="18"/>
          <w:color w:val="auto"/>
        </w:rPr>
      </w:pPr>
    </w:p>
    <w:p>
      <w:pPr>
        <w:ind w:left="1320" w:right="44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the success rate of treatment by developing and engineering highly potent, precise and target-specific drug candidates either as off-the-shelf or individualized immunotherapies.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Focusing on curative approaches by addressing interindividual variability and cancer heterogeneity.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55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355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Our patient-centric model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founding onwards, we have been developing the novel technologies needed to match the identified targets to the optimal individualized treatment approach. Our patient-centric model is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345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7345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Our Pipeline</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are advancing a deep and broad portfolio of product candidates derived from our four drug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hanging="94"/>
        <w:spacing w:after="0"/>
        <w:tabs>
          <w:tab w:leader="none" w:pos="480" w:val="left"/>
        </w:tabs>
        <w:numPr>
          <w:ilvl w:val="0"/>
          <w:numId w:val="6"/>
        </w:numPr>
        <w:rPr>
          <w:rFonts w:ascii="Arial" w:cs="Arial" w:eastAsia="Arial" w:hAnsi="Arial"/>
          <w:sz w:val="9"/>
          <w:szCs w:val="9"/>
          <w:color w:val="auto"/>
        </w:rPr>
      </w:pPr>
      <w:r>
        <w:rPr>
          <w:rFonts w:ascii="Arial" w:cs="Arial" w:eastAsia="Arial" w:hAnsi="Arial"/>
          <w:sz w:val="11"/>
          <w:szCs w:val="11"/>
          <w:color w:val="auto"/>
        </w:rPr>
        <w:t>BNT113 is currently being studied in an investigator-initiated Phase 1 trial</w:t>
      </w:r>
    </w:p>
    <w:p>
      <w:pPr>
        <w:spacing w:after="0" w:line="3" w:lineRule="exact"/>
        <w:rPr>
          <w:rFonts w:ascii="Arial" w:cs="Arial" w:eastAsia="Arial" w:hAnsi="Arial"/>
          <w:sz w:val="9"/>
          <w:szCs w:val="9"/>
          <w:color w:val="auto"/>
        </w:rPr>
      </w:pPr>
    </w:p>
    <w:p>
      <w:pPr>
        <w:ind w:left="38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0"/>
          <w:szCs w:val="10"/>
          <w:color w:val="auto"/>
        </w:rPr>
        <w:t>We are eligible to receive worldwide licenses</w:t>
      </w:r>
    </w:p>
    <w:p>
      <w:pPr>
        <w:spacing w:after="0" w:line="6" w:lineRule="exact"/>
        <w:rPr>
          <w:rFonts w:ascii="Arial" w:cs="Arial" w:eastAsia="Arial" w:hAnsi="Arial"/>
          <w:sz w:val="9"/>
          <w:szCs w:val="9"/>
          <w:color w:val="auto"/>
        </w:rPr>
      </w:pPr>
    </w:p>
    <w:p>
      <w:pPr>
        <w:ind w:left="38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Protein Replacement Therapy</w:t>
      </w:r>
    </w:p>
    <w:p>
      <w:pPr>
        <w:spacing w:after="0" w:line="6" w:lineRule="exact"/>
        <w:rPr>
          <w:rFonts w:ascii="Arial" w:cs="Arial" w:eastAsia="Arial" w:hAnsi="Arial"/>
          <w:sz w:val="9"/>
          <w:szCs w:val="9"/>
          <w:color w:val="auto"/>
        </w:rPr>
      </w:pPr>
    </w:p>
    <w:p>
      <w:pPr>
        <w:ind w:left="380" w:right="759"/>
        <w:spacing w:after="0" w:line="281"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0"/>
          <w:szCs w:val="10"/>
          <w:color w:val="auto"/>
        </w:rPr>
        <w:t>We expect this topline data update to include an update on the ongoing study, including patient enrollment numbers, with full efficacy and safety data for an interim update expected in the second half of 2021.</w:t>
      </w:r>
      <w:r>
        <w:rPr>
          <w:rFonts w:ascii="Arial" w:cs="Arial" w:eastAsia="Arial" w:hAnsi="Arial"/>
          <w:sz w:val="9"/>
          <w:szCs w:val="9"/>
          <w:color w:val="auto"/>
        </w:rPr>
        <w:t xml:space="preserve"> 5 </w:t>
      </w:r>
      <w:r>
        <w:rPr>
          <w:rFonts w:ascii="Arial" w:cs="Arial" w:eastAsia="Arial" w:hAnsi="Arial"/>
          <w:sz w:val="10"/>
          <w:szCs w:val="10"/>
          <w:color w:val="auto"/>
        </w:rPr>
        <w:t>As the trial is sponsored and conducted by Sanofi, the timing of data updates is not under our control, and is subject to change by Sanofi.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9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79" w:lineRule="auto"/>
        <w:rPr>
          <w:sz w:val="20"/>
          <w:szCs w:val="20"/>
          <w:color w:val="auto"/>
        </w:rPr>
      </w:pPr>
      <w:r>
        <w:rPr>
          <w:rFonts w:ascii="Arial" w:cs="Arial" w:eastAsia="Arial" w:hAnsi="Arial"/>
          <w:sz w:val="17"/>
          <w:szCs w:val="17"/>
          <w:color w:val="auto"/>
        </w:rPr>
        <w:t>We believe the breadth of our technology is greater than the sum of its parts as it positions us to combine modes of action in a coordinated, potentially synergistic way to treat cancer in a more efficacious manner than current existing therapies. We further believe that our patient-centric approach and our broad, potentially synergistic portfolio of drug platforms place us at the forefront of a paradigm shift toward individualized immunotherapies and allow us to potentially address a larger share of cancer patients,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We have established relationships with seven pharmaceutical collaborators, which comprise Genentech, Sanofi S.A., or Sanofi, Genmab A/S, or Genmab, Genevant Sciences GmbH, or Genevant, Eli Lilly and Company, or Eli Lilly, Bayer AG, or Bayer, and Pfizer Inc., or Pfizer, in order to advance our science and development capabilities and provide non-dilutive capital. In addition, we have established research collaborations with the University of Pennsylvania and Translational Oncology at the University Medical Center of the Johannes Gutenberg University Mainz (Translationale Onkologie an der Universitätsmedizin der Johannes Gutenberg Universität Mainz gemeinnützige GmbH), or TRON.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8"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Our ability to develop, control and optimize the manufacturing of our product candidates is a core strategic pillar and competitive advantage, especially for our individualized mRNA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which are critical to our development programs. Additionally, we have collaborated with Siemens AG to develop efficient, semi-automated processes to produce our individualized mRNA immunotherapies on demand.</w:t>
      </w:r>
    </w:p>
    <w:p>
      <w:pPr>
        <w:spacing w:after="0" w:line="178"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Our team is comprised of first-movers and entrepreneurs in the fields of immunology and oncology, with experience in pioneering cutting-edge technologies for new, forward-looking therapeutic applications in order to capture new opportunities. Our scientific founders each have over 25 years of experience characterizing the molecular signatures of cancer and discovering potent high-precision immunotherapies. They are translating this combined knowledge into the development of highly individualized treatments to target patients’ specific cancers and other diseases. Our co-founders, Chief Executive Officer Prof. Ugur Sahin, M.D., and Supervisory Board member Prof. Christoph Huber, M.D., along with our Chief Medical Officer Özlem Türeci, M.D., have been published widely in the field of immunology and oncology and are recognized as thought leaders in their disciplines.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8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were founded in 2008, and to date we have raised $1.3 billion of capital in private placements of our shares and from our collaborators. Our investors currently include the Strüngmann family office, which is our majority shareholder, MIG Fonds, Salvia GmbH, Fidelity Management &amp; Research Company, Redmile Group, Janus Henderson Investors, the Invus Group, LLC and the Bill &amp; Melinda Gates Foundation.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key strengths include:</w:t>
      </w:r>
    </w:p>
    <w:p>
      <w:pPr>
        <w:spacing w:after="0" w:line="131" w:lineRule="exact"/>
        <w:rPr>
          <w:sz w:val="20"/>
          <w:szCs w:val="20"/>
          <w:color w:val="auto"/>
        </w:rPr>
      </w:pPr>
    </w:p>
    <w:p>
      <w:pPr>
        <w:ind w:left="1320" w:right="32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next-generation immunotherapy powerhouse pioneering individualized immunotherapies to address the shortcomings of existing treatments for cancer and other indications with significant unmet need.</w:t>
      </w:r>
    </w:p>
    <w:p>
      <w:pPr>
        <w:spacing w:after="0" w:line="75" w:lineRule="exact"/>
        <w:rPr>
          <w:rFonts w:ascii="Arial" w:cs="Arial" w:eastAsia="Arial" w:hAnsi="Arial"/>
          <w:sz w:val="18"/>
          <w:szCs w:val="18"/>
          <w:color w:val="auto"/>
        </w:rPr>
      </w:pPr>
    </w:p>
    <w:p>
      <w:pPr>
        <w:ind w:left="1320" w:right="58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developing product candidates addressing highly specific immuno-oncology targets, employing a technology-agnostic approach.</w:t>
      </w:r>
    </w:p>
    <w:p>
      <w:pPr>
        <w:spacing w:after="0" w:line="75" w:lineRule="exact"/>
        <w:rPr>
          <w:rFonts w:ascii="Arial" w:cs="Arial" w:eastAsia="Arial" w:hAnsi="Arial"/>
          <w:sz w:val="18"/>
          <w:szCs w:val="18"/>
          <w:color w:val="auto"/>
        </w:rPr>
      </w:pPr>
    </w:p>
    <w:p>
      <w:pPr>
        <w:ind w:left="1320" w:right="10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tested our lead mRNA product candidates in over 250 patients and have already demonstrated signs of single-agent clinical activity in our two lead programs.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developed a very broad and advanced mRNA therapeutic portfolio for the treatment of cancer.</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deep, diversified pipeline and expect data updates for up to five oncology programs by the end of 2020.</w:t>
      </w:r>
    </w:p>
    <w:p>
      <w:pPr>
        <w:spacing w:after="0" w:line="130" w:lineRule="exact"/>
        <w:rPr>
          <w:rFonts w:ascii="Arial" w:cs="Arial" w:eastAsia="Arial" w:hAnsi="Arial"/>
          <w:sz w:val="18"/>
          <w:szCs w:val="18"/>
          <w:color w:val="auto"/>
        </w:rPr>
      </w:pPr>
    </w:p>
    <w:p>
      <w:pPr>
        <w:ind w:left="1320" w:right="70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formed multiple collaborations with leading pharmaceutical companies and have retained significant development, commercial and financial rights across our portfolio.</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created a vertically integrated business with comprehensive in-house manufacturing capabilities.</w:t>
      </w:r>
    </w:p>
    <w:p>
      <w:pPr>
        <w:spacing w:after="0" w:line="130"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scientific DNA, which is the foundation of the BioNTech approach, has attracted a talented team from nearly 50 countries around the world.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 deliver our vision of truly individualized immunotherapies, we plan to:</w:t>
      </w:r>
    </w:p>
    <w:p>
      <w:pPr>
        <w:spacing w:after="0" w:line="131" w:lineRule="exact"/>
        <w:rPr>
          <w:sz w:val="20"/>
          <w:szCs w:val="20"/>
          <w:color w:val="auto"/>
        </w:rPr>
      </w:pPr>
    </w:p>
    <w:p>
      <w:pPr>
        <w:ind w:left="1320" w:right="66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advance our potential first-in-class product candidates derived from our FixVac and iNeST platforms toward market approvals in oncology, either on our own or with our collaborators.</w:t>
      </w:r>
    </w:p>
    <w:p>
      <w:pPr>
        <w:spacing w:after="0" w:line="75"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Progress additional product candidates through clinical development, leveraging our multiple drug classes and the synergies between them in order to expand our oncology pipeline.</w:t>
      </w:r>
    </w:p>
    <w:p>
      <w:pPr>
        <w:spacing w:after="0" w:line="75" w:lineRule="exact"/>
        <w:rPr>
          <w:rFonts w:ascii="Arial" w:cs="Arial" w:eastAsia="Arial" w:hAnsi="Arial"/>
          <w:sz w:val="18"/>
          <w:szCs w:val="18"/>
          <w:color w:val="auto"/>
        </w:rPr>
      </w:pPr>
    </w:p>
    <w:p>
      <w:pPr>
        <w:ind w:left="1320" w:right="20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Maximize the potential and leverage the broad applicability of our mRNA drug class in additional therapeutic areas beyond cancer, including through selective collaborations.</w:t>
      </w:r>
    </w:p>
    <w:p>
      <w:pPr>
        <w:spacing w:after="0" w:line="75" w:lineRule="exact"/>
        <w:rPr>
          <w:rFonts w:ascii="Arial" w:cs="Arial" w:eastAsia="Arial" w:hAnsi="Arial"/>
          <w:sz w:val="18"/>
          <w:szCs w:val="18"/>
          <w:color w:val="auto"/>
        </w:rPr>
      </w:pPr>
    </w:p>
    <w:p>
      <w:pPr>
        <w:ind w:left="1320" w:right="40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 our position as a leader in the highly automated, on-demand manufacture of individualized therapies with the goal of delivering our therapies globally.</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 commercial organization to bring our portfolio of cancer immunotherapies to patients.</w:t>
      </w:r>
    </w:p>
    <w:p>
      <w:pPr>
        <w:spacing w:after="0" w:line="130" w:lineRule="exact"/>
        <w:rPr>
          <w:rFonts w:ascii="Arial" w:cs="Arial" w:eastAsia="Arial" w:hAnsi="Arial"/>
          <w:sz w:val="18"/>
          <w:szCs w:val="18"/>
          <w:color w:val="auto"/>
        </w:rPr>
      </w:pPr>
    </w:p>
    <w:p>
      <w:pPr>
        <w:ind w:left="1320" w:right="80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current technology suite by continuing to develop existing and new drug classes and platforms, and selectively in-licensing technologies that are complementary to our existing pipeline.</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our culture of scientific excellence to continue to drive future innovation.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section of this prospectus titled “Risk Factors” immediately following this prospectus summary. These risks include, but are not limited to, the following:</w:t>
      </w:r>
    </w:p>
    <w:p>
      <w:pPr>
        <w:spacing w:after="0" w:line="87" w:lineRule="exact"/>
        <w:rPr>
          <w:sz w:val="20"/>
          <w:szCs w:val="20"/>
          <w:color w:val="auto"/>
        </w:rPr>
      </w:pPr>
    </w:p>
    <w:p>
      <w:pPr>
        <w:ind w:left="1320" w:hanging="407"/>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no pharmaceutical products approved for commercial sale.</w:t>
      </w:r>
    </w:p>
    <w:p>
      <w:pPr>
        <w:spacing w:after="0" w:line="130" w:lineRule="exact"/>
        <w:rPr>
          <w:rFonts w:ascii="Arial" w:cs="Arial" w:eastAsia="Arial" w:hAnsi="Arial"/>
          <w:sz w:val="18"/>
          <w:szCs w:val="18"/>
          <w:color w:val="auto"/>
        </w:rPr>
      </w:pPr>
    </w:p>
    <w:p>
      <w:pPr>
        <w:ind w:left="1320" w:right="46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anticipate that we will continue to incur significant losses for the foreseeable future.</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w:t>
      </w:r>
    </w:p>
    <w:p>
      <w:pPr>
        <w:spacing w:after="0" w:line="130" w:lineRule="exact"/>
        <w:rPr>
          <w:rFonts w:ascii="Arial" w:cs="Arial" w:eastAsia="Arial" w:hAnsi="Arial"/>
          <w:sz w:val="18"/>
          <w:szCs w:val="18"/>
          <w:color w:val="auto"/>
        </w:rPr>
      </w:pPr>
    </w:p>
    <w:p>
      <w:pPr>
        <w:ind w:left="1320" w:right="20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need to develop and expand our company, and we may encounter difficulties in managing this development and expansion, which could disrupt our operations.</w:t>
      </w:r>
    </w:p>
    <w:p>
      <w:pPr>
        <w:spacing w:after="0" w:line="75" w:lineRule="exact"/>
        <w:rPr>
          <w:rFonts w:ascii="Arial" w:cs="Arial" w:eastAsia="Arial" w:hAnsi="Arial"/>
          <w:sz w:val="18"/>
          <w:szCs w:val="18"/>
          <w:color w:val="auto"/>
        </w:rPr>
      </w:pPr>
    </w:p>
    <w:p>
      <w:pPr>
        <w:ind w:left="1320" w:right="8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Pharmaceutical product development is inherently uncertain, and there is no guarantee that any of our product candidates will receive marketing approval.</w:t>
      </w:r>
    </w:p>
    <w:p>
      <w:pPr>
        <w:spacing w:after="0" w:line="75"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mRNA immunotherapy has been approved, and none may ever be approved, in this new potential category of therapeutics. mRNA drug development has substantial clinical development and regulatory risks due to the novel and unprecedented nature of this new category of therapeutics.</w:t>
      </w:r>
    </w:p>
    <w:p>
      <w:pPr>
        <w:spacing w:after="0" w:line="86" w:lineRule="exact"/>
        <w:rPr>
          <w:rFonts w:ascii="Arial" w:cs="Arial" w:eastAsia="Arial" w:hAnsi="Arial"/>
          <w:sz w:val="18"/>
          <w:szCs w:val="18"/>
          <w:color w:val="auto"/>
        </w:rPr>
      </w:pPr>
    </w:p>
    <w:p>
      <w:pPr>
        <w:ind w:left="1320" w:right="460" w:hanging="407"/>
        <w:spacing w:after="0" w:line="279"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of our product candidates are classified as gene therapies by the U.S. Food and Drug Administration and the European Medicines Agency.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76" w:lineRule="exact"/>
        <w:rPr>
          <w:rFonts w:ascii="Arial" w:cs="Arial" w:eastAsia="Arial" w:hAnsi="Arial"/>
          <w:sz w:val="17"/>
          <w:szCs w:val="17"/>
          <w:color w:val="auto"/>
        </w:rPr>
      </w:pPr>
    </w:p>
    <w:p>
      <w:pPr>
        <w:ind w:left="1320" w:right="20" w:hanging="407"/>
        <w:spacing w:after="0" w:line="264"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obtain regulatory approval for our product candidates under applicable international regulatory requirements.</w:t>
      </w:r>
    </w:p>
    <w:p>
      <w:pPr>
        <w:spacing w:after="0" w:line="153" w:lineRule="exact"/>
        <w:rPr>
          <w:rFonts w:ascii="Arial" w:cs="Arial" w:eastAsia="Arial" w:hAnsi="Arial"/>
          <w:sz w:val="16"/>
          <w:szCs w:val="16"/>
          <w:color w:val="auto"/>
        </w:rPr>
      </w:pPr>
    </w:p>
    <w:p>
      <w:pPr>
        <w:ind w:left="1320" w:right="4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our failure to effectively compete would prevent us from achieving significant market penetration.</w:t>
      </w:r>
    </w:p>
    <w:p>
      <w:pPr>
        <w:spacing w:after="0" w:line="75" w:lineRule="exact"/>
        <w:rPr>
          <w:rFonts w:ascii="Arial" w:cs="Arial" w:eastAsia="Arial" w:hAnsi="Arial"/>
          <w:sz w:val="18"/>
          <w:szCs w:val="18"/>
          <w:color w:val="auto"/>
        </w:rPr>
      </w:pPr>
    </w:p>
    <w:p>
      <w:pPr>
        <w:ind w:left="1320" w:right="46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receive regulatory approval for our product candidates, the products may not gain market acceptance and we and our collaborators may not be able to effectively commercialize them.</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successful in developing and commercializing our product candidates, our ability to expand our business and achieve our strategic objectives will be impaired.</w:t>
      </w:r>
    </w:p>
    <w:p>
      <w:pPr>
        <w:spacing w:after="0" w:line="75" w:lineRule="exact"/>
        <w:rPr>
          <w:rFonts w:ascii="Arial" w:cs="Arial" w:eastAsia="Arial" w:hAnsi="Arial"/>
          <w:sz w:val="18"/>
          <w:szCs w:val="18"/>
          <w:color w:val="auto"/>
        </w:rPr>
      </w:pPr>
    </w:p>
    <w:p>
      <w:pPr>
        <w:ind w:left="1320" w:hanging="407"/>
        <w:spacing w:after="0" w:line="286"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dependent on our collaborators for advancing the development and commercialization of certain of our product candidates. These collaborations may not be successful, which could significantly limit the likelihood of receiving the potential economic benefits of such collaborations and adversely affect our ability to develop and commercialize our product candidates.</w:t>
      </w:r>
    </w:p>
    <w:p>
      <w:pPr>
        <w:spacing w:after="0" w:line="70" w:lineRule="exact"/>
        <w:rPr>
          <w:rFonts w:ascii="Arial" w:cs="Arial" w:eastAsia="Arial" w:hAnsi="Arial"/>
          <w:sz w:val="17"/>
          <w:szCs w:val="17"/>
          <w:color w:val="auto"/>
        </w:rPr>
      </w:pPr>
    </w:p>
    <w:p>
      <w:pPr>
        <w:ind w:left="1320" w:right="50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entered into several arrangements with a related party for the performance of nonclinical research programs, and these arrangements present potential conflicts of interest.</w:t>
      </w:r>
    </w:p>
    <w:p>
      <w:pPr>
        <w:spacing w:after="0" w:line="75" w:lineRule="exact"/>
        <w:rPr>
          <w:rFonts w:ascii="Arial" w:cs="Arial" w:eastAsia="Arial" w:hAnsi="Arial"/>
          <w:sz w:val="18"/>
          <w:szCs w:val="18"/>
          <w:color w:val="auto"/>
        </w:rPr>
      </w:pPr>
    </w:p>
    <w:p>
      <w:pPr>
        <w:ind w:left="1320" w:right="40" w:hanging="407"/>
        <w:spacing w:after="0" w:line="25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47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247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407"/>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encounter difficulties in manufacturing, product release, shelf life, testing, storage, supply chain management or shipping.</w:t>
      </w:r>
    </w:p>
    <w:p>
      <w:pPr>
        <w:spacing w:after="0" w:line="153" w:lineRule="exact"/>
        <w:rPr>
          <w:rFonts w:ascii="Arial" w:cs="Arial" w:eastAsia="Arial" w:hAnsi="Arial"/>
          <w:sz w:val="16"/>
          <w:szCs w:val="16"/>
          <w:color w:val="auto"/>
        </w:rPr>
      </w:pPr>
    </w:p>
    <w:p>
      <w:pPr>
        <w:ind w:left="1320" w:right="600" w:hanging="407"/>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product candidates are uniquely manufactured for each patient and we may encounter difficulties in production, particularly with respect to scaling our manufacturing capabilities.</w:t>
      </w:r>
    </w:p>
    <w:p>
      <w:pPr>
        <w:spacing w:after="0" w:line="75" w:lineRule="exact"/>
        <w:rPr>
          <w:rFonts w:ascii="Arial" w:cs="Arial" w:eastAsia="Arial" w:hAnsi="Arial"/>
          <w:sz w:val="18"/>
          <w:szCs w:val="18"/>
          <w:color w:val="auto"/>
        </w:rPr>
      </w:pPr>
    </w:p>
    <w:p>
      <w:pPr>
        <w:ind w:left="1320" w:right="660" w:hanging="407"/>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product candidates and technologies are not adequate, we may not be able to compete effectively in our market.</w:t>
      </w:r>
    </w:p>
    <w:p>
      <w:pPr>
        <w:spacing w:after="0" w:line="75" w:lineRule="exact"/>
        <w:rPr>
          <w:rFonts w:ascii="Arial" w:cs="Arial" w:eastAsia="Arial" w:hAnsi="Arial"/>
          <w:sz w:val="18"/>
          <w:szCs w:val="18"/>
          <w:color w:val="auto"/>
        </w:rPr>
      </w:pPr>
    </w:p>
    <w:p>
      <w:pPr>
        <w:ind w:left="1320" w:right="20" w:hanging="407"/>
        <w:spacing w:after="0" w:line="308" w:lineRule="auto"/>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We were incorporated on June 2, 2008 as Petersberg 91, V V AG,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We changed our name to BioNTech AG on December 11, 2008. On March 8, 2019, we converted to a European stock corporation (</w:t>
      </w:r>
      <w:r>
        <w:rPr>
          <w:rFonts w:ascii="Arial" w:cs="Arial" w:eastAsia="Arial" w:hAnsi="Arial"/>
          <w:sz w:val="18"/>
          <w:szCs w:val="18"/>
          <w:i w:val="1"/>
          <w:iCs w:val="1"/>
          <w:color w:val="auto"/>
        </w:rPr>
        <w:t>Societas Europaea</w:t>
      </w:r>
      <w:r>
        <w:rPr>
          <w:rFonts w:ascii="Arial" w:cs="Arial" w:eastAsia="Arial" w:hAnsi="Arial"/>
          <w:sz w:val="18"/>
          <w:szCs w:val="18"/>
          <w:color w:val="auto"/>
        </w:rPr>
        <w:t>, or SE) under the laws of Germany and the European Union called BioNTech SE.</w:t>
      </w:r>
    </w:p>
    <w:p>
      <w:pPr>
        <w:spacing w:after="0" w:line="181" w:lineRule="exact"/>
        <w:rPr>
          <w:sz w:val="20"/>
          <w:szCs w:val="20"/>
          <w:color w:val="auto"/>
        </w:rPr>
      </w:pPr>
    </w:p>
    <w:p>
      <w:pPr>
        <w:jc w:val="both"/>
        <w:ind w:left="380" w:right="160" w:firstLine="426"/>
        <w:spacing w:after="0" w:line="286" w:lineRule="auto"/>
        <w:rPr>
          <w:sz w:val="20"/>
          <w:szCs w:val="20"/>
          <w:color w:val="auto"/>
        </w:rPr>
      </w:pPr>
      <w:r>
        <w:rPr>
          <w:rFonts w:ascii="Arial" w:cs="Arial" w:eastAsia="Arial" w:hAnsi="Arial"/>
          <w:sz w:val="17"/>
          <w:szCs w:val="17"/>
          <w:color w:val="auto"/>
        </w:rPr>
        <w:t>Our principal executive offices are located at An der Goldgrube 12, D-55131 Mainz, Germany. Our telephone number is +49 6131-9084-0. Our website address is http://www.biontech.de. The information contained on, or that can be accessed through, our website is not incorporated by reference into this prospectus. We have included our website address as an inactive textual reference only.</w:t>
      </w:r>
    </w:p>
    <w:p>
      <w:pPr>
        <w:spacing w:after="0" w:line="270" w:lineRule="exact"/>
        <w:rPr>
          <w:sz w:val="20"/>
          <w:szCs w:val="20"/>
          <w:color w:val="auto"/>
        </w:rPr>
      </w:pPr>
    </w:p>
    <w:p>
      <w:pPr>
        <w:ind w:left="380" w:right="4280"/>
        <w:spacing w:after="0" w:line="378" w:lineRule="auto"/>
        <w:rPr>
          <w:sz w:val="20"/>
          <w:szCs w:val="20"/>
          <w:color w:val="auto"/>
        </w:rPr>
      </w:pPr>
      <w:r>
        <w:rPr>
          <w:rFonts w:ascii="Arial" w:cs="Arial" w:eastAsia="Arial" w:hAnsi="Arial"/>
          <w:sz w:val="18"/>
          <w:szCs w:val="18"/>
          <w:b w:val="1"/>
          <w:bCs w:val="1"/>
          <w:color w:val="auto"/>
        </w:rPr>
        <w:t xml:space="preserve">Implications of Being an Emerging Growth Company and a Foreign Private Issuer </w:t>
      </w:r>
      <w:r>
        <w:rPr>
          <w:rFonts w:ascii="Arial" w:cs="Arial" w:eastAsia="Arial" w:hAnsi="Arial"/>
          <w:sz w:val="18"/>
          <w:szCs w:val="18"/>
          <w:b w:val="1"/>
          <w:bCs w:val="1"/>
          <w:i w:val="1"/>
          <w:iCs w:val="1"/>
          <w:color w:val="auto"/>
        </w:rPr>
        <w:t>Emerging Growth Company</w:t>
      </w:r>
    </w:p>
    <w:p>
      <w:pPr>
        <w:jc w:val="both"/>
        <w:ind w:left="380" w:right="360" w:firstLine="426"/>
        <w:spacing w:after="0" w:line="312" w:lineRule="auto"/>
        <w:rPr>
          <w:sz w:val="20"/>
          <w:szCs w:val="20"/>
          <w:color w:val="auto"/>
        </w:rPr>
      </w:pPr>
      <w:r>
        <w:rPr>
          <w:rFonts w:ascii="Arial" w:cs="Arial" w:eastAsia="Arial" w:hAnsi="Arial"/>
          <w:sz w:val="16"/>
          <w:szCs w:val="16"/>
          <w:color w:val="auto"/>
        </w:rPr>
        <w:t>As a company with less than $1.07 billion in revenue during our last fiscal year, we are an “emerging growth company” as defined in the Jumpstart Our Business Startups Act of 2012, or the JOBS Act. As such, we may take advantage of certain exemptions from various reporting requirements that are applicable to publicly traded entities that are not emerging growth companies. These exemptions include:</w:t>
      </w:r>
    </w:p>
    <w:p>
      <w:pPr>
        <w:spacing w:after="0" w:line="52" w:lineRule="exact"/>
        <w:rPr>
          <w:sz w:val="20"/>
          <w:szCs w:val="20"/>
          <w:color w:val="auto"/>
        </w:rPr>
      </w:pPr>
    </w:p>
    <w:p>
      <w:pPr>
        <w:ind w:left="1320" w:right="480" w:hanging="407"/>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as amended;</w:t>
      </w:r>
    </w:p>
    <w:p>
      <w:pPr>
        <w:spacing w:after="0" w:line="75" w:lineRule="exact"/>
        <w:rPr>
          <w:rFonts w:ascii="Arial" w:cs="Arial" w:eastAsia="Arial" w:hAnsi="Arial"/>
          <w:sz w:val="18"/>
          <w:szCs w:val="18"/>
          <w:color w:val="auto"/>
        </w:rPr>
      </w:pPr>
    </w:p>
    <w:p>
      <w:pPr>
        <w:ind w:left="1320" w:right="60" w:hanging="407"/>
        <w:spacing w:after="0" w:line="264"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 and</w:t>
      </w:r>
    </w:p>
    <w:p>
      <w:pPr>
        <w:spacing w:after="0" w:line="86" w:lineRule="exact"/>
        <w:rPr>
          <w:rFonts w:ascii="Arial" w:cs="Arial" w:eastAsia="Arial" w:hAnsi="Arial"/>
          <w:sz w:val="18"/>
          <w:szCs w:val="18"/>
          <w:color w:val="auto"/>
        </w:rPr>
      </w:pPr>
    </w:p>
    <w:p>
      <w:pPr>
        <w:ind w:left="1320" w:right="200" w:hanging="407"/>
        <w:spacing w:after="0" w:line="308"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exemption from compliance with the requirement that the Public Company Accounting Oversight Board has adopted regarding a supplement to the auditor’s report providing additional information about the audit and the financial statements.</w:t>
      </w:r>
    </w:p>
    <w:p>
      <w:pPr>
        <w:spacing w:after="0" w:line="147"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As a result, the information contained in this prospectus may be different from the information you receive from other public companies in which you hold shares.</w:t>
      </w:r>
    </w:p>
    <w:p>
      <w:pPr>
        <w:spacing w:after="0" w:line="170"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Section 107 of the JOBS Act also provides that an emerging growth company can take advantage of an extended transition period for complying with new or revised accounting standards applicable to public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35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86" w:lineRule="auto"/>
        <w:rPr>
          <w:sz w:val="20"/>
          <w:szCs w:val="20"/>
          <w:color w:val="auto"/>
        </w:rPr>
      </w:pPr>
      <w:r>
        <w:rPr>
          <w:rFonts w:ascii="Arial" w:cs="Arial" w:eastAsia="Arial" w:hAnsi="Arial"/>
          <w:sz w:val="17"/>
          <w:szCs w:val="17"/>
          <w:color w:val="auto"/>
        </w:rPr>
        <w:t>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IASB.</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We may take advantage of these provisions for up to five years or until such earlier time that we are no longer an emerging growth company. We would cease to be an emerging growth company upon the earliest to occur of: (i) the last day of the first fiscal year in which our annual gross revenues exceed $1.07 billion, (ii) the date on which we have issued more than $1 billion in non-convertible debt securities during the previous three years and (iii) the first day of the year following the first year in which, as of the last business day of our most recently completed second fiscal quarter, the market value of our common equity held by non-affiliates exceeds $700 million.</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17"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Upon the completion of this offering,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320" w:hanging="40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320" w:right="280" w:hanging="407"/>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320" w:right="140" w:hanging="407"/>
        <w:spacing w:after="0" w:line="264"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the SEC, of quarterly reports on Form 10-Q containing unaudited financial statements and other specified information, and current reports on Form 8-K upon the occurrence of specified significant events.</w:t>
      </w:r>
    </w:p>
    <w:p>
      <w:pPr>
        <w:spacing w:after="0" w:line="181"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24" w:lineRule="exact"/>
        <w:rPr>
          <w:sz w:val="20"/>
          <w:szCs w:val="20"/>
          <w:color w:val="auto"/>
        </w:rPr>
      </w:pPr>
    </w:p>
    <w:p>
      <w:pPr>
        <w:ind w:left="380" w:right="420" w:firstLine="426"/>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jc w:val="both"/>
        <w:ind w:left="380" w:right="60" w:firstLine="426"/>
        <w:spacing w:after="0" w:line="312" w:lineRule="auto"/>
        <w:rPr>
          <w:sz w:val="20"/>
          <w:szCs w:val="20"/>
          <w:color w:val="auto"/>
        </w:rPr>
      </w:pPr>
      <w:r>
        <w:rPr>
          <w:rFonts w:ascii="Arial" w:cs="Arial" w:eastAsia="Arial" w:hAnsi="Arial"/>
          <w:sz w:val="16"/>
          <w:szCs w:val="16"/>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580"/>
        <w:spacing w:after="0"/>
        <w:rPr>
          <w:sz w:val="20"/>
          <w:szCs w:val="20"/>
          <w:color w:val="auto"/>
        </w:rPr>
      </w:pPr>
      <w:r>
        <w:rPr>
          <w:rFonts w:ascii="Arial" w:cs="Arial" w:eastAsia="Arial" w:hAnsi="Arial"/>
          <w:sz w:val="16"/>
          <w:szCs w:val="16"/>
          <w:color w:val="auto"/>
        </w:rPr>
        <w:t>10,000,000 ADSs, each representing one ordinary share</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89"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color w:val="auto"/>
        </w:rPr>
        <w:t>ADSs to be outstanding immediately following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10,000,000 ADSs</w:t>
      </w:r>
    </w:p>
    <w:p>
      <w:pPr>
        <w:spacing w:after="0" w:line="493" w:lineRule="exact"/>
        <w:rPr>
          <w:sz w:val="20"/>
          <w:szCs w:val="20"/>
          <w:color w:val="auto"/>
        </w:rPr>
      </w:pPr>
    </w:p>
    <w:p>
      <w:pPr>
        <w:sectPr>
          <w:pgSz w:w="11900" w:h="16838" w:orient="portrait"/>
          <w:cols w:equalWidth="0" w:num="2">
            <w:col w:w="4100" w:space="320"/>
            <w:col w:w="6600"/>
          </w:cols>
          <w:pgMar w:left="240" w:top="459" w:right="639" w:bottom="1440" w:gutter="0" w:footer="0" w:header="0"/>
          <w:type w:val="continuous"/>
        </w:sectPr>
      </w:pPr>
    </w:p>
    <w:p>
      <w:pPr>
        <w:spacing w:after="0" w:line="11" w:lineRule="exact"/>
        <w:rPr>
          <w:sz w:val="20"/>
          <w:szCs w:val="20"/>
          <w:color w:val="auto"/>
        </w:rPr>
      </w:pPr>
    </w:p>
    <w:p>
      <w:pPr>
        <w:ind w:left="460" w:right="4540" w:hanging="78"/>
        <w:spacing w:after="0" w:line="277" w:lineRule="auto"/>
        <w:rPr>
          <w:sz w:val="20"/>
          <w:szCs w:val="20"/>
          <w:color w:val="auto"/>
        </w:rPr>
      </w:pPr>
      <w:r>
        <w:rPr>
          <w:rFonts w:ascii="Arial" w:cs="Arial" w:eastAsia="Arial" w:hAnsi="Arial"/>
          <w:sz w:val="18"/>
          <w:szCs w:val="18"/>
          <w:color w:val="auto"/>
        </w:rPr>
        <w:t>Ordinary shares to be outstanding immediately after the 226,262,336 ordinary shares offering</w:t>
      </w:r>
    </w:p>
    <w:p>
      <w:pPr>
        <w:sectPr>
          <w:pgSz w:w="11900" w:h="16838" w:orient="portrait"/>
          <w:cols w:equalWidth="0" w:num="1">
            <w:col w:w="11020"/>
          </w:cols>
          <w:pgMar w:left="240" w:top="459" w:right="639" w:bottom="1440" w:gutter="0" w:footer="0" w:header="0"/>
          <w:type w:val="continuous"/>
        </w:sect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have granted to the underwriters an option, exercisable for a period of 30 days after the date of this prospectus, to purchase an aggregate of up to an additional 1,500,000 ADSs.</w:t>
      </w:r>
    </w:p>
    <w:p>
      <w:pPr>
        <w:spacing w:after="0" w:line="151"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American Depositary Shares</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The underwriters will deliver our ordinary shares in the form of American Depositary Shares, or ADSs. Each ADS, which may be evidenced by an American Depositary Receipt, or ADR, represents one of our ordinary shares, no par value per share.</w:t>
      </w:r>
    </w:p>
    <w:p>
      <w:pPr>
        <w:spacing w:after="0" w:line="193"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4420"/>
        <w:spacing w:after="0" w:line="271" w:lineRule="auto"/>
        <w:rPr>
          <w:sz w:val="20"/>
          <w:szCs w:val="20"/>
          <w:color w:val="auto"/>
        </w:rPr>
      </w:pPr>
      <w:r>
        <w:rPr>
          <w:rFonts w:ascii="Arial" w:cs="Arial" w:eastAsia="Arial" w:hAnsi="Arial"/>
          <w:sz w:val="17"/>
          <w:szCs w:val="17"/>
          <w:color w:val="auto"/>
        </w:rPr>
        <w:t>As an ADS holder, you will not be treated as one of our shareholders and you will not have shareholder rights. The depositary, The Bank of New York Mellon, will be the holder of the ordinary shares underlying the ADSs. You will have the rights of an ADS holder or beneficial owner (as applicable) as provided in the deposit agreement among us, the depositary and holders and beneficial owners of ADSs from time to time. To better understand the terms of the ADSs, see “Description of American Depositary Shares.” We also encourage you to read the deposit agreement, the form of which is filed as an exhibit to the registration statement of which this prospectus forms a part.</w:t>
      </w:r>
    </w:p>
    <w:p>
      <w:pPr>
        <w:sectPr>
          <w:pgSz w:w="11900" w:h="16838" w:orient="portrait"/>
          <w:cols w:equalWidth="0" w:num="1">
            <w:col w:w="11020"/>
          </w:cols>
          <w:pgMar w:left="240" w:top="459" w:right="639" w:bottom="1440" w:gutter="0" w:footer="0" w:header="0"/>
          <w:type w:val="continuous"/>
        </w:sect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7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to us from this offering will be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$141.8 million (€128.0 million) (or approximately $163.7 million (€147.8 million) if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underwriters exercise in full their option to purchase an additional 1,500,000 ADSs),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an assumed initial public offering price of $15.50 per ADS, which is the midpoint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range set forth on the cover page of this prospectus, and after deducting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discounts and commissions and estimated offering expenses payable by us. We intend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the net proceeds from this offering as follows:</w:t>
      </w:r>
    </w:p>
    <w:p>
      <w:pPr>
        <w:spacing w:after="0" w:line="116"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4620" w:hanging="156"/>
        <w:spacing w:after="0" w:line="255" w:lineRule="auto"/>
        <w:rPr>
          <w:sz w:val="20"/>
          <w:szCs w:val="20"/>
          <w:color w:val="auto"/>
        </w:rPr>
      </w:pPr>
      <w:r>
        <w:rPr>
          <w:rFonts w:ascii="Arial" w:cs="Arial" w:eastAsia="Arial" w:hAnsi="Arial"/>
          <w:sz w:val="18"/>
          <w:szCs w:val="18"/>
          <w:color w:val="auto"/>
        </w:rPr>
        <w:t>• approximately $100 million to complete our ongoing and currently planned clinical trials for our FixVac product candidates BNT111, BNT113 and BNT114, as well as to fund our portion of the research and development expenses for each of the following: RO7198457 (BNT122), which is being developed in collaboration with Genentech, SAR441000 (BNT131), which is being developed in collaboration with Sanofi, and GEN1046 (BNT311) and GEN1042 (BNT312), which are being developed in collaboration with Genmab;</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72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w w:val="94"/>
              </w:rPr>
              <w:t>approximately $30 million to advance additional product candidates through Phase 1</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2"/>
              </w:rPr>
              <w:t>clinical trials, including product candidates from CAR T, RiboMabs, RiboCytokines and</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0"/>
              </w:rPr>
              <w:t>TCR platforms in oncology, and our infectious disease immunotherapy and rare disease</w:t>
            </w:r>
          </w:p>
        </w:tc>
      </w:tr>
      <w:tr>
        <w:trPr>
          <w:trHeight w:val="230"/>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protein replacement therapy platforms outside oncology;</w:t>
            </w:r>
          </w:p>
        </w:tc>
      </w:tr>
      <w:tr>
        <w:trPr>
          <w:trHeight w:val="323"/>
        </w:trPr>
        <w:tc>
          <w:tcPr>
            <w:tcW w:w="3740" w:type="dxa"/>
            <w:vAlign w:val="bottom"/>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w w:val="92"/>
              </w:rPr>
              <w:t>approximately $4 million to advance additional preclinical product candidates, develop</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1"/>
              </w:rPr>
              <w:t>additional product candidates leveraging our current therapeutic platforms and fund the</w:t>
            </w:r>
          </w:p>
        </w:tc>
      </w:tr>
      <w:tr>
        <w:trPr>
          <w:trHeight w:val="230"/>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further development of our core technologies; and</w:t>
            </w:r>
          </w:p>
        </w:tc>
      </w:tr>
      <w:tr>
        <w:trPr>
          <w:trHeight w:val="323"/>
        </w:trPr>
        <w:tc>
          <w:tcPr>
            <w:tcW w:w="3740" w:type="dxa"/>
            <w:vAlign w:val="bottom"/>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rPr>
              <w:t>approximately $3 million to fund the further expansion of our manufacturing and</w:t>
            </w:r>
          </w:p>
        </w:tc>
      </w:tr>
      <w:tr>
        <w:trPr>
          <w:trHeight w:val="230"/>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laboratory capacity and the continued development of our infrastructure.</w:t>
            </w:r>
          </w:p>
        </w:tc>
      </w:tr>
      <w:tr>
        <w:trPr>
          <w:trHeight w:val="445"/>
        </w:trPr>
        <w:tc>
          <w:tcPr>
            <w:tcW w:w="3740" w:type="dxa"/>
            <w:vAlign w:val="bottom"/>
          </w:tcPr>
          <w:p>
            <w:pPr>
              <w:spacing w:after="0"/>
              <w:rPr>
                <w:sz w:val="24"/>
                <w:szCs w:val="24"/>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6"/>
              </w:rPr>
              <w:t>We expect to use the remainder of any net proceeds from this offering, as well as our</w:t>
            </w:r>
          </w:p>
        </w:tc>
      </w:tr>
      <w:tr>
        <w:trPr>
          <w:trHeight w:val="216"/>
        </w:trPr>
        <w:tc>
          <w:tcPr>
            <w:tcW w:w="3740" w:type="dxa"/>
            <w:vAlign w:val="bottom"/>
          </w:tcPr>
          <w:p>
            <w:pPr>
              <w:spacing w:after="0"/>
              <w:rPr>
                <w:sz w:val="18"/>
                <w:szCs w:val="18"/>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3"/>
              </w:rPr>
              <w:t>existing cash and cash equivalents, for general corporate purposes. We may also use a</w:t>
            </w:r>
          </w:p>
        </w:tc>
      </w:tr>
      <w:tr>
        <w:trPr>
          <w:trHeight w:val="216"/>
        </w:trPr>
        <w:tc>
          <w:tcPr>
            <w:tcW w:w="3740" w:type="dxa"/>
            <w:vAlign w:val="bottom"/>
          </w:tcPr>
          <w:p>
            <w:pPr>
              <w:spacing w:after="0"/>
              <w:rPr>
                <w:sz w:val="18"/>
                <w:szCs w:val="18"/>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rPr>
              <w:t>portion of the net proceeds to in-license or acquire or invest in complementary</w:t>
            </w:r>
          </w:p>
        </w:tc>
      </w:tr>
      <w:tr>
        <w:trPr>
          <w:trHeight w:val="216"/>
        </w:trPr>
        <w:tc>
          <w:tcPr>
            <w:tcW w:w="3740" w:type="dxa"/>
            <w:vAlign w:val="bottom"/>
          </w:tcPr>
          <w:p>
            <w:pPr>
              <w:spacing w:after="0"/>
              <w:rPr>
                <w:sz w:val="18"/>
                <w:szCs w:val="18"/>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2"/>
              </w:rPr>
              <w:t>technologies, products, businesses or assets, either alone or together with a collaborator.</w:t>
            </w:r>
          </w:p>
        </w:tc>
      </w:tr>
      <w:tr>
        <w:trPr>
          <w:trHeight w:val="230"/>
        </w:trPr>
        <w:tc>
          <w:tcPr>
            <w:tcW w:w="3740" w:type="dxa"/>
            <w:vAlign w:val="bottom"/>
          </w:tcPr>
          <w:p>
            <w:pPr>
              <w:spacing w:after="0"/>
              <w:rPr>
                <w:sz w:val="20"/>
                <w:szCs w:val="20"/>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rPr>
              <w:t>However, we have no current plans, commitments or obligations to do so.</w:t>
            </w:r>
          </w:p>
        </w:tc>
      </w:tr>
      <w:tr>
        <w:trPr>
          <w:trHeight w:val="445"/>
        </w:trPr>
        <w:tc>
          <w:tcPr>
            <w:tcW w:w="3740" w:type="dxa"/>
            <w:vAlign w:val="bottom"/>
          </w:tcPr>
          <w:p>
            <w:pPr>
              <w:spacing w:after="0"/>
              <w:rPr>
                <w:sz w:val="24"/>
                <w:szCs w:val="24"/>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3"/>
              </w:rPr>
              <w:t>See “Use of Proceeds” for a more complete description of the intended use of proceeds</w:t>
            </w:r>
          </w:p>
        </w:tc>
      </w:tr>
      <w:tr>
        <w:trPr>
          <w:trHeight w:val="230"/>
        </w:trPr>
        <w:tc>
          <w:tcPr>
            <w:tcW w:w="3740" w:type="dxa"/>
            <w:vAlign w:val="bottom"/>
          </w:tcPr>
          <w:p>
            <w:pPr>
              <w:spacing w:after="0"/>
              <w:rPr>
                <w:sz w:val="20"/>
                <w:szCs w:val="20"/>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rPr>
              <w:t>from this offering.</w:t>
            </w:r>
          </w:p>
        </w:tc>
      </w:tr>
      <w:tr>
        <w:trPr>
          <w:trHeight w:val="445"/>
        </w:trPr>
        <w:tc>
          <w:tcPr>
            <w:tcW w:w="3740" w:type="dxa"/>
            <w:vAlign w:val="bottom"/>
          </w:tcPr>
          <w:p>
            <w:pPr>
              <w:spacing w:after="0"/>
              <w:rPr>
                <w:sz w:val="20"/>
                <w:szCs w:val="20"/>
                <w:color w:val="auto"/>
              </w:rPr>
            </w:pPr>
            <w:r>
              <w:rPr>
                <w:rFonts w:ascii="Arial" w:cs="Arial" w:eastAsia="Arial" w:hAnsi="Arial"/>
                <w:sz w:val="18"/>
                <w:szCs w:val="18"/>
                <w:color w:val="auto"/>
              </w:rPr>
              <w:t>Risk factors</w:t>
            </w: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7"/>
              </w:rPr>
              <w:t>See “Risk Factors” beginning on page 15 and the other information contained in this</w:t>
            </w:r>
          </w:p>
        </w:tc>
      </w:tr>
      <w:tr>
        <w:trPr>
          <w:trHeight w:val="216"/>
        </w:trPr>
        <w:tc>
          <w:tcPr>
            <w:tcW w:w="3740" w:type="dxa"/>
            <w:vAlign w:val="bottom"/>
          </w:tcPr>
          <w:p>
            <w:pPr>
              <w:spacing w:after="0"/>
              <w:rPr>
                <w:sz w:val="18"/>
                <w:szCs w:val="18"/>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1"/>
              </w:rPr>
              <w:t>prospectus for a discussion of factors you should consider before deciding to invest in the</w:t>
            </w:r>
          </w:p>
        </w:tc>
      </w:tr>
      <w:tr>
        <w:trPr>
          <w:trHeight w:val="230"/>
        </w:trPr>
        <w:tc>
          <w:tcPr>
            <w:tcW w:w="3740" w:type="dxa"/>
            <w:vAlign w:val="bottom"/>
          </w:tcPr>
          <w:p>
            <w:pPr>
              <w:spacing w:after="0"/>
              <w:rPr>
                <w:sz w:val="20"/>
                <w:szCs w:val="20"/>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rPr>
              <w:t>ADSs.</w:t>
            </w:r>
          </w:p>
        </w:tc>
      </w:tr>
      <w:tr>
        <w:trPr>
          <w:trHeight w:val="445"/>
        </w:trPr>
        <w:tc>
          <w:tcPr>
            <w:tcW w:w="3740" w:type="dxa"/>
            <w:vAlign w:val="bottom"/>
          </w:tcPr>
          <w:p>
            <w:pPr>
              <w:spacing w:after="0"/>
              <w:rPr>
                <w:sz w:val="20"/>
                <w:szCs w:val="20"/>
                <w:color w:val="auto"/>
              </w:rPr>
            </w:pPr>
            <w:r>
              <w:rPr>
                <w:rFonts w:ascii="Arial" w:cs="Arial" w:eastAsia="Arial" w:hAnsi="Arial"/>
                <w:sz w:val="18"/>
                <w:szCs w:val="18"/>
                <w:color w:val="auto"/>
                <w:w w:val="98"/>
              </w:rPr>
              <w:t>Proposed Nasdaq Global Select Market symbol</w:t>
            </w: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w w:val="93"/>
              </w:rPr>
              <w:t>We have applied to list the ADSs on the Nasdaq Global Select Market under the symbol</w:t>
            </w:r>
          </w:p>
        </w:tc>
      </w:tr>
      <w:tr>
        <w:trPr>
          <w:trHeight w:val="230"/>
        </w:trPr>
        <w:tc>
          <w:tcPr>
            <w:tcW w:w="3740" w:type="dxa"/>
            <w:vAlign w:val="bottom"/>
          </w:tcPr>
          <w:p>
            <w:pPr>
              <w:spacing w:after="0"/>
              <w:rPr>
                <w:sz w:val="20"/>
                <w:szCs w:val="20"/>
                <w:color w:val="auto"/>
              </w:rPr>
            </w:pPr>
          </w:p>
        </w:tc>
        <w:tc>
          <w:tcPr>
            <w:tcW w:w="6860" w:type="dxa"/>
            <w:vAlign w:val="bottom"/>
            <w:gridSpan w:val="2"/>
          </w:tcPr>
          <w:p>
            <w:pPr>
              <w:ind w:left="300"/>
              <w:spacing w:after="0"/>
              <w:rPr>
                <w:sz w:val="20"/>
                <w:szCs w:val="20"/>
                <w:color w:val="auto"/>
              </w:rPr>
            </w:pPr>
            <w:r>
              <w:rPr>
                <w:rFonts w:ascii="Arial" w:cs="Arial" w:eastAsia="Arial" w:hAnsi="Arial"/>
                <w:sz w:val="18"/>
                <w:szCs w:val="18"/>
                <w:color w:val="auto"/>
              </w:rPr>
              <w:t>“BNTX.”</w:t>
            </w:r>
          </w:p>
        </w:tc>
      </w:tr>
    </w:tbl>
    <w:p>
      <w:pPr>
        <w:spacing w:after="0" w:line="202" w:lineRule="exact"/>
        <w:rPr>
          <w:sz w:val="20"/>
          <w:szCs w:val="20"/>
          <w:color w:val="auto"/>
        </w:rPr>
      </w:pPr>
    </w:p>
    <w:p>
      <w:pPr>
        <w:ind w:left="380" w:right="160" w:firstLine="426"/>
        <w:spacing w:after="0" w:line="308" w:lineRule="auto"/>
        <w:rPr>
          <w:sz w:val="20"/>
          <w:szCs w:val="20"/>
          <w:color w:val="auto"/>
        </w:rPr>
      </w:pPr>
      <w:r>
        <w:rPr>
          <w:rFonts w:ascii="Arial" w:cs="Arial" w:eastAsia="Arial" w:hAnsi="Arial"/>
          <w:sz w:val="17"/>
          <w:szCs w:val="17"/>
          <w:color w:val="auto"/>
        </w:rPr>
        <w:t>Unless otherwise indicated, the number of our ordinary shares to be outstanding after this offering is based on 212,748,588 ordinary shares outstanding as of June 30, 2019 and additionally includes the following amounts which were issued after June 30, 2019:</w:t>
      </w:r>
    </w:p>
    <w:p>
      <w:pPr>
        <w:spacing w:after="0" w:line="52" w:lineRule="exact"/>
        <w:rPr>
          <w:sz w:val="20"/>
          <w:szCs w:val="20"/>
          <w:color w:val="auto"/>
        </w:rPr>
      </w:pPr>
    </w:p>
    <w:p>
      <w:pPr>
        <w:ind w:left="1320" w:hanging="407"/>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475,074 ordinary shares issued in connection with our Series B private placement; and</w:t>
      </w:r>
    </w:p>
    <w:p>
      <w:pPr>
        <w:spacing w:after="0" w:line="130" w:lineRule="exact"/>
        <w:rPr>
          <w:rFonts w:ascii="Arial" w:cs="Arial" w:eastAsia="Arial" w:hAnsi="Arial"/>
          <w:sz w:val="18"/>
          <w:szCs w:val="18"/>
          <w:color w:val="auto"/>
        </w:rPr>
      </w:pPr>
    </w:p>
    <w:p>
      <w:pPr>
        <w:ind w:left="1320" w:right="360" w:hanging="407"/>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3,038,674 ordinary shares issued prior to the completion of this offering pursuant to an investment by the Bill and Melinda Gates Foundation.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and excludes:</w:t>
      </w:r>
    </w:p>
    <w:p>
      <w:pPr>
        <w:spacing w:after="0" w:line="131" w:lineRule="exact"/>
        <w:rPr>
          <w:sz w:val="20"/>
          <w:szCs w:val="20"/>
          <w:color w:val="auto"/>
        </w:rPr>
      </w:pPr>
    </w:p>
    <w:p>
      <w:pPr>
        <w:ind w:left="1320" w:hanging="407"/>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11,882,124 ordinary shares issuable upon the exercise of options outstanding as of June 30, 2019;</w:t>
      </w:r>
    </w:p>
    <w:p>
      <w:pPr>
        <w:spacing w:after="0" w:line="130" w:lineRule="exact"/>
        <w:rPr>
          <w:rFonts w:ascii="Arial" w:cs="Arial" w:eastAsia="Arial" w:hAnsi="Arial"/>
          <w:sz w:val="18"/>
          <w:szCs w:val="18"/>
          <w:color w:val="auto"/>
        </w:rPr>
      </w:pPr>
    </w:p>
    <w:p>
      <w:pPr>
        <w:ind w:left="1320" w:right="240" w:hanging="407"/>
        <w:spacing w:after="0" w:line="277"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9,992,682 ordinary shares available for future issuance under our Employee Stock Ownership Plan or any future share option plan; and</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5,524,506 ordinary shares held in treasury.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556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15563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contained in this prospectus:</w:t>
      </w:r>
    </w:p>
    <w:p>
      <w:pPr>
        <w:spacing w:after="0" w:line="131" w:lineRule="exact"/>
        <w:rPr>
          <w:sz w:val="20"/>
          <w:szCs w:val="20"/>
          <w:color w:val="auto"/>
        </w:rPr>
      </w:pPr>
    </w:p>
    <w:p>
      <w:pPr>
        <w:ind w:left="1320" w:right="400" w:hanging="407"/>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an 18-for-1 stock split of our ordinary shares, which became effective on September 18, 2019, upon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no exercise of the outstanding options described above;</w:t>
      </w:r>
    </w:p>
    <w:p>
      <w:pPr>
        <w:spacing w:after="0" w:line="130"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an initial public offering price of $15.50 per ADS, which is the midpoint of the price range set forth on the cover page of this prospectus; and</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assumes no exercise of the option granted to the underwriters to purchase up to 1,500,000 additional ADSs in this offering.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27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The following tables set forth a summary of our historical consolidated financial data as of and for the years ended December 31, 2018 and 2017, and as of June 30, 2019 and for the six months ended June 30, 2019 and 2018. We derived the summary of our results for the years ended December 31, 2018 and 2017 from our audited consolidated financial statements included elsewhere in this prospectus. The summary consolidated financial data as of June 30, 2019 and for the six months ended June 30, 2019 and 2018 have been derived from our unaudited interim condensed consolidated financial statements included elsewhere in this prospectus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167" w:lineRule="exact"/>
        <w:rPr>
          <w:sz w:val="20"/>
          <w:szCs w:val="20"/>
          <w:color w:val="auto"/>
        </w:rPr>
      </w:pPr>
    </w:p>
    <w:p>
      <w:pPr>
        <w:ind w:left="380" w:right="20" w:firstLine="426"/>
        <w:spacing w:after="0" w:line="297" w:lineRule="auto"/>
        <w:rPr>
          <w:sz w:val="20"/>
          <w:szCs w:val="20"/>
          <w:color w:val="auto"/>
        </w:rPr>
      </w:pPr>
      <w:r>
        <w:rPr>
          <w:rFonts w:ascii="Arial" w:cs="Arial" w:eastAsia="Arial" w:hAnsi="Arial"/>
          <w:sz w:val="16"/>
          <w:szCs w:val="16"/>
          <w:color w:val="auto"/>
        </w:rPr>
        <w:t>The summary consolidated financial data below should be read together with our consolidated financial statements and related notes, and our unaudited interim condensed consolidated financial statements included elsewhere in this prospectus, as well as the sections of this prospectus titled “Selected Consolidated Financial Data” and “Management’s Discussion and Analysis of Financial Condition and Results of Operations.” Our historical results for any prior period are not necessarily indicative of results to be expected in any future period, and the results for the six months ended June 30, 2019 are not necessarily indicative of the results to be expected for the full year ended December 31, 2019.</w:t>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10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51,939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43,398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w w:val="98"/>
              </w:rPr>
              <w:t>127,575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61,598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113,885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(110,643)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(58,454)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0"/>
              </w:rPr>
              <w:t>(143,040)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(23,899)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(26,334)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(91,702)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(29,831)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(53,854)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(61,277)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8,046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lease liability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Share of loss of equity method investees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tax</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(23,300)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(47,662)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(85,905)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(23,310)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(48,262)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(85,950)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Loss attributable to equity holders of the parent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(90,730</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(23,235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(85,653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and diluted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right="40" w:firstLine="426"/>
        <w:spacing w:after="0" w:line="312" w:lineRule="auto"/>
        <w:rPr>
          <w:sz w:val="20"/>
          <w:szCs w:val="20"/>
          <w:color w:val="auto"/>
        </w:rPr>
      </w:pPr>
      <w:r>
        <w:rPr>
          <w:rFonts w:ascii="Arial" w:cs="Arial" w:eastAsia="Arial" w:hAnsi="Arial"/>
          <w:sz w:val="16"/>
          <w:szCs w:val="16"/>
          <w:color w:val="auto"/>
        </w:rPr>
        <w:t>The following table presents our summary consolidated statement of financial position as of June 30, 2019 (i) on an actual basis, (ii) on a pro forma basis to give effect to (x) the receipt of proceeds of €190.2 million</w:t>
      </w:r>
      <w:r>
        <w:rPr>
          <w:rFonts w:ascii="Arial" w:cs="Arial" w:eastAsia="Arial" w:hAnsi="Arial"/>
          <w:sz w:val="13"/>
          <w:szCs w:val="13"/>
          <w:color w:val="auto"/>
        </w:rPr>
        <w:t>(1)</w:t>
      </w:r>
      <w:r>
        <w:rPr>
          <w:rFonts w:ascii="Arial" w:cs="Arial" w:eastAsia="Arial" w:hAnsi="Arial"/>
          <w:sz w:val="16"/>
          <w:szCs w:val="16"/>
          <w:color w:val="auto"/>
        </w:rPr>
        <w:t xml:space="preserve"> relating to 11,990,214 ordinary shares issued before June 30, 2019 in connection with our Series B private placement, (y) the issuance of 475,074 of our ordinary shares for proceeds of €7.7 million ($8.6 million)</w:t>
      </w:r>
      <w:r>
        <w:rPr>
          <w:rFonts w:ascii="Arial" w:cs="Arial" w:eastAsia="Arial" w:hAnsi="Arial"/>
          <w:sz w:val="13"/>
          <w:szCs w:val="13"/>
          <w:color w:val="auto"/>
        </w:rPr>
        <w:t>(2)</w:t>
      </w:r>
      <w:r>
        <w:rPr>
          <w:rFonts w:ascii="Arial" w:cs="Arial" w:eastAsia="Arial" w:hAnsi="Arial"/>
          <w:sz w:val="16"/>
          <w:szCs w:val="16"/>
          <w:color w:val="auto"/>
        </w:rPr>
        <w:t xml:space="preserve"> in</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95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4695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7" w:lineRule="auto"/>
        <w:rPr>
          <w:sz w:val="20"/>
          <w:szCs w:val="20"/>
          <w:color w:val="auto"/>
        </w:rPr>
      </w:pPr>
      <w:r>
        <w:rPr>
          <w:rFonts w:ascii="Arial" w:cs="Arial" w:eastAsia="Arial" w:hAnsi="Arial"/>
          <w:sz w:val="18"/>
          <w:szCs w:val="18"/>
          <w:color w:val="auto"/>
        </w:rPr>
        <w:t>connection with our Series B private placement and (z) our receipt of proceeds of €49.9 million ($55.0 million) from the sale of 3,038,674 of our ordinary shares pursuant to an investment by the Bill &amp; Melinda Gates Foundation and (iii) on a pro forma as adjusted basis to give further effect to the sale of 10,000,000 ADSs representing 10,000,000 ordinary shares by us in the offering at the assumed initial public offering price of $15.50 per ADS, which is the midpoint of the price range set forth on the cover page of this prospectus, and after deducting underwriting discounts and commissions and estimated offering expenses payable by us.</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As of June 30, 2019</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10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Actual</w:t>
            </w: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(1)(3)</w:t>
            </w:r>
          </w:p>
        </w:tc>
        <w:tc>
          <w:tcPr>
            <w:tcW w:w="1040" w:type="dxa"/>
            <w:vAlign w:val="bottom"/>
          </w:tcPr>
          <w:p>
            <w:pPr>
              <w:ind w:left="28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99"/>
              </w:rPr>
              <w:t>(unaudited)</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w w:val="93"/>
              </w:rPr>
              <w:t>€  284,890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532,687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  660,715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722,369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779,947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907,975</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337,879</w:t>
            </w:r>
          </w:p>
        </w:tc>
        <w:tc>
          <w:tcPr>
            <w:tcW w:w="380" w:type="dxa"/>
            <w:vAlign w:val="bottom"/>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337,879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337,879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212,749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216,262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226,262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Accumulated losses</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(336,501)</w:t>
            </w:r>
          </w:p>
        </w:tc>
        <w:tc>
          <w:tcPr>
            <w:tcW w:w="38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(336,501)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384,490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442,068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right="280" w:hanging="414"/>
        <w:spacing w:after="0" w:line="25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of €190.2 million was a receivable recorded as an asset as of June 30, 2019, and therefore is reflected in the actual column under total assets, share capital and total equity. Accordingly, as the cash consideration was received after June 30, 2019, it therefore is only reflected as an increase in cash and cash equivalents in the pro forma column.</w:t>
      </w:r>
    </w:p>
    <w:p>
      <w:pPr>
        <w:ind w:left="800" w:right="60" w:hanging="414"/>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proceeds were received in Euros. For the convenience of the reader, we have translated these amounts into U.S. dollars. The amount of proceeds from each tranche was calculated at the respective rate specified in the investment agreement.</w:t>
      </w:r>
    </w:p>
    <w:p>
      <w:pPr>
        <w:ind w:left="800" w:right="40" w:hanging="414"/>
        <w:spacing w:after="0" w:line="265"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 forma amounts do not reflect the issuance of 5,524,506 shares in our Series B private placement to a Hong Kong-based investor, all of which have been transferred to us due to the investor’s failure to pay for the shares, and are held in treasury. As a result, this investor does not hold any ordinary shares, and no arrangements exist for such investor to acquire any ordinary shares at this time.</w:t>
      </w:r>
    </w:p>
    <w:p>
      <w:pPr>
        <w:ind w:left="800" w:right="100" w:hanging="414"/>
        <w:spacing w:after="0" w:line="288"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$15.50 per ADS, which is the midpoint of the price range set forth on the cover page of this prospectus, would increase (decrease) each of cash and cash equivalents, total assets and total equity by €8.5 million, assuming the number of ADSs offered by us, as set forth on the cover page of this prospectus, remains the same, and after deducting underwriting discounts and commissions and estimated offering expenses payable by us. We may also increase or decrease the number of ADSs we are offering. An increase (decrease) of 1,000,000 in the number of ADSs offered by us would increase (decrease) each of cash and cash equivalents, total assets, and total equity by approximately €13.2 million, assuming no change in the assumed initial public offering price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240" w:top="459" w:right="6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b w:val="1"/>
          <w:bCs w:val="1"/>
          <w:i w:val="1"/>
          <w:iCs w:val="1"/>
          <w:color w:val="auto"/>
        </w:rPr>
        <w:t>We are a clinical-stage biopharmaceutical company with no pharmaceutical products approved for commercial sale. We have incurred significant losses since our inception and we anticipate that we will continue to incur significant losses for the foreseeable future, which makes it difficult to assess our future viability.</w:t>
      </w:r>
    </w:p>
    <w:p>
      <w:pPr>
        <w:spacing w:after="0" w:line="73"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have incurred net losses in each year since our inception in 2008, including net losses of €48.3 million and €86.0 million for the years ended December 31, 2018 and 2017, respectively, and €90.8 million for the six months ended June 30, 2019. As of June 30, 2019, we had accumulated losses of €336.5 million.</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and the development of our platforms. To date, we have financed our operations primarily through the sale of equity securities and proceeds from collaborations and, to a lesser extent, through revenue from manufacturing operations and grants from governmental and private organizations. The amount of our future net losses will depend, in part, on the rate of our future expenditures and our ability to obtain funding through equity or debt financings, sales of assets, collaborations or grants. We have not commenced or completed pivotal clinical trials for our programs and it will be several years, if ever, before we or our collaborators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in those markets. We may never achieve profitability.</w:t>
      </w:r>
    </w:p>
    <w:p>
      <w:pPr>
        <w:spacing w:after="0" w:line="19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 and our collaborators:</w:t>
      </w:r>
    </w:p>
    <w:p>
      <w:pPr>
        <w:spacing w:after="0" w:line="76"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180" w:right="880" w:hanging="436"/>
        <w:spacing w:after="0" w:line="308"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33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If our operating results fall below expectations, the price of the ADSs could decline.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financial condition and operating results have varied in the past and will continue to fluctuate from one financial period to the next due to a variety of factors, many of which are beyond our control. Factors relating to our business that may contribute to these fluctuations include the following, as well as other factors described elsewhere in this prospectus:</w:t>
      </w:r>
    </w:p>
    <w:p>
      <w:pPr>
        <w:spacing w:after="0" w:line="87"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advancement of existing or future product candidates into the clinic or in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manufacture and commercialize our programs;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30"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or approval processes conducted by us and our collaborators;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collaborators to develop and successfully commercialize products developed from our suite of therapeutic classes;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relationships, and any associated exclusivity terms, with collaborators;</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or other obligations to provide resources to fund our product candidates, and to provide resources to our collaborators or to the collaborations themselves;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 in a net loss position for the foreseeable future;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the international aspects of our business outside Germany, including the conduct of clinical trials in multiple locations and potential commercialization in such locations;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protect, maintain, defend and enforce our intellectual property rights;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prevent the theft or infringement, misappropriation or other violation of our intellectual property, trade secrets, know-how or technologies;</w:t>
      </w:r>
    </w:p>
    <w:p>
      <w:pPr>
        <w:spacing w:after="0" w:line="75"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obtaining the rights to critical intellectual property or developing competing technologies or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collaborators’ ability to obtain additional capital that may be necessary to develop and commercialize products under our collaboration agreements;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such as power outages, strikes, acts of terrorism or natural disasters;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to offset future taxable income.</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of our periods should not be relied upon as indications of our future operating performance.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net losses we incur may fluctuate significantly from one reporting period to the next, such that a period-to-period comparison of our results of operations may not be a good indication of our future performance.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overall valuation. The price of the ADSs may decline as a result of unexpected clinical trial results in one or more of our programs, including adverse safety events reported for any of our programs.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only generated limited revenue and may never be profitable.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Our ability to generate revenue and achieve profitability depends on our ability, alone or with collaborators, to successfully complete the development of, and obtain the regulatory approvals necessary to commercialize, our product candidates. Although we generate limited revenue from sales of products by our external services business unit, we do not anticipate generating revenues from pharmaceutical product sales in the near term. Our ability to generate future revenues from pharmaceutical product sales depends heavily on our success in:</w:t>
      </w:r>
    </w:p>
    <w:p>
      <w:pPr>
        <w:spacing w:after="0" w:line="77"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and obtaining U.S. and non-U.S. marketing approvals for product candidates for which we complete clinical trials;</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furthering the development of our own manufacturing capabilities and manufacturing relationships with third parties in order to provide adequate (in amount and quality) products and services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treatment option;</w:t>
      </w:r>
    </w:p>
    <w:p>
      <w:pPr>
        <w:spacing w:after="0" w:line="130" w:lineRule="exact"/>
        <w:rPr>
          <w:rFonts w:ascii="Arial" w:cs="Arial" w:eastAsia="Arial" w:hAnsi="Arial"/>
          <w:sz w:val="18"/>
          <w:szCs w:val="18"/>
          <w:color w:val="auto"/>
        </w:rPr>
      </w:pPr>
    </w:p>
    <w:p>
      <w:pPr>
        <w:ind w:left="1180" w:right="860" w:hanging="436"/>
        <w:spacing w:after="0" w:line="342"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and reimbursement, either through collaborations or, if launched independently, by establishing a sales force, marketing and distribution infrastructure;</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defending, protecting, enforcing and expanding our portfolio of intellectual property rights, including patents, trade secrets and know-how;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one or more of the product candidates that we develop is approved for commercial sale, we anticipate incurring significant costs associated with commercializing any approved product candidate. Our expenses could increase beyond our expectations if we are required by the U.S. Food and Drug Administration, or the FDA, the European Medicines Agency, or the EMA, or other regulatory agencies to perform clinical and other trials or make changes to our manufacturing or quality systems in addition to those that we currently anticipate. Even if we are able to generate revenues from the sale of any approved products, we may not become profitable and may need to obtain additional funding to continue operations.</w:t>
      </w:r>
    </w:p>
    <w:p>
      <w:pPr>
        <w:spacing w:after="0" w:line="26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The amount of and our ability to use net operating losses and research and development credits to offset future taxable income may be subject to certain limitations and uncertainty.</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Germany, we have unused tax loss carryforwards for corporate taxes, though we have not recognized deferred tax assets related to such loss carryforwards for IFRS reporting purposes. In general, net operating loss,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or NOL, carryforwards in Germany do not expire. They are, however, subject to review and possible adjustment by the German tax authorities. Furthermore, under current German tax laws, certain substantial changes in the Company’s ownership and business may further limit the amount of NOL carryforwards that can be used annually to offset future taxable income. In addition, we may in the future have U.S. federal and state NOL carryforwards due to our subsidiary in the United States.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not be able to utilize a material portion of our NOLs or credits in either Germany or the United States. In addition, the rules regarding the timing of revenue and expense recognition for tax purposes in connection with various transactions are complex and uncertain in many respects, and our recognition could be subject to challenge by taxing authorities. In the event any such challenge is sustained, our NOLs could be materially reduced or we could be determined to be a material cash taxpayer for one or more years. Furthermore, our ability to use our NOLs or credits is conditioned upon our attaining profitability and generating taxable income. As described above, we have incurred significant net losses since our inception and anticipate that we will continue to incur significant losses for the foreseeable future. We do not know whether or when we will generate the taxable income necessary to utilize our NOL or credit carryforwards.</w:t>
      </w:r>
    </w:p>
    <w:p>
      <w:pPr>
        <w:spacing w:after="0" w:line="286" w:lineRule="exact"/>
        <w:rPr>
          <w:sz w:val="20"/>
          <w:szCs w:val="20"/>
          <w:color w:val="auto"/>
        </w:rPr>
      </w:pPr>
    </w:p>
    <w:p>
      <w:pPr>
        <w:ind w:left="200" w:right="440"/>
        <w:spacing w:after="0" w:line="375" w:lineRule="auto"/>
        <w:rPr>
          <w:sz w:val="20"/>
          <w:szCs w:val="20"/>
          <w:color w:val="auto"/>
        </w:rPr>
      </w:pPr>
      <w:r>
        <w:rPr>
          <w:rFonts w:ascii="Arial" w:cs="Arial" w:eastAsia="Arial" w:hAnsi="Arial"/>
          <w:sz w:val="15"/>
          <w:szCs w:val="15"/>
          <w:b w:val="1"/>
          <w:bCs w:val="1"/>
          <w:i w:val="1"/>
          <w:iCs w:val="1"/>
          <w:color w:val="auto"/>
        </w:rPr>
        <w:t>Under German tax laws, we are obligated to withhold a percentage of royalty payments we make to third party licensors of intellectual property rights and remit those withholdings to German tax authorities, and late withholding tax payments may subject us to penalties and fees.</w:t>
      </w:r>
    </w:p>
    <w:p>
      <w:pPr>
        <w:spacing w:after="0" w:line="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German tax laws, we are obligated to withhold a percentage of royalty payments we make to third parties in consideration of the grant of rights under their intellectual property, and remit those withholdings to German tax authorities. As a result of an internal review, we have discovered that in the 11 year period before April 2019 we and certain of our subsidiaries did not withhold, report and remit certain withholding taxes in connection with the in-licensing of intellectual property as required to be withheld under German tax laws, and have not made the requisite recordings in our and their financial books and records in relation thereto. We have notified the tax authorities of the late payments. We may be subject to penalties and further fees as a result of late withholding tax payments.</w:t>
      </w:r>
    </w:p>
    <w:p>
      <w:pPr>
        <w:spacing w:after="0" w:line="19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It is possible to seek the refund of these withholding taxes from the German Federal Central Tax office after filing exemption and refund applications, and we intend to do so. However there is a possibility that the relevant claims against the licensors and/or the authority, may in some instances, not be enforceable as a result of a licensor no longer existing, the lapse of time or any other facts preventing the enforcement of such claims.</w:t>
      </w:r>
    </w:p>
    <w:p>
      <w:pPr>
        <w:spacing w:after="0" w:line="255"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3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As of June 30, 2019, we had €284.9 million in cash and cash equivalents. We estimate that the net proceeds from this offering will be approximately $141.8 million, based on the assumed initial public offering price of $15.50 per ADS, which is the midpoint of the price range set forth on the cover page of this prospectus, and after deducting underwriting discounts and commissions and estimated offering expenses payable by us. We expect that the net proceeds from this offering and our existing cash and cash equivalents will be sufficient to fund our operating expenses and capital expenditure requirements through at least the next 24 months. However, our operating plan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In any event, we will require additional capital to obtain regulatory approval for, and to commercialize, our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high uncertainty of the length of time and activities associated with discovery and</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development of our product candidates, we are unable to estimate the actual funds we will require for development, marketing and commercialization activities.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131"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or nonclinical studies and clinical trials for our product candidates;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75" w:lineRule="exact"/>
        <w:rPr>
          <w:rFonts w:ascii="Arial" w:cs="Arial" w:eastAsia="Arial" w:hAnsi="Arial"/>
          <w:sz w:val="18"/>
          <w:szCs w:val="18"/>
          <w:color w:val="auto"/>
        </w:rPr>
      </w:pPr>
    </w:p>
    <w:p>
      <w:pPr>
        <w:ind w:left="1180" w:hanging="436"/>
        <w:spacing w:after="0" w:line="312"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52" w:lineRule="exact"/>
        <w:rPr>
          <w:rFonts w:ascii="Arial" w:cs="Arial" w:eastAsia="Arial" w:hAnsi="Arial"/>
          <w:sz w:val="16"/>
          <w:szCs w:val="16"/>
          <w:color w:val="auto"/>
        </w:rPr>
      </w:pPr>
    </w:p>
    <w:p>
      <w:pPr>
        <w:ind w:left="1180" w:right="4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and</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7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To date, we have financed our operations primarily through the sale of equity securities and revenue from collaborations and we cannot be certain that additional funding will be available on favorable terms, or at all. Until we can generate sufficient product sales or royalty revenue to finance our operations, which we may never do, we expect to finance our future cash needs through a combination of public or private equity offerings, debt financings, collaborations, sales of assets,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For example, we had agreed to issue 5,524,506 shares for proceeds of €89.3 million to a Hong Kong-based investor in connection with our Series B private placement. This investor was not able to fund the purchase of the shares and the shares were transferred to us for no consideration.</w:t>
      </w:r>
    </w:p>
    <w:p>
      <w:pPr>
        <w:spacing w:after="0" w:line="16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our shares to decline. If we raise additional funds through public or private equity offerings, the terms of these securities may include liquidation or other preferences that may adversely affect our shareholders’ rights.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Further, to the extent that we raise additional capital through the sale of ADSs, ordinary shares or securities convertible or exchangeable into ordinary shares, your ownership interest will be diluted. We have entered into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two secured credit facilities with an aggregate drawing capacity of €20 million. In addition, we may enter into additional credit facilities from time to time, which may be secured, to fund certain of our operations.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or other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288"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62"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of July 31, 2019, we had more than 1,100 full-time employees and, in connection with the growth and advancement of our pipeline and becoming a public company, we expect to increase the number of employees and the scope of our operations. To manage our anticipated development and expansion, we must continue to implement and improve our managerial, operational, legal, compliance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w:t>
      </w:r>
    </w:p>
    <w:p>
      <w:pPr>
        <w:spacing w:after="0" w:line="17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insurance policies are expensive and protect us only from some business risks, which leaves us exposed to significant uninsured liabilities.</w:t>
      </w:r>
    </w:p>
    <w:p>
      <w:pPr>
        <w:spacing w:after="0" w:line="152"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of commercial products, but we may be unable to obtain such insurance on commercially reasonable terms or in adequate amounts. We currently maintain insurance coverage for losses relating to an interruption of our development, manufacturing or commercialization efforts caused by contamination in an amount of €50,000,000 per claim up to an aggregate cap of €160,000,000 in any two-year period, and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Supervisory Board, our board committees or our Management Board.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b w:val="1"/>
          <w:bCs w:val="1"/>
          <w:i w:val="1"/>
          <w:iCs w:val="1"/>
          <w:color w:val="auto"/>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5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Even if we complete the necessary preclinical studies and clinical trials, the marketing approval process is expensive, time-consuming and uncertain, and we may not be able to obtain approvals for the commercialization of any product candidates we may develop. Any immunotherapy we may develop and the activities associated with its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6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Failure to obtain marketing approval for a product candidate will prevent us from commercializing the product candidate in a given jurisdiction. We have not received approval to market any biopharmaceutical product candidates from regulatory authorities in any jurisdiction, and it is possible that none of our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To our knowledge, there is no current precedent for an mRNA-based immunotherapy such as the type we are developing being approved for sale by the FDA, European Commission or any other regulatory agency elsewhere in the world. Although we expect to submit BLAs for our mRNA-based product candidates in the United States, and in the European Union, mRNA therapies have been classified as gene therapy medicinal products, other jurisdictions may consider our mRNA-based product candidates to be new drugs, not biologics or gene therapy medicinal products, and require different marketing applications.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undesirable or unintended side effects, toxicities or other characteristics that may preclude our obtaining marketing approval or prevent or limit commercial use.</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comparable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8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Regulatory agencies also may approve an immunotherapy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No mRNA immunotherapy has been approved, and none may ever be approved. mRNA drug development has substantial clinical development and regulatory risks due to the novel and unprecedented nature of this new category of therapeutics.</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As a potential new category of therapeutics, to our knowledge, no mRNA immunotherapies have been approved to date by the FDA, EMA or other regulatory agency. Successful discovery and development of mRNA-based (and other) immunotherapies by either us or our collaborators is highly uncertain and depends on numerous factors, many of which are beyond our or their control. To date, there has never been a Phase 3 trial for an mRNA-based product or a commercialized mRNA-based product. Our product candidates that appear promising in the early phases of development may fail to advance, experience delays in the clinic or clinical holds, or fail to reach the market for many reasons, including:</w:t>
      </w:r>
    </w:p>
    <w:p>
      <w:pPr>
        <w:spacing w:after="0" w:line="78" w:lineRule="exact"/>
        <w:rPr>
          <w:sz w:val="20"/>
          <w:szCs w:val="20"/>
          <w:color w:val="auto"/>
        </w:rPr>
      </w:pPr>
    </w:p>
    <w:p>
      <w:pPr>
        <w:ind w:left="5620" w:right="3660" w:hanging="4876"/>
        <w:spacing w:after="0" w:line="449" w:lineRule="auto"/>
        <w:tabs>
          <w:tab w:leader="none" w:pos="11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 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results may show the product candidates to be less effective than expected, including a failure to meet one or more endpoints or have unacceptable side effects or toxicities;</w:t>
      </w:r>
    </w:p>
    <w:p>
      <w:pPr>
        <w:spacing w:after="0" w:line="75"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failures or insufficient supply of GMP materials for clinical trials, or higher than expected cost could delay or set back clinical trials, or make our product candidates commercially unattractive;</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improvements in the manufacturing processes may not be sufficient to satisfy the clinical or commercial demand of our product candidates or regulatory requirements for clinical trials;</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75" w:lineRule="exact"/>
        <w:rPr>
          <w:rFonts w:ascii="Arial" w:cs="Arial" w:eastAsia="Arial" w:hAnsi="Arial"/>
          <w:sz w:val="18"/>
          <w:szCs w:val="18"/>
          <w:color w:val="auto"/>
        </w:rPr>
      </w:pPr>
    </w:p>
    <w:p>
      <w:pPr>
        <w:ind w:left="1180" w:hanging="436"/>
        <w:spacing w:after="0" w:line="25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proprietary rights, products and technologies of our competitors may prevent our immunotherapies from being commercialized.</w:t>
      </w:r>
    </w:p>
    <w:p>
      <w:pPr>
        <w:spacing w:after="0" w:line="23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Currently, mRNA is considered a gene therapy product by the FDA.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In addition, because no mRNA-based product has been approved, the regulatory pathway in the United States and may other jurisdictions for approval is uncertain. The pathway for an individualized therapy, such as our iNeST mRNA-based immunotherapy where each patient receives a different combination of mRNAs, remains particularly unsettled. The number and design of the clinical and preclinical studies required for the approval of these types of medicines have not been established, may be different from those required for gene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29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b w:val="1"/>
          <w:bCs w:val="1"/>
          <w:i w:val="1"/>
          <w:iCs w:val="1"/>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with most biological products, use of our product candidates could be associated with side effects or adverse events which can vary in severity from minor reactions to death and in frequency from infrequent to prevalent. The potential for adverse events is especially acute in the oncology setting, where patients may have advanced disease, have compromised immune and other systems and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unacceptable side effects arise in the development of our product candidates, we, the FDA, competent authorities of European Union member states, ethics committees, the institutional review boards, or IRBs, at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7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Monitoring the safety of patients receiving our product candidates is challenging, which could adversely affect our ability to obtain regulatory approval and commercialize our product candidates.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our ongoing and planned clinical trials, we have contracted with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EMA or other comparable regulatory authority delaying, suspending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 may have a detrimental impact on the efficacy of the treatment. Use of these medicines may increase with new physicians and centers administering our product candidates.</w:t>
      </w:r>
    </w:p>
    <w:p>
      <w:pPr>
        <w:spacing w:after="0" w:line="18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 and safety consequences of taking our product candidates over a multi-year period.</w:t>
      </w:r>
    </w:p>
    <w:p>
      <w:pPr>
        <w:spacing w:after="0" w:line="17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62"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93" w:lineRule="exact"/>
        <w:rPr>
          <w:sz w:val="20"/>
          <w:szCs w:val="20"/>
          <w:color w:val="auto"/>
        </w:rPr>
      </w:pPr>
    </w:p>
    <w:p>
      <w:pPr>
        <w:ind w:left="200" w:right="20"/>
        <w:spacing w:after="0" w:line="340" w:lineRule="auto"/>
        <w:rPr>
          <w:sz w:val="20"/>
          <w:szCs w:val="20"/>
          <w:color w:val="auto"/>
        </w:rPr>
      </w:pPr>
      <w:r>
        <w:rPr>
          <w:rFonts w:ascii="Arial" w:cs="Arial" w:eastAsia="Arial" w:hAnsi="Arial"/>
          <w:sz w:val="15"/>
          <w:szCs w:val="15"/>
          <w:b w:val="1"/>
          <w:bCs w:val="1"/>
          <w:i w:val="1"/>
          <w:iCs w:val="1"/>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92" w:lineRule="exact"/>
        <w:rPr>
          <w:sz w:val="20"/>
          <w:szCs w:val="20"/>
          <w:color w:val="auto"/>
        </w:rPr>
      </w:pPr>
    </w:p>
    <w:p>
      <w:pPr>
        <w:ind w:left="1180" w:right="220" w:hanging="436"/>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86"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51" w:lineRule="exact"/>
        <w:rPr>
          <w:rFonts w:ascii="Arial" w:cs="Arial" w:eastAsia="Arial" w:hAnsi="Arial"/>
          <w:sz w:val="17"/>
          <w:szCs w:val="17"/>
          <w:color w:val="auto"/>
        </w:rPr>
      </w:pPr>
    </w:p>
    <w:p>
      <w:pPr>
        <w:ind w:left="1180" w:right="8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optimized in the past and may in the future optimize our manufacturing processes, including through changes to the scale and site of manufacturing, which may lead to additional studies (including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77" w:lineRule="auto"/>
        <w:rPr>
          <w:sz w:val="20"/>
          <w:szCs w:val="20"/>
          <w:color w:val="auto"/>
        </w:rPr>
      </w:pPr>
      <w:r>
        <w:rPr>
          <w:rFonts w:ascii="Arial" w:cs="Arial" w:eastAsia="Arial" w:hAnsi="Arial"/>
          <w:sz w:val="18"/>
          <w:szCs w:val="18"/>
          <w:color w:val="auto"/>
        </w:rPr>
        <w:t>bridging and bioequivalence studies) or potentially significant changes in our clinical trial designs, requiring additional cost and time, and, as a consequence, lead to a delay in plans for progressing one or more product candidates;</w:t>
      </w:r>
    </w:p>
    <w:p>
      <w:pPr>
        <w:spacing w:after="0" w:line="76" w:lineRule="exact"/>
        <w:rPr>
          <w:sz w:val="20"/>
          <w:szCs w:val="20"/>
          <w:color w:val="auto"/>
        </w:rPr>
      </w:pPr>
    </w:p>
    <w:p>
      <w:pPr>
        <w:ind w:left="1180" w:right="20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130"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86"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86"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may make it difficult to extrapolate the results of earlier clinical trials to later clinical trials;</w:t>
      </w:r>
    </w:p>
    <w:p>
      <w:pPr>
        <w:spacing w:after="0" w:line="75" w:lineRule="exact"/>
        <w:rPr>
          <w:rFonts w:ascii="Arial" w:cs="Arial" w:eastAsia="Arial" w:hAnsi="Arial"/>
          <w:sz w:val="18"/>
          <w:szCs w:val="18"/>
          <w:color w:val="auto"/>
        </w:rPr>
      </w:pPr>
    </w:p>
    <w:p>
      <w:pPr>
        <w:ind w:left="1180" w:right="260" w:hanging="436"/>
        <w:spacing w:after="0" w:line="308"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51" w:lineRule="exact"/>
        <w:rPr>
          <w:rFonts w:ascii="Arial" w:cs="Arial" w:eastAsia="Arial" w:hAnsi="Arial"/>
          <w:sz w:val="17"/>
          <w:szCs w:val="17"/>
          <w:color w:val="auto"/>
        </w:rPr>
      </w:pPr>
    </w:p>
    <w:p>
      <w:pPr>
        <w:jc w:val="both"/>
        <w:ind w:left="1180" w:right="80" w:hanging="436"/>
        <w:spacing w:after="0" w:line="31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52" w:lineRule="exact"/>
        <w:rPr>
          <w:rFonts w:ascii="Arial" w:cs="Arial" w:eastAsia="Arial" w:hAnsi="Arial"/>
          <w:sz w:val="16"/>
          <w:szCs w:val="16"/>
          <w:color w:val="auto"/>
        </w:rPr>
      </w:pPr>
    </w:p>
    <w:p>
      <w:pPr>
        <w:ind w:left="1180" w:hanging="436"/>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or other reasons, or participants may withdraw from clinical trials or fail to return for post-treatment follow-up at a higher rate than we anticipate;</w:t>
      </w:r>
    </w:p>
    <w:p>
      <w:pPr>
        <w:spacing w:after="0" w:line="92" w:lineRule="exact"/>
        <w:rPr>
          <w:rFonts w:ascii="Arial" w:cs="Arial" w:eastAsia="Arial" w:hAnsi="Arial"/>
          <w:sz w:val="18"/>
          <w:szCs w:val="18"/>
          <w:color w:val="auto"/>
        </w:rPr>
      </w:pPr>
    </w:p>
    <w:p>
      <w:pPr>
        <w:ind w:left="1180" w:right="80" w:hanging="436"/>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29" w:lineRule="exact"/>
        <w:rPr>
          <w:rFonts w:ascii="Arial" w:cs="Arial" w:eastAsia="Arial" w:hAnsi="Arial"/>
          <w:sz w:val="16"/>
          <w:szCs w:val="16"/>
          <w:color w:val="auto"/>
        </w:rPr>
      </w:pPr>
    </w:p>
    <w:p>
      <w:pPr>
        <w:ind w:left="1180" w:right="16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 of preclinical or nonclinical testing and studies and clinical trials of any product candidates may be greater than we anticipate;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may be insufficient or inadequate;</w:t>
      </w:r>
    </w:p>
    <w:p>
      <w:pPr>
        <w:spacing w:after="0" w:line="153" w:lineRule="exact"/>
        <w:rPr>
          <w:rFonts w:ascii="Arial" w:cs="Arial" w:eastAsia="Arial" w:hAnsi="Arial"/>
          <w:sz w:val="16"/>
          <w:szCs w:val="16"/>
          <w:color w:val="auto"/>
        </w:rPr>
      </w:pPr>
    </w:p>
    <w:p>
      <w:pPr>
        <w:ind w:left="1180" w:right="200" w:hanging="436"/>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29" w:lineRule="exact"/>
        <w:rPr>
          <w:rFonts w:ascii="Arial" w:cs="Arial" w:eastAsia="Arial" w:hAnsi="Arial"/>
          <w:sz w:val="16"/>
          <w:szCs w:val="16"/>
          <w:color w:val="auto"/>
        </w:rPr>
      </w:pPr>
    </w:p>
    <w:p>
      <w:pPr>
        <w:ind w:left="1180" w:right="28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could also encounter delays if a clinical trial is suspended or terminated by us, the FDA or other regulatory authorities, ethics committees, or the IRBs of the institutions in which such trials are being conducted,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7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Significant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25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participants in our clinical trials, our clinical development activities could be delayed or otherwise adversely affected.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18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9"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complexity and design of the study protocol;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trial participants;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including between our own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trial participants adequately during and after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180" w:right="80" w:hanging="436"/>
        <w:spacing w:after="0" w:line="342"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participant informed consent;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trial participants enrolled in clinical trials will not complete a clinical trial.</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departure from more traditional methods for disease treatment and prevention, potential trial participants and their doctors may be inclined to use conventional therapies or other new therapies rather than enroll trial participants in any future clinical trial involving individualized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6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Clinical trials of our product candidates are currently being conducted in numerous countries, including Germany, Austria, Belgium, Czechia, France, Italy, the Netherlands, Poland, Spain, Sweden, the United Kingdom, Israel, Australia, Canada and the United States, and we plan to commercialize our product candidates, if approved, globally. Accordingly, we expect that we will be subject to additional risks related to operating in multiple countries, including:</w:t>
      </w:r>
    </w:p>
    <w:p>
      <w:pPr>
        <w:spacing w:after="0" w:line="92"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such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Germany and shipping the product candidate to the patient abroad;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 including withholding of payroll taxes;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Germany;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comparable regulations in other jurisdictions;</w:t>
      </w:r>
    </w:p>
    <w:p>
      <w:pPr>
        <w:spacing w:after="0" w:line="130"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that do not respect and protect intellectual property rights to the same extent as do Germany and the United States;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These and other risks associated with our international operations and our collaborations with our collaborators may materially adversely affect our ability to attain or maintain profitable operations.</w:t>
      </w:r>
    </w:p>
    <w:p>
      <w:pPr>
        <w:spacing w:after="0" w:line="27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3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240" w:top="459" w:right="6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5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earlier studies and trials of our product candidates may not be predictive of future trial results.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291"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b w:val="1"/>
          <w:bCs w:val="1"/>
          <w:i w:val="1"/>
          <w:iCs w:val="1"/>
          <w:color w:val="auto"/>
        </w:rPr>
        <w:t>Our planned clinical trials or those of our collaborators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There is typically an extremely high rate of attrition for product candidates across categories of medicines proceeding through clinical trials. 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7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Some of our product candidates are being developed or are intended to be co-administered with other developmental therapies or approved medicines. For example, RO198457 (BNT122) is being developed to be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co-administered with checkpoint inhibitors. Such combinations may have additional side effects which may be difficult to predict in future clinical trials.</w:t>
      </w:r>
    </w:p>
    <w:p>
      <w:pPr>
        <w:spacing w:after="0" w:line="248"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applicable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not be able to develop or obtain approval for companion diagnostics required for commercialization of some of our product candidates.</w:t>
      </w:r>
    </w:p>
    <w:p>
      <w:pPr>
        <w:spacing w:after="0" w:line="14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 xml:space="preserve">Administration of some of our product candidates may require the use of immuno-assays and bioinformatic tools in which patients are screened for optimal target antigens of our product candidates. If safe and effective use of a biologic product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requires approval or clearance of the diagnostic, known as a companion diagnostic, concurrently with approval of the therapeutic product. To date, the FDA has generally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cancer treatment to obtain a pre-market approval, or PMA, for that diagnostic, which can take up to several years, simultaneously with approval of the biologic product. Similarly, in the European Union,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may be placed on the market only if it conforms to certain “essential requirements” and bears the </w:t>
      </w:r>
      <w:r>
        <w:rPr>
          <w:rFonts w:ascii="Arial" w:cs="Arial" w:eastAsia="Arial" w:hAnsi="Arial"/>
          <w:sz w:val="16"/>
          <w:szCs w:val="16"/>
          <w:i w:val="1"/>
          <w:iCs w:val="1"/>
          <w:color w:val="auto"/>
        </w:rPr>
        <w:t xml:space="preserve">Conformité Européene </w:t>
      </w:r>
      <w:r>
        <w:rPr>
          <w:rFonts w:ascii="Arial" w:cs="Arial" w:eastAsia="Arial" w:hAnsi="Arial"/>
          <w:sz w:val="16"/>
          <w:szCs w:val="16"/>
          <w:color w:val="auto"/>
        </w:rPr>
        <w:t>Mark, or CE Mark, and the conformity assessment process to obtain the CE Mark can be lengthy.</w:t>
      </w:r>
    </w:p>
    <w:p>
      <w:pPr>
        <w:spacing w:after="0" w:line="16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For our individualized immunotherapy candidates, the FDA and similar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w:t>
      </w:r>
    </w:p>
    <w:p>
      <w:pPr>
        <w:spacing w:after="0" w:line="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8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EMA or other regulatory authorities may not consider the endpoints of our clinical trials to provide clinically meaningful results.</w:t>
      </w:r>
    </w:p>
    <w:p>
      <w:pPr>
        <w:spacing w:after="0" w:line="73"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There may not be pharmacologic therapies approved to treat the underlying causes of many diseases that we may address in the future. For instance, we and our collaborators are applying our technology to develop</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countries may make similar findings with respect to these endpoints.</w:t>
      </w:r>
    </w:p>
    <w:p>
      <w:pPr>
        <w:spacing w:after="0" w:line="28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FDA, EMA or other comparable regulatory authorities may disagree with our regulatory plan and we may fail to obtain regulatory approval of our product candidates.</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If the results of our clinical trials are sufficiently compelling, we or our collaborators intend to discuss with the FDA submission of a BLA for our product candidates. However, we do not have any agreement or guidance from the FDA that our regulatory development plans will be sufficient for submission of a BLA for any of our product candidates. The FDA, EMA or other regulatory agencies may grant accelerated approval for our product candidates and, as a condition for accelerated approval, the FDA,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EMA or other regulatory agencies that are more accelerated than those available for regular approvals. In addition, the standard of care may change with the approval of new products in the same indications that we are studying. This may result in the FDA, EMA or other regulatory agencies requesting additional studies to show that our product candidate is superior to the new products.</w:t>
      </w:r>
    </w:p>
    <w:p>
      <w:pPr>
        <w:spacing w:after="0" w:line="18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7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regulatory authorities that our product candidates are safe and effective for any of their proposed indications;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our interpretation of data from preclinical studies or clinical trials;</w:t>
      </w:r>
    </w:p>
    <w:p>
      <w:pPr>
        <w:spacing w:after="0" w:line="75"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86" w:lineRule="exact"/>
        <w:rPr>
          <w:rFonts w:ascii="Arial" w:cs="Arial" w:eastAsia="Arial" w:hAnsi="Arial"/>
          <w:sz w:val="18"/>
          <w:szCs w:val="18"/>
          <w:color w:val="auto"/>
        </w:rPr>
      </w:pPr>
    </w:p>
    <w:p>
      <w:pPr>
        <w:ind w:left="5620" w:right="180" w:hanging="4876"/>
        <w:spacing w:after="0" w:line="449" w:lineRule="auto"/>
        <w:tabs>
          <w:tab w:leader="none" w:pos="11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will inspect our manufacturing facilities and may not approve our facilities; and 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4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regulatory authorities may significantly change in a manner rendering our clinical data insufficient for approval.</w:t>
      </w: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may not be able to file INDs with the FDA, clinical trial applications with the competent authorities of European Union member states or similar applications with other comparable regulatory authorities to commence additional clinical trials on the timelines we expect, and even if we are able to, one or more of these regulatory authorities may not permit us to proceed.</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timing of filing on our product candidates is dependent on further preclinical, clinical and manufacturing success. We cannot be sure that submission of an IND or IND amendment with the FDA, a clinical trial application with the competent authorities of European Union member states or similar application with other comparable regulatory authorities will result in the FDA, the competent authorities of European Union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297"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6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effectively protect the product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We may seek breakthrough therapy or fast-track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86"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We expect some of the product candidates we develop will be regulated as biologics in the United States and therefore they may be subject to competition from biosimilars approved through an abbreviated regulatory pathway.</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2"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a 12-year period of exclusivity. However, there is a risk that this exclusivity could be shortened due 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96"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b w:val="1"/>
          <w:bCs w:val="1"/>
          <w:i w:val="1"/>
          <w:iCs w:val="1"/>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4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regulatory requirements that we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or IBC,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6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8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279"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international regulatory requirements. The denial or delay of such approval would delay commercialization of our product candidates and adversely impact our potential to generate revenue, our business and our results of operations.</w:t>
      </w:r>
    </w:p>
    <w:p>
      <w:pPr>
        <w:spacing w:after="0" w:line="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Approval by the FDA in the United States, if obtained, does not ensure approval by regulatory authorities in other countries or jurisdictions. In order to eventually market any of our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A third-party investigational drug used in combination with our product candidates may be unable to obtain regulatory approval, which may delay commercialization of our product candidates.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are developing several of our product candidates to be used in combination with our and third-party drugs. Even if any product candidate we develop were to receive marketing approval or be commercialized for use in combination with other existing therapies, we would continue to be subject to the risks that the FDA, the EMA or similar regulatory authorities in other jurisdictions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similar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therapies that have not yet been approved for marketing by the FDA, the EMA or similar regulatory authorities in other jurisdictions. We will not be able to market any product candidate we develop in combination with an unapproved therapy if that unapproved therapy does not ultimately obtain marketing approval. In addition, unapproved therapies face the same risks described with respect to our product candidates currently in development and clinical trials, including the potential for serious adverse effects, delay in their clinical trials and lack of FDA, EMA or similar regulatory authority approval.</w:t>
      </w:r>
    </w:p>
    <w:p>
      <w:pPr>
        <w:spacing w:after="0" w:line="18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the FDA, the EMA or similar regulatory authorities in other jurisdictions do not approve these other drugs or revoke their approval of, or if safety, efficacy, manufacturing or supply issues arise with, the drugs we choose to evaluate in combination with any product candidate we develop, we may be unable to obtain approval of or market any product candidate we develop.</w:t>
      </w:r>
    </w:p>
    <w:p>
      <w:pPr>
        <w:spacing w:after="0" w:line="289"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We may be subject to penalties if we fail to comply with regulatory requirements or experience unanticipated problems with our product candidates.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Even if we obtain regulatory approval in a jurisdiction,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agency may:</w:t>
      </w:r>
    </w:p>
    <w:p>
      <w:pPr>
        <w:spacing w:after="0" w:line="142" w:lineRule="exact"/>
        <w:rPr>
          <w:sz w:val="20"/>
          <w:szCs w:val="20"/>
          <w:color w:val="auto"/>
        </w:rPr>
      </w:pPr>
    </w:p>
    <w:p>
      <w:pPr>
        <w:ind w:left="5620" w:right="5280" w:hanging="4876"/>
        <w:spacing w:after="0" w:line="536" w:lineRule="auto"/>
        <w:tabs>
          <w:tab w:leader="none" w:pos="11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issue a warning letter asserting that we are in violation of the law; 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a pending BLA or supplements to a BLA submitted by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any of our product candidates cause undesirable side effects, it could delay or prevent their regulatory approval, limit the commercial potential, or result in significant negative consequences following any potential marketing approval. Product candidates we may develop may be associated with an adverse immune response or other serious adverse events, undesirable side effects or unexpected characteristics. In addition to serious adverse events or side effects caused by any of our product candidates, the administration process or related procedures also can cause undesirable side effects. If any such events occur, the clinical trials of any of our product candidates could be suspended or terminated.</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67" w:lineRule="exact"/>
        <w:rPr>
          <w:sz w:val="20"/>
          <w:szCs w:val="20"/>
          <w:color w:val="auto"/>
        </w:rPr>
      </w:pPr>
    </w:p>
    <w:p>
      <w:pPr>
        <w:ind w:left="200" w:right="420" w:firstLine="441"/>
        <w:spacing w:after="0" w:line="273" w:lineRule="auto"/>
        <w:rPr>
          <w:sz w:val="20"/>
          <w:szCs w:val="20"/>
          <w:color w:val="auto"/>
        </w:rPr>
      </w:pPr>
      <w:r>
        <w:rPr>
          <w:rFonts w:ascii="Arial" w:cs="Arial" w:eastAsia="Arial" w:hAnsi="Arial"/>
          <w:sz w:val="17"/>
          <w:szCs w:val="17"/>
          <w:color w:val="auto"/>
        </w:rPr>
        <w:t>Additionally, if we successfully obtain regulatory approval for a product candidate, the FDA or other regulatory authority could require us to adopt a REMS or a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that we develop, several potentially significant negative consequences could result, including:</w:t>
      </w:r>
    </w:p>
    <w:p>
      <w:pPr>
        <w:spacing w:after="0" w:line="84"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or revoke licenses of such product;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 their children;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products we may identify and develop and could have a material adverse impact on our business, financial condition, results of operations and prospects.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we are successful in gaining approval for any of our product candidates we will continue to face significant regulatory oversight of the manufacturing and distribution of our products. Product manufacturers and their facilities are subject to payment of user fees and continual review and periodic inspections by the FDA and other regulatory authorities for compliance with 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8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6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a substantial amount of our efforts will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products for many reasons, including the following:</w:t>
      </w:r>
    </w:p>
    <w:p>
      <w:pPr>
        <w:spacing w:after="0" w:line="84" w:lineRule="exact"/>
        <w:rPr>
          <w:sz w:val="20"/>
          <w:szCs w:val="20"/>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are unsuccessful in identifying and developing additional products, our potential for growth may be impaired.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Manufacturing of our Product Candidates and Future Pipeline</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manufacturing processes for our product candidates are novel and complex. There are no immunotherapies commercialized to date or manufactured at such scale.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product candidates could materially delay our or our collaborators’ ability to continue the clinical trial for that product candidate or require us to begin a new clinical trial with a newly formulated drug product, due to the need to manufacture additional preclinical or clinical supply.</w:t>
      </w:r>
    </w:p>
    <w:p>
      <w:pPr>
        <w:spacing w:after="0" w:line="17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process to generate mRNA product candidates is complex and, if not developed and manufactured under well-controlled conditions, can adversely impact pharmacological activity. Furthermore, we have not manufactured immunotherapies at commercial scale.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8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 Our mRNA product candidates may prove to have a stability profile that leads to a lower than desired shelf life of the final approved immunotherapy. This poses risk in supply requirements, wasted stock and higher cost of goods.</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81"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Due to the number of different programs, we may have cross contamination of products inside of our factories, CROs,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12-month stability testing. That may require resupplying clinical material, or making additional GMP batches to keep up with clinical trial demand before such pharmaceutical property testing is completed.</w:t>
      </w:r>
    </w:p>
    <w:p>
      <w:pPr>
        <w:spacing w:after="0" w:line="19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commercial supply of our product candidates. Further, now and in the future one or more of our programs may have a single source of supply for raw materials and excipients.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established a number of analytical assays, and may have to establish several more, to assess the quality of our mRNA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 candidates until the manufacturing or testing process is rectified.</w:t>
      </w:r>
    </w:p>
    <w:p>
      <w:pPr>
        <w:spacing w:after="0" w:line="18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 candidates and result in delays or interruptions to clinical or commercial supply. In addition, the cost associated with such transportation services and the limited pool of vendors may also add additional risks of supply disruptions.</w:t>
      </w:r>
    </w:p>
    <w:p>
      <w:pPr>
        <w:spacing w:after="0" w:line="262"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b w:val="1"/>
          <w:bCs w:val="1"/>
          <w:i w:val="1"/>
          <w:iCs w:val="1"/>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76"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logistics associated with the collection of a patient’s tumor, blood or other tissue sample;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shipping such samples to a facility for genetic sequencing;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next-generation sequencing of the tumor mRNA;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biopsy of a sufficient quantity of cancerous tissue to allow for proper sequencing and identification of tumor-specific mutations;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appropriate tumor-specific mutations;</w:t>
      </w:r>
    </w:p>
    <w:p>
      <w:pPr>
        <w:spacing w:after="0" w:line="130" w:lineRule="exact"/>
        <w:rPr>
          <w:rFonts w:ascii="Arial" w:cs="Arial" w:eastAsia="Arial" w:hAnsi="Arial"/>
          <w:sz w:val="18"/>
          <w:szCs w:val="18"/>
          <w:color w:val="auto"/>
        </w:rPr>
      </w:pPr>
    </w:p>
    <w:p>
      <w:pPr>
        <w:ind w:left="1180" w:right="200" w:hanging="436"/>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design of the patient-specific mRNA that encodes for the required neoantigens;</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batch-specific manufacturing failures or issues that arise due to the uniqueness of each patient-specific batch that may not have been foreseen;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quality control testing failures;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failures of batches placed on stability;</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or quality control issues with single-use assemblies, consumables or critical parts sourced from third-party vendors that must be changed out for each patient-specific batch;</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associated with individualized manufacturing that may adversely affect our ability to continue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and timely manufacture and release of the patient-specific batch;</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shipment issues encountered during transport of the batch to the site of patient care;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define a consistent safety profile at a given dose when each participant receives a unique treatment;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reliance on single-source suppliers.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due to the custom nature of the equipment and single-use assemblies, we may not be able to supply this expanded need reliably without significant investments. In addition, there will be considerable time to scale up our facilities or build new facilities before we can begin to meet any commercial demand if one or more of our product candidates are approved. This expansion or addition of new facilities could also lead to product comparability issues, which can further delay introduction of new capacity.</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 certain of our product candidates are manufactured for each individual patient, we will be required to maintain a chain of identity with respect to each patient’s tissue sample, sequence data derived from such tissue sample, analyze results of such patient’s genomic analysis, and the custom manufactured product for each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28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Our inability to manufacture sufficient quantities of our product candidates, or our failure to comply with applicable regulatory requirements, would materially and adversely affect our business.</w:t>
      </w:r>
    </w:p>
    <w:p>
      <w:pPr>
        <w:spacing w:after="0" w:line="62"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Manufacturing is a vital component of our individualized immunotherapy approach, and we have invested significantly in our manufacturing facilities. All internal manufacturing is performed under GMP guidelines. We do not rely on any external CMOs for the manufacture of our product candidates and at this time, we have limited redundancy among our facilities. Due to the individualized nature of our product candidates, we do not maintain product reserves. If any of our manufacturing facilities experiences difficulties, including related to manufacturing, product release, shelf life, testing, storage and supply chain management or shipping, our clinical development programs may be delayed or suspended until we can resume operations. We may also be required to incur significant expenditures to resolve such difficulties.</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facilities are subject to various regulatory requirements and may be subject to the inspection of the FDA or other regulatory authorities. If we cannot successfully manufacture material that conforms to our specifications and the strict regulatory requirements of the FDA, EMA or comparable regulatory authorities in other jurisdictions, we may not be able to rely on our manufacturing facilities for the manufacture of our product candidates. If the FDA, EMA or another comparable regulatory authority finds our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Additionally, we may experience manufacturing difficulties due to resource constraints or as a result of labor disputes or unstable political environments. If we were to encounter any of these difficulties, our ability to provide our product candidate to patients in clinical trials, or to provide product for the treatment of patients once approved, would be jeopardized.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manufacturing facilities and at those of our external service providers.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While the design of our facilities is based on current standards for biotechnology facilities, it has not been reviewed or pre-approved by any regulatory agency, nor have our facilities been inspected by any regulatory agency such as the FDA. We have designed our facilities to incorporate a significant level of automation of equipment with integration of several digital systems to improve efficiency of operations. We have attempted to achieve a high level of digitization for clinical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delay in supply or shutdown of our facilities. Any disruption in our manufacturing capabilities could cause delays in our production capacity for our drug substances or drug products, impose additional costs, or may require us to identify, qualify and establish an alternative manufacturing site, the occurrence of which could have a material adverse effect on our business, financial condition, results of operations and prospects.</w:t>
      </w:r>
    </w:p>
    <w:p>
      <w:pPr>
        <w:spacing w:after="0" w:line="18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we expand our development and commercial capacity, we may establish additional manufacturing capabilities and expand to other locations or geographies, which may lead to regulatory delays or prove costly. If we fail to select the correct location, complete the construction in an efficient manner, recruit the required personnel, and generally manage our growth effectively, the development and production of our product candidates could be delayed or curtailed. Additional investments may be needed if changes in our manufacturing process lead to required changes in our infrastructure.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Certain of our product candidates rely on the availability of specialty raw materials, which may not be available to us on acceptable terms or at all.</w:t>
      </w:r>
    </w:p>
    <w:p>
      <w:pPr>
        <w:spacing w:after="0" w:line="15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product candidates require many specialty raw materials, some of which are manufactured by small companies with limited resources and experience to support a commercial product, and the suppliers may not be able to deliver raw materials to our specifications. In addition, those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17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product candidates are inherently sensitive to shipping and storage conditions and could be subject to risk of loss or damage.</w:t>
      </w:r>
    </w:p>
    <w:p>
      <w:pPr>
        <w:spacing w:after="0" w:line="129"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Our product candidates are sensitive to temperature, storage and handling conditions. Loss in product candidates could occur if the product or product intermediates are not stored or handled properly. Shelf life for our product candidates may vary by product and is not fully quantified and is expected to be variable, and it is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possible that our product candidates could be lost due to expiration prior to use. This has in the past led and could in the future lead to additional manufacturing costs and delays in our ability to supply required quantities for clinical trials or otherwise.</w:t>
      </w:r>
    </w:p>
    <w:p>
      <w:pPr>
        <w:spacing w:after="0" w:line="279"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b w:val="1"/>
          <w:bCs w:val="1"/>
          <w:i w:val="1"/>
          <w:iCs w:val="1"/>
          <w:color w:val="auto"/>
        </w:rPr>
        <w:t>We are subject to significant regulatory oversight with respect to manufacturing our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7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clinical trials. Poor control of the GMP production processes can lead to product quality failures that can impact our ability to supply product, resulting in cost overruns and delays to clinical timelines, which could be extensive. Such production process issues include but are not limited to:</w:t>
      </w:r>
    </w:p>
    <w:p>
      <w:pPr>
        <w:spacing w:after="0" w:line="94"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critical deviations in the manufacturing process;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facility and equipment failures;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contamination of the product due to an ineffective quality control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facility contamination as assessed by the facility and utility environmental monitoring program;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ineffective process, equipment or analytical change management, resulting in failed lot release criteria;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raw material failures due to ineffective supplier qualification or regulatory compliance issues at critical suppliers;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ineffective product stability;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failed lot release or facility and utility quality control testing;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ineffective corrective actions or preventative actions taken to correct or avoid critical deviations due to our developing understanding of the manufacturing process as we scale;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failed or defective components or consumables.</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Regulatory authorities typically require representative manufacturing site inspections to assess adequate compliance with GMPs and manufacturing controls as described in the filing. If either we or one of our third-party manufacturing sites fails to provide sufficient quality assurance or control, approval to commercialize our product candidates may not be granted. Inspections by regulatory authorities may occur at any time during the development or commercialization phase of products. The inspections may be product-specific or facility-specific for broader GMP inspections or as a follow up to market or development issues that the regulatory agency may identify. Deficient inspection outcomes may influence the ability of our third-party manufacturers or suppliers to fulfill their supply obligations, impacting or delaying supply or delaying programs.</w:t>
      </w:r>
    </w:p>
    <w:p>
      <w:pPr>
        <w:spacing w:after="0" w:line="16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manufacturing process for any products that we may develop is subject to the FDA’s, the EMA’s and other regulatory authorities’ approval processes, and we may need to contract with manufacturers who we believe can meet applicable regulatory authority requirements on an ongoing basis. If we or our third-party manufacturers are unable to reliably produce product candidates to specifications acceptable to the FDA, the EMA or other regulatory authorities, we or our collaborators may not obtain or maintain the approvals we or they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need to commercialize such products. Even if we or our collaborators obtain regulatory approval for any of our immunotherapies, there is no assurance that either we or our CMOs will be able to manufacture our product candidates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16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addition, we may not have direct control over the ability of our contract manufacturers to maintain adequate quality control, quality assurance and qualified personnel. Furthermore, all of our contract manufacturers are engaged with other companies to supply or manufacture materials or products for such companies, which exposes our contract manufacturers to regulatory risks for the production of such materials and products. As a result, failure to meet the regulatory requirements for the production of those materials and products may generally affect the regulatory status of our CMOs’ facilities.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 Our potential future dependence upon others for the manufacture of our product candidates and raw materials may adversely affect our future profit margins and our ability to commercialize any products that receive regulatory approval on a timely and competitive basis.</w:t>
      </w:r>
    </w:p>
    <w:p>
      <w:pPr>
        <w:spacing w:after="0" w:line="17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FDA,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third-party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or product launches, which could be costly to us and otherwise harm our business, financial condition, results of operations and prospects.</w:t>
      </w:r>
    </w:p>
    <w:p>
      <w:pPr>
        <w:spacing w:after="0" w:line="16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for or ultimately detect intentional sabotage or negligence by any employee or contractor.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Commercialization of our Pipeline</w:t>
      </w:r>
    </w:p>
    <w:p>
      <w:pPr>
        <w:spacing w:after="0" w:line="12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6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availability and extent of reimbursement by governmental and private payors is essential for most patients to be able to afford expensive treatments such as the medicines that we hope to develop and sell. In addition, because several of our product candidates represent new approaches to the treatment of cancer, we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cannot accurately estimate how these products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in any of our products.</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8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For example, the U.S. government recently released a “blueprint,” which is a plan to reduce the cost of drugs. The blueprint contains certain measures that the HHS is already working to implement.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 the marketplace.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7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87" w:lineRule="exact"/>
        <w:rPr>
          <w:sz w:val="20"/>
          <w:szCs w:val="20"/>
          <w:color w:val="auto"/>
        </w:rPr>
      </w:pPr>
    </w:p>
    <w:p>
      <w:pPr>
        <w:ind w:left="1180" w:right="102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75" w:lineRule="exact"/>
        <w:rPr>
          <w:rFonts w:ascii="Arial" w:cs="Arial" w:eastAsia="Arial" w:hAnsi="Arial"/>
          <w:sz w:val="18"/>
          <w:szCs w:val="18"/>
          <w:color w:val="auto"/>
        </w:rPr>
      </w:pPr>
    </w:p>
    <w:p>
      <w:pPr>
        <w:ind w:left="1180" w:right="76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drug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face intense competition from drugs that have already been approved and accepted by the medical community for the treatment of the conditions for which we may develop drugs. We also expect to face competition from new drugs that enter the market. There are a number of drugs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anticipate competing with the largest pharmaceutical companies in the world, many of which are all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successfully develop product candidates, and obtain approval for them, we will face competition based on many different factors, including:</w:t>
      </w:r>
    </w:p>
    <w:p>
      <w:pPr>
        <w:spacing w:after="0" w:line="154" w:lineRule="exact"/>
        <w:rPr>
          <w:sz w:val="20"/>
          <w:szCs w:val="20"/>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of any approved immunotherapy;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intellectual property position.</w:t>
      </w:r>
    </w:p>
    <w:p>
      <w:pPr>
        <w:spacing w:after="0" w:line="225"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In addition, our competitors may develop collaborations with or receive funding from larger pharmaceutical or biotechnology companies, providing them with an advantage over us. Our competitors may therefore be more successful in commercializing their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color w:val="auto"/>
        </w:rPr>
        <w:t>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spacing w:after="0" w:line="255"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b w:val="1"/>
          <w:bCs w:val="1"/>
          <w:i w:val="1"/>
          <w:iCs w:val="1"/>
          <w:color w:val="auto"/>
        </w:rPr>
        <w:t>The market opportunities for certain of our product candidates may be limited due to the rarity of the disease, or limited to those patients who are ineligible for or have failed prior treatments, and may be small. As the target patient populations for some of our programs are small, we must be able to successfully identify trial participants and achieve a significant market share to maintain profitability and growth.</w:t>
      </w:r>
    </w:p>
    <w:p>
      <w:pPr>
        <w:spacing w:after="0" w:line="3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FDA often approves new therapies initially only for use by patients with relapsed or refractory advanced cancer. We expect to initially seek approval of certain of our product candidates in this context. Subsequently, for those products that prove to be sufficiently beneficial, if any,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spacing w:after="0" w:line="281"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b w:val="1"/>
          <w:bCs w:val="1"/>
          <w:i w:val="1"/>
          <w:iCs w:val="1"/>
          <w:color w:val="auto"/>
        </w:rPr>
        <w:t>We currently have no marketing and sales organization and as a company, we have no experience in marketing pharmaceutical products. If we are unable to establish marketing and sales capabilities on our own or through third parties, we may not be able to market and sell our product candidates effectively in the United States and other jurisdictions, if approved, or generate product sales revenue.</w:t>
      </w:r>
    </w:p>
    <w:p>
      <w:pPr>
        <w:spacing w:after="0" w:line="3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Given our stage of development, we have no sales, distribution or marketing capabilities, and we have not designed our preclinical studies and clinical trials with specific commercialization or marketing considerations in mind. To successfully commercialize any products that may result from our development programs, we will need to develop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future collaborators do not commit sufficient resources to commercialize our future products, if any, and we are unable to develop the necessary marketing capabilities on our own, we may be unable to generate sufficient product sales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w:t>
      </w:r>
    </w:p>
    <w:p>
      <w:pPr>
        <w:spacing w:after="0" w:line="29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87" w:lineRule="exact"/>
        <w:rPr>
          <w:sz w:val="20"/>
          <w:szCs w:val="20"/>
          <w:color w:val="auto"/>
        </w:rPr>
      </w:pPr>
    </w:p>
    <w:p>
      <w:pPr>
        <w:jc w:val="center"/>
        <w:ind w:left="5620" w:right="1280" w:hanging="4876"/>
        <w:spacing w:after="0" w:line="449" w:lineRule="auto"/>
        <w:tabs>
          <w:tab w:leader="none" w:pos="11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on a country-by-country basis, the applicable marketing authorization from the competent regulatory authority; 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labor and other legal requirements in each jurisdiction that we or our collaborators pursue;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medical practices and customs affecting acceptance in the marketplace;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governmental controls, trade restrictions or changes in 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language barriers;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reimbursement, pricing and insurance regimes;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local laws in the event of a contract dispute.</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274"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3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 Any product that we bring to the market may not gain market acceptance by physicians, trial participants, third-party payors, and others in the medical community.</w:t>
      </w:r>
    </w:p>
    <w:p>
      <w:pPr>
        <w:ind w:left="200"/>
        <w:spacing w:after="0" w:line="254" w:lineRule="auto"/>
        <w:rPr>
          <w:sz w:val="20"/>
          <w:szCs w:val="20"/>
          <w:color w:val="auto"/>
        </w:rPr>
      </w:pPr>
      <w:r>
        <w:rPr>
          <w:rFonts w:ascii="Arial" w:cs="Arial" w:eastAsia="Arial" w:hAnsi="Arial"/>
          <w:sz w:val="18"/>
          <w:szCs w:val="18"/>
          <w:color w:val="auto"/>
        </w:rPr>
        <w:t>Additionally, ethical, social and legal concerns about genetic research could result in additional regulations restricting or prohibiting the products and processes we may use. If these products do not achieve an adequate level of acceptance, we may not generate significant product sales revenue and may not become profitable. The degree of market acceptance of our product candidates, if approved for commercial sale, will depend on a number of factors, including:</w:t>
      </w:r>
    </w:p>
    <w:p>
      <w:pPr>
        <w:spacing w:after="0" w:line="95"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offer our products, if approved, at competitive prices;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180" w:right="4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prevalence and severity of any side effects resulting from checkpoint inhibitors or other drugs or therapies with which our products are administered;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 and patients’ willingness to pay out-of-pocket in the absence of third-party coverage or adequate reimbursement.</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if any of our products are approved for marketing, we or a collaborator will be subject to significant regulatory obligations regarding the submission of safety and other post-marketing information and reports for such product, and will need to continue to comply (or ensure that our third-party providers comply) with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29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8" w:lineRule="exact"/>
        <w:rPr>
          <w:sz w:val="20"/>
          <w:szCs w:val="20"/>
          <w:color w:val="auto"/>
        </w:rPr>
      </w:pPr>
    </w:p>
    <w:p>
      <w:pPr>
        <w:jc w:val="both"/>
        <w:ind w:left="200" w:right="720" w:firstLine="441"/>
        <w:spacing w:after="0" w:line="34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52"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83"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16"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changes the way health care is financed by both governmental and private insurers, and significantly impacts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78"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The Tax Cuts and Jobs Act of 2017, or the TCJA, includes a provision repealing the tax-based shared responsibility payment imposed by the ACA on certain individuals who fail to maintain qualifying health coverage for all or part of a year that is commonly referred to as the “individual mandate.”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October 13, 2017, an executive order was signed terminating the cost-sharing reduction, or CSR, subsidies that reimburse insurers under the ACA.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Another executive order was signed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With the current presidential administration and Congress, there may be additional administrative or legislative changes, including modification, repeal or replacement of all, or certain provisions of, the ACA. However, it remains to be seen whether new legislation modifying the ACA will be enacted and, if so, precisely what the new legislation will provide, when it will be enacted and what impact it will have on the availability of healthcare and containing or lowering the cost of healthcare. The implications of a potential repeal or replacement of the ACA, for our and our collaborators’ business and financial condition, if any, are not yet clear.</w:t>
      </w:r>
    </w:p>
    <w:p>
      <w:pPr>
        <w:spacing w:after="0" w:line="17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These reductions will remain in effect through 2025 unless additional congressional action is taken.</w:t>
      </w:r>
    </w:p>
    <w:p>
      <w:pPr>
        <w:spacing w:after="0" w:line="1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We expect that additional healthcare reform measures or proposals will be adopted in the future, any of which could limit the amounts that governments will pay for healthcare products and services, which could result in reduced demand for our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European Union drug marketing and reimbursement regulations may materially affect our ability to market and receive coverage for our products in the European Union member states.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intend to seek approval to market our product candidates in both the United States and in other selected jurisdictions. If we obtain approval for our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European Union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have entered into several arrangements with a related party for the performance of nonclinical research programs, and these arrangements present potential conflicts of interest.</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have had a longstanding relationship with Translational Oncology at the University Medical Center of the Johannes Gutenberg University Mainz (Translationale Onkologie an der Universitätsmedizin der Johannes Gutenberg Universität Mainz gemeinnützige GmbH), or TRON, a non-profit limited liability company engaged in biopharmaceutical research. During 2018 and the six months ended June 30, 2019, we incurred €11.2 million and €4.2 million, respectively, to TRON, and TRON’s research has historically constituted a significant portion of our discovery pipeline and target discovery engine. Prof. Ugur Sahin, M.D., our co-founder and Chief Executive Officer, co-founded TRON and served as Managing Director at TRON until 2019 and currently serves as a Professor of Medicine at the University of Mainz. Prof. Sahin has notified TRON of his intention to resign from this position with TRON, effective September 10, 2019. Additionally, Prof. Christoph Huber, M.D., a member of our Supervisory Board, served on TRON’s supervisory board until his resignation in April 2019. We and TRON also share certain intellectual property.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existence or appearance of a conflict of interest could depress the price of the ADSs or attract scrutiny from shareholders, regulators or other stakeholders. Additionally, any conflicts of interest would create the risk that our officers may favor their personal interests over those of our shareholders.</w:t>
      </w:r>
    </w:p>
    <w:p>
      <w:pPr>
        <w:spacing w:after="0" w:line="289"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b w:val="1"/>
          <w:bCs w:val="1"/>
          <w:i w:val="1"/>
          <w:iCs w:val="1"/>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currently rely and expect to continue to rely on third parties, such as CROs, clinical data management organizations, collaborators, medical institutions and clinical investigators, to conduct various and significant elements of our clinical trials.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w:t>
      </w:r>
    </w:p>
    <w:p>
      <w:pPr>
        <w:spacing w:after="0" w:line="17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and our CROs will be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also are responsible for ensuring that the rights of our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clinical trial participants are protected. These regulations are enforced by the FDA, the competent authorities of the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Although we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84"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human errors;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subject to cyberattacks.</w:t>
      </w:r>
    </w:p>
    <w:p>
      <w:pPr>
        <w:spacing w:after="0" w:line="225"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also expect to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have entered into collaborations under which our collaborators have provided, and may in the future provide, funding and other resources for developing and potentially commercializing our product candidates. We expect to enter into additional collaborations to access additional funding, capabilities and expertise in the future. Our existing collaborations, and any future collaborations we enter into, may pose a number of risks, including the following:</w:t>
      </w:r>
    </w:p>
    <w:p>
      <w:pPr>
        <w:spacing w:after="0" w:line="92"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perform or prioritize their obligations as expected;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clinical trials conducted as part of such collaborations may not be successful;</w:t>
      </w:r>
    </w:p>
    <w:p>
      <w:pPr>
        <w:spacing w:after="0" w:line="130" w:lineRule="exact"/>
        <w:rPr>
          <w:rFonts w:ascii="Arial" w:cs="Arial" w:eastAsia="Arial" w:hAnsi="Arial"/>
          <w:sz w:val="18"/>
          <w:szCs w:val="18"/>
          <w:color w:val="auto"/>
        </w:rPr>
      </w:pPr>
    </w:p>
    <w:p>
      <w:pPr>
        <w:jc w:val="both"/>
        <w:ind w:left="1180" w:right="60" w:hanging="436"/>
        <w:spacing w:after="0" w:line="312" w:lineRule="auto"/>
        <w:tabs>
          <w:tab w:leader="none" w:pos="1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spacing w:after="0" w:line="52" w:lineRule="exact"/>
        <w:rPr>
          <w:rFonts w:ascii="Arial" w:cs="Arial" w:eastAsia="Arial" w:hAnsi="Arial"/>
          <w:sz w:val="16"/>
          <w:szCs w:val="16"/>
          <w:color w:val="auto"/>
        </w:rPr>
      </w:pPr>
    </w:p>
    <w:p>
      <w:pPr>
        <w:ind w:left="1180" w:right="36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1180" w:right="280" w:hanging="436"/>
        <w:spacing w:after="0" w:line="264"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6" w:lineRule="exact"/>
        <w:rPr>
          <w:rFonts w:ascii="Arial" w:cs="Arial" w:eastAsia="Arial" w:hAnsi="Arial"/>
          <w:sz w:val="18"/>
          <w:szCs w:val="18"/>
          <w:color w:val="auto"/>
        </w:rPr>
      </w:pPr>
    </w:p>
    <w:p>
      <w:pPr>
        <w:ind w:left="1180" w:right="560" w:hanging="436"/>
        <w:spacing w:after="0" w:line="264"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86"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w:t>
      </w:r>
    </w:p>
    <w:p>
      <w:pPr>
        <w:spacing w:after="0" w:line="75" w:lineRule="exact"/>
        <w:rPr>
          <w:rFonts w:ascii="Arial" w:cs="Arial" w:eastAsia="Arial" w:hAnsi="Arial"/>
          <w:sz w:val="18"/>
          <w:szCs w:val="18"/>
          <w:color w:val="auto"/>
        </w:rPr>
      </w:pPr>
    </w:p>
    <w:p>
      <w:pPr>
        <w:ind w:left="1180" w:right="380" w:hanging="436"/>
        <w:spacing w:after="0" w:line="279"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76"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75"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relationships may require us to incur non-recurring and other charges, increase our near- and long-term expenditures, issue securities that dilute our existing shareholders, or disrupt our management and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6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could face significant competition in seeking appropriate collaborators, and the negotiation process is time-consuming and complex; and</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international operations through any future collaborations, acquisitions or joint ventures may expose us to certain operating, legal and other risks not encountered in the United States.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under the collaborations. If we do not receive the funding we expect under these agreements, our development of product candidates could be delayed and we may need additional resources to develop our product candidates. In addition, in general our collaborators have the right to terminate their agreements with us for convenience.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286" w:lineRule="exact"/>
        <w:rPr>
          <w:sz w:val="20"/>
          <w:szCs w:val="20"/>
          <w:color w:val="auto"/>
        </w:rPr>
      </w:pPr>
    </w:p>
    <w:p>
      <w:pPr>
        <w:ind w:left="200" w:right="1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73"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18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40"/>
        <w:spacing w:after="0" w:line="264" w:lineRule="auto"/>
        <w:rPr>
          <w:sz w:val="20"/>
          <w:szCs w:val="20"/>
          <w:color w:val="auto"/>
        </w:rPr>
      </w:pPr>
      <w:r>
        <w:rPr>
          <w:rFonts w:ascii="Arial" w:cs="Arial" w:eastAsia="Arial" w:hAnsi="Arial"/>
          <w:sz w:val="18"/>
          <w:szCs w:val="18"/>
          <w:color w:val="auto"/>
        </w:rPr>
        <w:t>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2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have entered into in-licensing arrangements and may form or seek to enter into additional licensing arrangements in the future, and we may not realize the benefits of such licensing arrangements.</w:t>
      </w:r>
    </w:p>
    <w:p>
      <w:pPr>
        <w:spacing w:after="0" w:line="6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are a party to licenses that give us rights to third-party intellectual property, including patents and patent applications, that are necessary or useful for our business. In particular, we have obtained licenses from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7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the intellectual property of the licensor that is not subject to the licensing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relationships;</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trade secrets, know-how and other intellectual property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left="200" w:right="480" w:firstLine="441"/>
        <w:spacing w:after="0" w:line="342" w:lineRule="auto"/>
        <w:rPr>
          <w:sz w:val="20"/>
          <w:szCs w:val="20"/>
          <w:color w:val="auto"/>
        </w:rPr>
      </w:pPr>
      <w:r>
        <w:rPr>
          <w:rFonts w:ascii="Arial" w:cs="Arial" w:eastAsia="Arial" w:hAnsi="Arial"/>
          <w:sz w:val="16"/>
          <w:szCs w:val="16"/>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124"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we commit certain material breaches and fail to cure them (if such breach is curable), we are required to repurchase shares held by the Bill &amp; Melinda Gates Foundation.</w:t>
      </w:r>
    </w:p>
    <w:p>
      <w:pPr>
        <w:spacing w:after="0" w:line="6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we commit a specified material breach under the letter agreement with the Bill &amp; Melinda Gates Foundation, or BMGF, and such breach remains uncured after a specified period of time (if curable), we are required to either (i) repurchase the shares held by BMGF or locate a third party to purchase the shares from BMGF, in either case at a price that is the greater of the original purchase price or the fair market value of the shares at the time of repurchase, or (ii) if we cannot meet the requirements under (i) (e.g., because we do not have sufficient cash reserves), then we must use our best efforts to effect BMGF’s withdrawal right as soon as practicable, which may mean acquiring the shares in tranches over time. If we are required to repurchase BMGF’s shares, our financial position could be materially and adversely affected.</w:t>
      </w:r>
    </w:p>
    <w:p>
      <w:pPr>
        <w:spacing w:after="0" w:line="28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certain of our clinical product supplies, and we may have to rely on third parties to produce and process our product candidates, if approved.</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Although we expect to continue using our own clinical manufacturing facilities, we may need to rely on outside vendors to manufacture supplies and process our product candidates. We have not yet caused our product candidates to be manufactured or processed on a commercial scale and may not be able to achieve commercial-scale manufacturing and processing and may be unable to create an inventory of mass-produced, off-the-shelf product to satisfy demands for our product candidates.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reliance on a limited number of third-party manufacturers exposes us to the following risks:</w:t>
      </w:r>
    </w:p>
    <w:p>
      <w:pPr>
        <w:spacing w:after="0" w:line="131" w:lineRule="exact"/>
        <w:rPr>
          <w:sz w:val="20"/>
          <w:szCs w:val="20"/>
          <w:color w:val="auto"/>
        </w:rPr>
      </w:pPr>
    </w:p>
    <w:p>
      <w:pPr>
        <w:ind w:left="1180" w:hanging="436"/>
        <w:spacing w:after="0" w:line="259"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92"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CMOs may not be able to execute our manufacturing procedures appropriately;</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future CMOs may not perform as agreed or may not remain in the contract manufacturing business for the time required to supply our clinical trials or to successfully produce, store and distribute our products;</w:t>
      </w:r>
    </w:p>
    <w:p>
      <w:pPr>
        <w:spacing w:after="0" w:line="75" w:lineRule="exact"/>
        <w:rPr>
          <w:rFonts w:ascii="Arial" w:cs="Arial" w:eastAsia="Arial" w:hAnsi="Arial"/>
          <w:sz w:val="18"/>
          <w:szCs w:val="18"/>
          <w:color w:val="auto"/>
        </w:rPr>
      </w:pPr>
    </w:p>
    <w:p>
      <w:pPr>
        <w:ind w:left="1180" w:right="560" w:hanging="436"/>
        <w:spacing w:after="0" w:line="259"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third-party manufacturers’ compliance with these regulations and standards;</w:t>
      </w:r>
    </w:p>
    <w:p>
      <w:pPr>
        <w:spacing w:after="0" w:line="92"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 with us;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CMOs would also be subject to the same risks we face in developing our own manufacturing capabilities, as described above.</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of these risks could delay our clinical trials, the approval, if any, of our product candidates by the FDA or regulatory authorities in other jurisdictions or the commercialization of our product candidates, or result in higher costs or deprive us of potential product sales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29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dependent on single-source suppliers for some of the components and materials used in, and the processes required to develop, our product candidates.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currently depend on single-source suppliers for some of the components and materials used in, and manufacturing processes required to develop,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product candidates.</w:t>
      </w:r>
    </w:p>
    <w:p>
      <w:pPr>
        <w:spacing w:after="0" w:line="18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addition, as part of the FDA’s approval of our product candidates, we will also require FDA review of the individual components of our process, which include the manufacturing processes and facilities of our single-source suppliers.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reliance on these suppliers, service providers and manufacturers subjects us to a number of risks that could harm our reputation, business and financial condition, including, among other things:</w:t>
      </w:r>
    </w:p>
    <w:p>
      <w:pPr>
        <w:spacing w:after="0" w:line="76"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to the development timelines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180" w:right="92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components from alternative suppliers, and corresponding regulatory qualifications;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 in delivery due to our suppliers’ prioritizing other customer orders over ours;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any of these risks materialize, costs could significantly increase and our ability to meet demand for our products could be impacted.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our efforts to obtain, maintain, protect, defend and/or enforce the intellectual property related to our product candidates and technologies are not adequate, we may not be able to compete effectively in our market.</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commercial success depends in part on our ability to obtain, maintain, protect, defend and enforce patent and other intellectual property, including trade secret and know-how, protection for our product candidates, proprietary technologies and their uses,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United States and abroad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with similar technology, nor can there be any assurance that the patents issued will not be infringed, designed around, invalidated or held unenforceable. Furthermore, we may not be able to apply for patents on certain aspects of our current or future product candidates, proprietary technologies and their uses in a timely fashion, at a reasonable cost, in all jurisdictions, or at all, and any potential patent protection we obtain may not be sufficient to prevent substantial competition.</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 candidates, proprietary technologies (including methods of manufacture) and their uses. These risks and uncertainties include, from time to time, the following:</w:t>
      </w:r>
    </w:p>
    <w:p>
      <w:pPr>
        <w:spacing w:after="0" w:line="92" w:lineRule="exact"/>
        <w:rPr>
          <w:sz w:val="20"/>
          <w:szCs w:val="20"/>
          <w:color w:val="auto"/>
        </w:rPr>
      </w:pPr>
    </w:p>
    <w:p>
      <w:pPr>
        <w:ind w:left="1180" w:right="18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USPTO and various other governmental patent agencies require compliance with a number of procedural, documentary, fee payment and other provisions during the patent process,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spacing w:after="0" w:line="277" w:lineRule="auto"/>
        <w:rPr>
          <w:sz w:val="20"/>
          <w:szCs w:val="20"/>
          <w:color w:val="auto"/>
        </w:rPr>
      </w:pPr>
      <w:r>
        <w:rPr>
          <w:rFonts w:ascii="Arial" w:cs="Arial" w:eastAsia="Arial" w:hAnsi="Arial"/>
          <w:sz w:val="18"/>
          <w:szCs w:val="18"/>
          <w:color w:val="auto"/>
        </w:rPr>
        <w:t>noncompliance with which can result in abandonment or lapse of a patent or patent application or a finding that a patent is unenforceable, and partial or complete loss of patent rights in the relevant jurisdiction;</w:t>
      </w:r>
    </w:p>
    <w:p>
      <w:pPr>
        <w:spacing w:after="0" w:line="76"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own (solely or jointly) or have in-licensed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sell, import or otherwise exploit our product candidates or other technologies;</w:t>
      </w:r>
    </w:p>
    <w:p>
      <w:pPr>
        <w:spacing w:after="0" w:line="86"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parties may have designed around our patent claims or developed technologies that may be related or competitive to our product candidates or other technologies, may have filed or may file patent applications and may have received or may receive patents that overlap or conflict with our patent filings, either by claiming the same or overlapping methods, products, reagents or devices or by claiming subject matter that could dominate one or more of our patent claims;</w:t>
      </w:r>
    </w:p>
    <w:p>
      <w:pPr>
        <w:spacing w:after="0" w:line="92"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w:t>
      </w:r>
    </w:p>
    <w:p>
      <w:pPr>
        <w:spacing w:after="0" w:line="86"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86"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 court or other patent proceeding, such as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86" w:lineRule="exact"/>
        <w:rPr>
          <w:rFonts w:ascii="Arial" w:cs="Arial" w:eastAsia="Arial" w:hAnsi="Arial"/>
          <w:sz w:val="18"/>
          <w:szCs w:val="18"/>
          <w:color w:val="auto"/>
        </w:rPr>
      </w:pPr>
    </w:p>
    <w:p>
      <w:pPr>
        <w:jc w:val="both"/>
        <w:ind w:left="1180" w:right="34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6" w:lineRule="exact"/>
        <w:rPr>
          <w:rFonts w:ascii="Arial" w:cs="Arial" w:eastAsia="Arial" w:hAnsi="Arial"/>
          <w:sz w:val="18"/>
          <w:szCs w:val="18"/>
          <w:color w:val="auto"/>
        </w:rPr>
      </w:pPr>
    </w:p>
    <w:p>
      <w:pPr>
        <w:ind w:left="1180" w:right="70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Congress of the United States and in international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not protect intellectual property rights to the same extent as U.S. laws, and those countries may lack adequate rules and procedures for granting, maintaining, protecting, defending and enforcing our intellectual property rights.</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Furthermore, the patent prosecution process is also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6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w:t>
      </w:r>
    </w:p>
    <w:p>
      <w:pPr>
        <w:spacing w:after="0" w:line="175"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6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future protection for our intellectual property and other proprietary rights is uncertain, and we cannot ensure that:</w:t>
      </w:r>
    </w:p>
    <w:p>
      <w:pPr>
        <w:spacing w:after="0" w:line="131" w:lineRule="exact"/>
        <w:rPr>
          <w:sz w:val="20"/>
          <w:szCs w:val="20"/>
          <w:color w:val="auto"/>
        </w:rPr>
      </w:pPr>
    </w:p>
    <w:p>
      <w:pPr>
        <w:ind w:left="1180" w:right="58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 and other technologies;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were the first to make the inventions covered by each of the patents and pending patent applications that we own or license;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our co-owners or our licensors were the first to file patent applications for these inventions;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will not develop similar or alternative products or technologies that do not infringe the patents we own or license;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 candidates and other technologies or will provide us with any competitive advantages;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30" w:lineRule="exact"/>
        <w:rPr>
          <w:rFonts w:ascii="Arial" w:cs="Arial" w:eastAsia="Arial" w:hAnsi="Arial"/>
          <w:sz w:val="18"/>
          <w:szCs w:val="18"/>
          <w:color w:val="auto"/>
        </w:rPr>
      </w:pPr>
    </w:p>
    <w:p>
      <w:pPr>
        <w:ind w:left="1180" w:right="160" w:hanging="436"/>
        <w:spacing w:after="0" w:line="34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development and commercialization activities, including our manufacturing processes, or products will not infringe upon the patents of our competitors or any other third parties, including any non-practicing entities or patent assertion entities.</w:t>
      </w:r>
    </w:p>
    <w:p>
      <w:pPr>
        <w:spacing w:after="0" w:line="27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intellectual property rights or may assert intellectual property rights that prevent us from developing and commercializing our product candidates and other technologies.</w:t>
      </w:r>
    </w:p>
    <w:p>
      <w:pPr>
        <w:spacing w:after="0" w:line="62"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practice in new and evolving scientific fields, the continued development and potential use of which has resulted in many different patents and patent applications from organizations and individuals seeking to obtain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 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8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We expect that our competitors and other third parties will institute litigation and other proceedings, such as interference, reexamination and opposition proceedings, as well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and post-grant review proceedings against us and the patents and patent applications that we own and in-license. We expect that we will be subject to similar proceedings or priority disputes, including oppositions, in Europe or other foreign jurisdictions relating to patents and patent applications in our portfolio.</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If we, our co-owners or our licensors are unsuccessful in any interference proceedings or other priority or validity disputes, including any derivations,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There are many issued and pending patent filings that claim aspects of technologies that we may need for our mRNA product candidates or other product candidates, including patent filings that relate to relevant delivery technologies. There 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280"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We may not be successful in obtaining, maintaining, protecting or defending the necessary intellectual property rights to allow us to identify and develop product candidates, product components and manufacturing processes for our development pipeline.</w:t>
      </w:r>
    </w:p>
    <w:p>
      <w:pPr>
        <w:spacing w:after="0" w:line="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currently have rights to certain intellectual property, through our owned and in-licensed patents and other intellectual property rights, relating to identification and development of our product candidates or other technologies. As our pipeline may involve additional product candidates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6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For example, we sometimes collaborate with academic institutions in certain aspects of our preclinical research or development under written agreements with these institutions. Typically, these institutions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w:t>
      </w:r>
    </w:p>
    <w:p>
      <w:pPr>
        <w:spacing w:after="0" w:line="19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lifespans of our patents may not be sufficient to effectively protect our product candidates, technologies and business.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assuming maintenance fees are timely paid after the patent has issued. Most foreign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15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1"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are heavily reliant upon licenses to certain intellectual property and other proprietary rights from third parties that are important or necessary to the development and commercialization of our technology and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any or all of our licenses.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third parties, or such activities, if controlled by us, may require the input of such third parties. In some cases, patent prosecution of our in-licensed intellectual property is controlled solely by the licensor. We may also require the cooperation of our licensors and collaborators to enforce or defend any in-licensed patent rights, and such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Any of the foregoing could have a material adverse effect on our competitive position, business, financial conditions, results of operations and prospects.</w:t>
      </w:r>
    </w:p>
    <w:p>
      <w:pPr>
        <w:spacing w:after="0" w:line="16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Moreover, any failure to satisfy obligations or any material breach under any of our licenses to third-party intellectual property could give the licensor the right to terminate the license. Our existing license agreements impose, and we expect that future license agreements will impose, various diligence, milestone and royalty payment, exclusivity and other obligations on us. If we fail to comply with our obligations under these agreements, or we are subject to a bankruptcy, the licensor may have the right to terminate the license agreement, in which event we would not be able to develop, market and commercialize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and commercialize the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terminated, or if the underlying patents or other intellectual property fail to provide the intended exclusivity, competitors would have the freedom to seek regulatory approval of, and to market and commercialize, products similar or identical to ours.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5"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market and commercialize our product candidates could suffer. Moreover, if disputes over intellectual property that we have in-licensed prevent or impair our ability to maintain our current licensing arrangements on commercially acceptable terms, we may be unable to successfully develop, market and commercialize the affected product candidates, which could have a material adverse effect on our business, financial condition, results of operations and prospects.</w:t>
      </w:r>
    </w:p>
    <w:p>
      <w:pPr>
        <w:spacing w:after="0" w:line="30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7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Certain intellectual property rights that have been in-licensed, including patent applications and patents that we in-license from the University of Pennsylvania and the Louisiana State University, have been generated through the use of U.S. government funding and are therefore subject to certain federal regulations. As a result,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U.S. government may have certain rights to intellectual property embodied in our current or future product candidates pursuant to the Bayh-Dole Act of 1980, or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also has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178"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are unable to comply with these manufacturing requirements, we may experience a material adverse effect on our competitive position, business, financial conditions, results of operations and prospects.</w:t>
      </w:r>
    </w:p>
    <w:p>
      <w:pPr>
        <w:spacing w:after="0" w:line="29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b w:val="1"/>
          <w:bCs w:val="1"/>
          <w:i w:val="1"/>
          <w:iCs w:val="1"/>
          <w:color w:val="auto"/>
        </w:rPr>
        <w:t>Our current proprietary position for certain product candidates depends upon our owned or in-licensed patent filings covering components of such product candidates, manufacturing-related methods, formulations and/or methods of use, which may not adequately prevent a competitor or other third party from using the same product candidate for the same or a different use.</w:t>
      </w:r>
    </w:p>
    <w:p>
      <w:pPr>
        <w:spacing w:after="0" w:line="7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Composition of matter patent protection is generally considered to be desirable because it provides protection without regard to any particular method of use or manufacture or formulation. While we have obtained patent protection covering components of certain product candidates, manufacturing-related methods, formulations and/or methods of use, we do not currently have any claims in our owned or in-licensed issued U.S. patents that cover, for example, the overall construct used in our iNeST product candidates, and we cannot be certain that claims in any future patents issuing from our pending owned or in-licensed patent applications or our future owned or in-licensed patent applications will cover the composition of matter of our current or future product candidates.</w:t>
      </w:r>
    </w:p>
    <w:p>
      <w:pPr>
        <w:spacing w:after="0" w:line="193"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w:t>
      </w:r>
    </w:p>
    <w:p>
      <w:pPr>
        <w:spacing w:after="0" w:line="62"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Because our product candidates are still in early developmental stages, and one or more features of the product candidates or related technologies such as their manufacture, formulation or use, may still change, we cannot be confident that we are aware of all third-party intellectual property that might be relevant to products 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is submitted.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patent claims that cover our products or critical features of their production or use. We may not be able to commercialize our products if patents issued to third parties or other third-party intellectual property rights cover, or may be alleged to cover, our products or elements thereof, or their methods of manufacture or use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at all, and design-around could be prohibitively expensive or impossible.</w:t>
      </w:r>
    </w:p>
    <w:p>
      <w:pPr>
        <w:spacing w:after="0" w:line="17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It is also possible that we have failed to identify relevant third-party patents that cover, or applications that will mature into patents that cover, one or more aspects of our platform or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27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73"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 xml:space="preserve">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reexaminations,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corresponding European and other non-U.S. patent offices. 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against issued U.S. patents and opposition proceedings against European patents owned by third parties in the field of immunotherapy. We have a number of these opposition proceedings ongoing at the European Patent Office against third-party patents related to mRNA technologies. As the biotechnology and pharmaceutical industries expand and more patents are issued, the risk increases that our product candidates may be subject to claims of infringement of the patent rights of third parties.</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addition, in a patent infringement proceeding, our owned or in-licensed patents may be challenged and a court may decide that a patent we own or in-license is not valid, is unenforceable and/or is not infringed. If we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competitive position, business, financial conditions, results of operations and prospects.</w:t>
      </w:r>
    </w:p>
    <w:p>
      <w:pPr>
        <w:spacing w:after="0" w:line="173"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Third parties, ranging from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methods of manufacture or methods for treatment related to the use, development, manufacture or commercialization of our product candidates. As patent applications can take many years to issue, there may be currently pending patent applications which may later result in issued patents that our product candidates may infringe. In addition, third parties may obtain patents in the future and claim that our technologies infringe upon these patents. If any third-party patents were held by a court of competent jurisdiction to cover the manufacturing process of any of our product candidates, any molecules formed during the manufacturing process or any final product itself, the holders of any such patents may obtain injunctive or other equitable relief, which could effectively block our ability to develop and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 or may be non-exclusive.</w:t>
      </w:r>
    </w:p>
    <w:p>
      <w:pPr>
        <w:spacing w:after="0" w:line="16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collaborations that would help us bring our product candidates to market.</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we can because of their greater financial resources. Uncertainties resulting from the initiation and continuation of patent litigation or other proceedings could compromise our ability to compete in the marketplace.</w:t>
      </w:r>
    </w:p>
    <w:p>
      <w:pPr>
        <w:spacing w:after="0" w:line="170"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14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 candidates, which could limit our ability to generate revenues or achieve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89"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it could have a material adverse effect on the price of the ADSs.</w:t>
      </w:r>
    </w:p>
    <w:p>
      <w:pPr>
        <w:spacing w:after="0" w:line="280"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to seeking patent protection for some of our technology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and development processes that involve proprietary know-how, information or technology that is not covered by patents. However, trade secrets and know-how may be difficult to protect.</w:t>
      </w:r>
    </w:p>
    <w:p>
      <w:pPr>
        <w:spacing w:after="0" w:line="17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Despite our best efforts, any of these parties may breach the agreements and we cannot be certain that our trade secrets and other confidential proprietary information will not be disclosed or that competitors will not otherwise gain access to our trade secrets or independently develop substantially equivalent information and techniques.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will not be able to establish or maintain a competitive advantage in our market, which could materially adversely affect our business, operating results, financial condition and prospects.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may in the future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The assignment of intellectual property rights may not be self-executing, or the assignment agreements may be breached. For example, we may have inventorship disputes arise from conflicting obligations of employees, consultants, independent contractors, collaborators or other third parties who are involved in developing and commercializing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Furthermore, the laws of some other countries do not protect intellectual property and other proprietary rights or establish ownership of inventions to the same extent or in the same manner as the laws of the United States. A majority of our employees work in Germany and are subject to German employment law. Ideas, developments, discoveries and inventions made by such employees and consultants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8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Filing, prosecuting and defending patents on product candidates and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marketing and commercialization of competing products in violation of our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right="380" w:firstLine="441"/>
        <w:spacing w:after="0" w:line="25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180" w:right="360" w:hanging="436"/>
        <w:spacing w:after="0" w:line="264"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be able to make personalized cancer immunotherapies that are similar to any product candidates we may develop and commercialize or utilize similar technologies that are not covered by the claims of the patents that we now or may in the future own or have exclusively in-licensed;</w:t>
      </w:r>
    </w:p>
    <w:p>
      <w:pPr>
        <w:spacing w:after="0" w:line="86"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make the inventions covered by the issued patents or pending patent applications that we own or have exclusively in-licensed;</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or those that we may own or in-license in the future will not lead to issued patents;</w:t>
      </w:r>
    </w:p>
    <w:p>
      <w:pPr>
        <w:spacing w:after="0" w:line="142" w:lineRule="exact"/>
        <w:rPr>
          <w:rFonts w:ascii="Arial" w:cs="Arial" w:eastAsia="Arial" w:hAnsi="Arial"/>
          <w:sz w:val="17"/>
          <w:szCs w:val="17"/>
          <w:color w:val="auto"/>
        </w:rPr>
      </w:pPr>
    </w:p>
    <w:p>
      <w:pPr>
        <w:ind w:left="1180" w:right="18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issued patents that we own or have exclusively in-licensed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180" w:right="540" w:hanging="436"/>
        <w:spacing w:after="0" w:line="308"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6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may be subject to additional healthcare regulation and enforcement by the U.S. federal government and by authorities in the United States, the European Union and other jurisdictions in which we conduct our business.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95" w:lineRule="exact"/>
        <w:rPr>
          <w:sz w:val="20"/>
          <w:szCs w:val="20"/>
          <w:color w:val="auto"/>
        </w:rPr>
      </w:pPr>
    </w:p>
    <w:p>
      <w:pPr>
        <w:ind w:left="1180" w:right="20" w:hanging="436"/>
        <w:spacing w:after="0" w:line="255"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94" w:lineRule="exact"/>
        <w:rPr>
          <w:rFonts w:ascii="Arial" w:cs="Arial" w:eastAsia="Arial" w:hAnsi="Arial"/>
          <w:sz w:val="18"/>
          <w:szCs w:val="18"/>
          <w:color w:val="auto"/>
        </w:rPr>
      </w:pPr>
    </w:p>
    <w:p>
      <w:pPr>
        <w:ind w:left="1180" w:right="20" w:hanging="436"/>
        <w:spacing w:after="0" w:line="25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93"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w:t>
      </w:r>
      <w:r>
        <w:rPr>
          <w:rFonts w:ascii="Arial" w:cs="Arial" w:eastAsia="Arial" w:hAnsi="Arial"/>
          <w:sz w:val="18"/>
          <w:szCs w:val="18"/>
          <w:i w:val="1"/>
          <w:iCs w:val="1"/>
          <w:color w:val="auto"/>
        </w:rPr>
        <w:t>e.g.</w:t>
      </w:r>
      <w:r>
        <w:rPr>
          <w:rFonts w:ascii="Arial" w:cs="Arial" w:eastAsia="Arial" w:hAnsi="Arial"/>
          <w:sz w:val="18"/>
          <w:szCs w:val="18"/>
          <w:color w:val="auto"/>
        </w:rPr>
        <w:t>, public or private).</w:t>
      </w:r>
    </w:p>
    <w:p>
      <w:pPr>
        <w:spacing w:after="0" w:line="86" w:lineRule="exact"/>
        <w:rPr>
          <w:rFonts w:ascii="Arial" w:cs="Arial" w:eastAsia="Arial" w:hAnsi="Arial"/>
          <w:sz w:val="18"/>
          <w:szCs w:val="18"/>
          <w:color w:val="auto"/>
        </w:rPr>
      </w:pPr>
    </w:p>
    <w:p>
      <w:pPr>
        <w:ind w:left="1180" w:right="100" w:hanging="436"/>
        <w:spacing w:after="0" w:line="312" w:lineRule="auto"/>
        <w:tabs>
          <w:tab w:leader="none" w:pos="1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52" w:lineRule="exact"/>
        <w:rPr>
          <w:rFonts w:ascii="Arial" w:cs="Arial" w:eastAsia="Arial" w:hAnsi="Arial"/>
          <w:sz w:val="16"/>
          <w:szCs w:val="16"/>
          <w:color w:val="auto"/>
        </w:rPr>
      </w:pPr>
    </w:p>
    <w:p>
      <w:pPr>
        <w:ind w:left="1180" w:right="12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180" w:right="440" w:hanging="436"/>
        <w:spacing w:after="0" w:line="286" w:lineRule="auto"/>
        <w:tabs>
          <w:tab w:leader="none" w:pos="1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70" w:lineRule="exact"/>
        <w:rPr>
          <w:rFonts w:ascii="Arial" w:cs="Arial" w:eastAsia="Arial" w:hAnsi="Arial"/>
          <w:sz w:val="17"/>
          <w:szCs w:val="17"/>
          <w:color w:val="auto"/>
        </w:rPr>
      </w:pPr>
    </w:p>
    <w:p>
      <w:pPr>
        <w:ind w:left="1180" w:right="40" w:hanging="436"/>
        <w:spacing w:after="0" w:line="302" w:lineRule="auto"/>
        <w:tabs>
          <w:tab w:leader="none" w:pos="1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5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as well as non-U.S. companies that are registered with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spacing w:after="0" w:line="312" w:lineRule="auto"/>
        <w:rPr>
          <w:sz w:val="20"/>
          <w:szCs w:val="20"/>
          <w:color w:val="auto"/>
        </w:rPr>
      </w:pPr>
      <w:r>
        <w:rPr>
          <w:rFonts w:ascii="Arial" w:cs="Arial" w:eastAsia="Arial" w:hAnsi="Arial"/>
          <w:sz w:val="16"/>
          <w:szCs w:val="16"/>
          <w:color w:val="auto"/>
        </w:rPr>
        <w:t>Securities and Exchange Commission, or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52" w:lineRule="exact"/>
        <w:rPr>
          <w:sz w:val="20"/>
          <w:szCs w:val="20"/>
          <w:color w:val="auto"/>
        </w:rPr>
      </w:pPr>
    </w:p>
    <w:p>
      <w:pPr>
        <w:ind w:left="1180" w:right="70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jurisdictions, including reporting requirements detailing interactions with and payments to healthcare providers.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73"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are subject to certain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9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policies and contractual obligations governing the use, processing, and cross-border transfer of personal information and our data privacy and security practices.</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receive, generate and store significant and increasing volumes of sensitive information, such as employee, personal and patient data. We are subject to a variety of local, state, national and international laws, directives and regulations that apply to the collection, use, storage, retention, protection, disclosure, transfer and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collection and use of personal health data in the European Union had previously been governed by the provisions of the Data Protection Directive, which has been replaced by the European Union General Data Protection Regulation, or GDPR. While the Data Protection Directive did not apply to organizations based outside the European Union, the GDPR has expanded its reach to include any business, regardless of its location, that provides goods or services to residents in the European Union. The GDPR imposes strict requirements on controllers and processors of personal data, including special protections for “sensitive information” which includes health and genetic information of data subjects residing in the European Union. The GDPR also imposes strict rules on the transfer of personal data out of the European Union to the United States and other countries. In addition, the GDPR provides that European Union member states may make their own further laws and regulations limiting the processing of personal data, including genetic, biometric or health data.</w:t>
      </w:r>
    </w:p>
    <w:p>
      <w:pPr>
        <w:spacing w:after="0" w:line="1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15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especially with regard to clinical trial conduct.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may be onerous and adversely affect our business, financial condition, results of operations and prospects. If we fail to comply with the GDPR and the applicable national data protection laws of the European Union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the United States, notice of breaches must be made to affected individuals and the U.S. Secretary of HHS, and for extensive breaches, notice may need to be made to the media or U.S. state Attorneys General. Such a notice could harm our reputation and our ability to compete. HHS has the discretion to impose penalties without attempting to resolve violations through informal means. In addition, U.S. state Attorneys General are authorized to bring civil actions seeking either injunctions or damages in response to violations that threaten the privacy of state residents.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8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9"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Risks Related to our Business</w:t>
      </w:r>
    </w:p>
    <w:p>
      <w:pPr>
        <w:spacing w:after="0" w:line="229"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senior management and scientific personnel.</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The loss of any of these persons’ services may adversely impact the achievement of our research, development, financing and commercialization objectives. We currently do not have “key person” insurance on any of our employees.</w:t>
      </w:r>
    </w:p>
    <w:p>
      <w:pPr>
        <w:spacing w:after="0" w:line="18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also will be critical to our success. Competition for skilled personnel, including in mRNA research, clinical operations, regulatory affairs, therapeutic area management and manufacturing,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failure to succeed in preclinical studies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300"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b w:val="1"/>
          <w:bCs w:val="1"/>
          <w:i w:val="1"/>
          <w:iCs w:val="1"/>
          <w:color w:val="auto"/>
        </w:rPr>
        <w:t>Our employees, principal investigators and consultants may engage in misconduct or other improper activities, including non-compliance with regulatory standards and requirements and insider trading, which could have an adverse effect on our results of operations.</w:t>
      </w:r>
    </w:p>
    <w:p>
      <w:pPr>
        <w:spacing w:after="0" w:line="16"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are exposed to the risk of fraud or other misconduct by our employees, principal investigators and consultants. Misconduct by these parties could include intentional failures to comply with FDA regulations or the regulations applicable in the European Union and other jurisdictions, provide accurate information to the FDA,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EMA and other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litigation and unfavorable publicity could negatively affect our future business.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2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b w:val="1"/>
          <w:bCs w:val="1"/>
          <w:i w:val="1"/>
          <w:iCs w:val="1"/>
          <w:color w:val="auto"/>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7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to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GDPR and relevant member state law in the European Union, and HIPAA and other relevant state and federal privacy laws in the United States.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While we have not experienced any material system failures, accidents or security breaches to date, we and a vendor have separately in the past been subject to a security breach resulting in us unknowingly making payments to third parties that were able to gain unauthorized access to our and the vendor’s email systems. We have since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continuity and disaster recovery plans may not adequately protect us from a serious disaster.</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recognize the need for, and are in the early stages of, developing disaster recovery, business continuity and document retention plans that would allow us to be operational despite casualties or unforeseen events impacting our corporate headquarters or distribution center. Without disaster recovery, business continuity and document retention plans, if we encounter difficulties or disasters with our manufacturing facilities or at our corporate headquarters, our critical systems, operations and information may not be restored in a timely manner, or at all, and this could have an adverse effect on our business.</w:t>
      </w:r>
    </w:p>
    <w:p>
      <w:pPr>
        <w:spacing w:after="0" w:line="29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our current or future product candidates.</w:t>
      </w:r>
    </w:p>
    <w:p>
      <w:pPr>
        <w:spacing w:after="0" w:line="6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92" w:lineRule="exact"/>
        <w:rPr>
          <w:sz w:val="20"/>
          <w:szCs w:val="20"/>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substantial monetary awards to patients, healthy volunteers or their children;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carry clinical trial insurance, including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price of the ADS to decline and, if judgments exceed our insurance coverage, could adversely affect our results of operations and business.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our products become subject to a product recall it could harm our reputation, business and financial results.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 Recalls of any of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If we engage in future acquisitions, joint ventures or collaborations, this may increase our capital requirements, dilute our shareholders, cause us to incur debt or assume contingent liabilities, and subject us to other risks. We may not realize the benefits of these acquisitions, joint ventures or collaborations.</w:t>
      </w:r>
    </w:p>
    <w:p>
      <w:pPr>
        <w:spacing w:after="0" w:line="73"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52" w:lineRule="exact"/>
        <w:rPr>
          <w:sz w:val="20"/>
          <w:szCs w:val="20"/>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if we undertake acquisitions, we may utilize our cash,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the ADSs and this Offering</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The price of the ADSs may be volatile and fluctuate substantially, which could result in substantial losses for purchasers of the ADSs in this offering.</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market price of the ADSs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the ADSs at or above the initial public offering price. The market price for the ADSs may be influenced by many factors, including:</w:t>
      </w:r>
    </w:p>
    <w:p>
      <w:pPr>
        <w:spacing w:after="0" w:line="92" w:lineRule="exact"/>
        <w:rPr>
          <w:sz w:val="20"/>
          <w:szCs w:val="20"/>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numerous programs in our pipeline, the development of which could each generate news or significant adverse events that could impact financial results or recommendations by securities analysts.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our semi-annual or annual results fall below the expectations of investors or securities analysts, the price of the ADSs could decline substantially. Furthermore, any semi-annual or annual fluctuations in our results may, in turn, cause the price of the ADSs to fluctuate substantially. We believe that period-to-period comparisons of our results are not necessarily meaningful and should not be relied upon as an indication of our future performance.</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274" w:lineRule="exact"/>
        <w:rPr>
          <w:sz w:val="20"/>
          <w:szCs w:val="20"/>
          <w:color w:val="auto"/>
        </w:rPr>
      </w:pPr>
    </w:p>
    <w:p>
      <w:pPr>
        <w:jc w:val="both"/>
        <w:ind w:left="200" w:right="220"/>
        <w:spacing w:after="0" w:line="302"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46"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as defined in the Jumpstart Our Business Startups Act of 2012, or the JOBS Act, we will incur significant legal, accounting and other expenses that we did not incur as a private company. In addition, the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8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Pursuant to Section 404 of the Sarbanes-Oxley Act, or Section 404, we will be required to furnish a report by our management on our internal control over financial reporting, including the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our annual filings with</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4" w:lineRule="auto"/>
        <w:rPr>
          <w:sz w:val="20"/>
          <w:szCs w:val="20"/>
          <w:color w:val="auto"/>
        </w:rPr>
      </w:pPr>
      <w:r>
        <w:rPr>
          <w:rFonts w:ascii="Arial" w:cs="Arial" w:eastAsia="Arial" w:hAnsi="Arial"/>
          <w:sz w:val="18"/>
          <w:szCs w:val="18"/>
          <w:color w:val="auto"/>
        </w:rPr>
        <w:t>the SEC.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92"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auto"/>
        </w:rPr>
        <w:t>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w:t>
      </w:r>
    </w:p>
    <w:p>
      <w:pPr>
        <w:spacing w:after="0" w:line="290" w:lineRule="exact"/>
        <w:rPr>
          <w:sz w:val="20"/>
          <w:szCs w:val="20"/>
          <w:color w:val="auto"/>
        </w:rPr>
      </w:pPr>
    </w:p>
    <w:p>
      <w:pPr>
        <w:ind w:left="200" w:right="460"/>
        <w:spacing w:after="0" w:line="31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may identify additional material weaknesses in the future that may cause us to fail to meet our reporting obligations or result in material misstatements in our financial statements. If we fail to remediate our material weakness, we may not be able to report our financial results accurately or to prevent fraud.</w:t>
      </w:r>
    </w:p>
    <w:p>
      <w:pPr>
        <w:spacing w:after="0" w:line="3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Prior to this offering, we have operated as a private company that was not required to comply with the obligations of a public company with respect to internal control over financial reporting. We have historically operated with limited accounting personnel and other resources with which to address our internal control over financial reporting.</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In connection with the audit of our 2018 and 2017 financial statements in preparation for this offering, we and our auditors identified a material weakness primarily related to (i) a lack of sufficient accounting and supervisory personnel who have the appropriate level of technical accounting experience and training, (ii) a lack of supervision over external consultants and (iii) a lack of consistent application of accounting processes and procedures by our accounting personnel. These deficiencies constitute a material weakness in our internal control over financial reporting in both design and operation. As a result of the material weakness, management failed to identify audit adjustments in various areas, including but not limited to revenue, capitalization of tangible and intangible assets, and share-based compensation. We have relied on the assistance of outside advisors with expertise in these matters to assist us in the preparation of our financial statements and in our compliance with SEC reporting obligations related to this offering, and we expect to continue to do so while we remediate this material weakness.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have begun to develop a remediation plan to address the material weakness; however, our overall control environment is still immature and may expose us to errors, losses or fraud. Our remediation plan includes the hiring of additional staff. Additionally, we intend to document and implement consistent accounting policies and procedures and provide additional training to our accounting and finance staff. While we are working to remediate the material weakness as quickly and efficiently as possible,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this material weakness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ADSs to decline.</w:t>
      </w:r>
    </w:p>
    <w:p>
      <w:pPr>
        <w:spacing w:after="0" w:line="29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and the ADSs less attractive to investors.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an “emerging growth company” under the JOBS Act, and we will remain an emerging growth company until the earlier of:</w:t>
      </w:r>
    </w:p>
    <w:p>
      <w:pPr>
        <w:spacing w:after="0" w:line="131"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$1.07 billion;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previous three years;</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as of the last business day of our most recently completed second fiscal quarter, the market value of our common equity held by non-affiliates exceeds $700 million; and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completion of this offering.</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For so long as we remain an emerging growth company, we are permitted and intend to rely on exemptions from certain disclosure requirements that are applicable to public companies that are not emerging growth companies. These exemptions include:</w:t>
      </w:r>
    </w:p>
    <w:p>
      <w:pPr>
        <w:spacing w:after="0" w:line="76" w:lineRule="exact"/>
        <w:rPr>
          <w:sz w:val="20"/>
          <w:szCs w:val="20"/>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1180" w:right="220" w:hanging="436"/>
        <w:spacing w:after="0" w:line="264"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emerging growth company. We cannot predict whether investors will find the ADSs less attractive if we rely on certain or all of these exemptions. If some investors find the ADSs less attractive as a result, there may be a less active trading market for the ADSs and the price per ADS may be more volatile.</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This allows an emerging growth</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24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company to delay the adoption of certain accounting standards until those standards would otherwise apply to private companies. Such provisions are only applicable under U.S. GAAP. As a result, we will adopt new or revised accounting standards on the relevant dates on which adoption of such standards is required or permitted by the IASB.</w:t>
      </w:r>
    </w:p>
    <w:p>
      <w:pPr>
        <w:spacing w:after="0" w:line="28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as well as Nasdaq rules, and we are permitted to file less information with the SEC than are U.S. companies. This may limit the information available to holders of the ADSs and may make our ordinary shares and the ADSs less attractive to investors.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foreign private issuer, we will file an annual report on Form 20-F within four months of the close of each fiscal year ending December 31 and reports on Form 6-K relating to certain material events promptly after we publicly announce these events. Additionally, we rely on a provision in the Nasdaq Stock Market’s Listed Company Manual that allows us to follow German company law and European law applicable to European stock corporations in general and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the Council Regulation (EC) No 2157/2001 of October 8, 2001 on the Statute for a European company (SE), or the SE Regulation, and the German Act on the Implementation of Council Regulation (EC) No 2157/2001 of October 8, 2001 on the Statute for a European company (SE) (</w:t>
      </w:r>
      <w:r>
        <w:rPr>
          <w:rFonts w:ascii="Arial" w:cs="Arial" w:eastAsia="Arial" w:hAnsi="Arial"/>
          <w:sz w:val="17"/>
          <w:szCs w:val="17"/>
          <w:i w:val="1"/>
          <w:iCs w:val="1"/>
          <w:color w:val="auto"/>
        </w:rPr>
        <w:t>Gesetz zur Ausführung der Verordnung</w:t>
      </w:r>
      <w:r>
        <w:rPr>
          <w:rFonts w:ascii="Arial" w:cs="Arial" w:eastAsia="Arial" w:hAnsi="Arial"/>
          <w:sz w:val="17"/>
          <w:szCs w:val="17"/>
          <w:color w:val="auto"/>
        </w:rPr>
        <w:t xml:space="preserve"> (EG) NR. 2157/2001 </w:t>
      </w:r>
      <w:r>
        <w:rPr>
          <w:rFonts w:ascii="Arial" w:cs="Arial" w:eastAsia="Arial" w:hAnsi="Arial"/>
          <w:sz w:val="17"/>
          <w:szCs w:val="17"/>
          <w:i w:val="1"/>
          <w:iCs w:val="1"/>
          <w:color w:val="auto"/>
        </w:rPr>
        <w:t>des Rates vom 8. Oktober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2001 über das Statut der Europäischen Gesellschaft </w:t>
      </w:r>
      <w:r>
        <w:rPr>
          <w:rFonts w:ascii="Arial" w:cs="Arial" w:eastAsia="Arial" w:hAnsi="Arial"/>
          <w:sz w:val="17"/>
          <w:szCs w:val="17"/>
          <w:color w:val="auto"/>
        </w:rPr>
        <w:t>(SE)) (SE-</w:t>
      </w:r>
      <w:r>
        <w:rPr>
          <w:rFonts w:ascii="Arial" w:cs="Arial" w:eastAsia="Arial" w:hAnsi="Arial"/>
          <w:sz w:val="17"/>
          <w:szCs w:val="17"/>
          <w:i w:val="1"/>
          <w:iCs w:val="1"/>
          <w:color w:val="auto"/>
        </w:rPr>
        <w:t>Ausführungsgesetz</w:t>
      </w:r>
      <w:r>
        <w:rPr>
          <w:rFonts w:ascii="Arial" w:cs="Arial" w:eastAsia="Arial" w:hAnsi="Arial"/>
          <w:sz w:val="17"/>
          <w:szCs w:val="17"/>
          <w:color w:val="auto"/>
        </w:rPr>
        <w:t>—SEAG), in particular with regard to certain aspects of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This allows us to follow certain corporate governance practices that differ in significant respects from the corporate governance requirements applicable to U.S. companies listed on Nasdaq.</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 we are exempt from regulations of Nasdaq that require a listed U.S. company to:</w:t>
      </w:r>
    </w:p>
    <w:p>
      <w:pPr>
        <w:spacing w:after="0" w:line="131"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adopt a code of conduct and promptly disclose any waivers of the code for directors or executive officers that should address certain specified items;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an independent compensation committee;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an independent nominating committee;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 foreign private issuer, we are permitted to follow home country practice in lieu of the above requirements. We therefore intend to continue to follow German corporate governance practices in lieu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corporate governance requirements of Nasdaq in certain respects. In particular, we intend to follow German corporate governance practices in connection with the distribution of annual and interim reports to shareholders, the application of our code of conduct to our Supervisory Board, proxy solicitation in connection with shareholders’ meetings, and obtaining shareholder approval in connection with the establishment of or material amendment to certain equity-based compensation plans.</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accordance with our Nasdaq listing, 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the Nasdaq applicable to listed U.S. companies, including an affirmative determination that all members of the audit committee are “independent,” using more stringent criteria than those applicable to us as a foreign private issuer.</w:t>
      </w:r>
    </w:p>
    <w:p>
      <w:pPr>
        <w:spacing w:after="0" w:line="154"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8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ordinary shares after this offering will be restricted from immediate resale but may be sold in the near future. The large number of shares eligible for sale or subject to rights requiring us to register them for sale could cause the market price of the ADSs to drop significantly, even if our business is performing well.</w:t>
      </w:r>
    </w:p>
    <w:p>
      <w:pPr>
        <w:spacing w:after="0" w:line="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Sales of a substantial number of ordinary shares or the ADSs could occur at any time, subject to certain restrictions described below. These sales, or the perception in the market that holders of a large number of shares intend to sell shares, could reduce the market price of the ADSs. Based on the number of our ordinary shares outstanding as of June 30, 2019, we will have 226,262,336 ordinary shares outstanding after this offering (or 227,762,336 ordinary shares if the underwriters exercise their option to purchase additional ADSs in full).</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our initial public offering, we, all of our directors and officers, and substantially all of our shareholders have entered into lock-up agreements with the underwriters and/or are subject to market standoff agreements or other agreements with us under which we and they agreed, subject to specific exceptions, not to sell any of our shares for at least 180 days following the date of our initial public offering. The remaining ordinary shares will be available for sale after this offering since they are not subject to contractual and legal restrictions on resale. Any or all of the shares subject to lock-up agreements may be released prior to the expiration of the lock-up period at the discretion of the lead underwriters for this offering. To the extent shares are released before the expiration of the lock-up period and these shares are sold into the market, the market price of the ADSs could decline.</w:t>
      </w:r>
    </w:p>
    <w:p>
      <w:pPr>
        <w:spacing w:after="0" w:line="18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of 1933, as amended, or the Securities Act, to register all ordinary shares issued or issuable under our equity plans. Any such Form S-8 registration statements will automatically become effective upon filing. Accordingly, shares registered under such registration statements will be available for sale in the open market following the expiration of the applicable lock-up period. See “Shares and ADSs Eligible for Future Sale” appearing elsewhere in this prospectus for a more detailed description of the restrictions on selling shares.</w:t>
      </w:r>
    </w:p>
    <w:p>
      <w:pPr>
        <w:spacing w:after="0" w:line="18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for you to sell the ADSs.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ADSs in this offering, you will incur immediate and substantial dilution in the book value of your investment.</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You will suffer immediate and substantial dilution in the net tangible book value of the ADSs if you purchase ADSs in this offering. Based on an assumed initial public offering price of $15.50 per ADS, which is the midpoint of the price range set forth on the cover page of this prospectus, after giving effect to this offering, purchasers of ADSs in this offering will experience immediate dilution in net tangible book value of $13.18 per ADS. In addition, after giving effect to this offering, investors purchasing ADSs in this offering will contribute 15.1% of the total amount invested by shareholders since inception but will only own 4.4% of the ordinary shares outstanding. See “Dilution” for a more detailed description of the dilution to new investors in the offering.</w:t>
      </w:r>
    </w:p>
    <w:p>
      <w:pPr>
        <w:spacing w:after="0" w:line="30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Holders of the ADSs are not treated as shareholders of our company and will not have the same voting rights as our shareholders, which may affect the value of the ADSs.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By participating in this offering, you will become a holder of ADSs with underlying ordinary shares in a European stock corporation (</w:t>
      </w:r>
      <w:r>
        <w:rPr>
          <w:rFonts w:ascii="Arial" w:cs="Arial" w:eastAsia="Arial" w:hAnsi="Arial"/>
          <w:sz w:val="17"/>
          <w:szCs w:val="17"/>
          <w:i w:val="1"/>
          <w:iCs w:val="1"/>
          <w:color w:val="auto"/>
        </w:rPr>
        <w:t>Societas</w:t>
      </w:r>
      <w:r>
        <w:rPr>
          <w:rFonts w:ascii="Arial" w:cs="Arial" w:eastAsia="Arial" w:hAnsi="Arial"/>
          <w:sz w:val="17"/>
          <w:szCs w:val="17"/>
          <w:color w:val="auto"/>
        </w:rPr>
        <w:t xml:space="preserve"> </w:t>
      </w:r>
      <w:r>
        <w:rPr>
          <w:rFonts w:ascii="Arial" w:cs="Arial" w:eastAsia="Arial" w:hAnsi="Arial"/>
          <w:sz w:val="17"/>
          <w:szCs w:val="17"/>
          <w:i w:val="1"/>
          <w:iCs w:val="1"/>
          <w:color w:val="auto"/>
        </w:rPr>
        <w:t>Europaea</w:t>
      </w:r>
      <w:r>
        <w:rPr>
          <w:rFonts w:ascii="Arial" w:cs="Arial" w:eastAsia="Arial" w:hAnsi="Arial"/>
          <w:sz w:val="17"/>
          <w:szCs w:val="17"/>
          <w:color w:val="auto"/>
        </w:rPr>
        <w:t>). Holders of ADSs are not treated as our shareholders unless they withdraw the ordinary shares underlying the ADSs from the depositary,</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the holder of the ordinary shares underlying the ADSs. Holders of ADSs, therefore, do not have any rights as shareholders of our company, other than the rights that they have pursuant to the deposit agreement. As such, holders of ADSs will not be able to directly vote underlying ordinary shares. Holders of ADSs may instruct the depositary how to vote the ordinary shares underlying their ADSs. If we ask it to, the depositary will send out information about shareholder meetings and solicit voting instructions and will try to carry out voting instructions it receives. However, we are not required to instruct the depositary to take action with respect to shareholder meetings. If we do not do so, holders of the ADSs can still send voting instructions to the depositary, and the depositary may try to carry out those instructions, but it is not required to do so. Holders of the ADSs may not become aware of shareholder meetings if the depositary does not send out information. Even if the depositary does solicit voting instructions, holders of ADSs may not receive the information in time. As a result of these factors, holders of ADSs may not be able to effectively exercise voting rights that they would have if they held our ordinary shares directly.</w:t>
      </w:r>
    </w:p>
    <w:p>
      <w:pPr>
        <w:spacing w:after="0" w:line="29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If we sell our ordinary shares or ADSs in future financings, holders of ADSs may experience immediate dilution and, as a result, the price of the ADSs may decline.</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may from time to time issue additional ordinary shares or ADSs at a discount from the current trading price of our ordinary shares or ADSs. As a result, holders of ADSs would experience further immediate dilution upon the purchase of any ordinary shares or ADSs sold at such discount. In addition, as opportunities present themselves, we may enter into financing or similar arrangements in the future, including the issuance of debt securities, ordinary shares or ADSs. If we issue ordinary shares or securities convertible or exchangeable into ordinary shares, such as ADSs, holders of the ADSs would experience additional dilution and, as a result, the price of the ADSs may decline.</w:t>
      </w:r>
    </w:p>
    <w:p>
      <w:pPr>
        <w:spacing w:after="0" w:line="281"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collaborations and licensing arrangements. To the extent that we raise additional capital through the sale of equity securities, including securities convertible or exchangeable into ordinary shares, your ownership interest will be diluted and the terms may include liquidation or other preferences that adversely affect your rights as a holder of ADSs.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licensing arrangements with third parties or through asset sales, we may have to relinquish valuable rights to our technologies or product candidates, or grant licenses on terms unfavorable to us.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60"/>
          </w:cols>
          <w:pgMar w:left="24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6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Under German law, the existing shareholders of a company generally have a preemptive right to subscribe for shares offered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Certain non-German shareholders may not be able to exercise their preemptive subscription rights in our future offerings due to the legislation and regulations of their home country. For example,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holders of ADSs may suffer adverse tax consequences if we are characterized as a passive foreign investment company.</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more than 25% (by value) of the stock. Based on certain estimates of our gross income and gross assets, the latter determined by reference to the expected value of the ADSs and our ordinary shares, we believe that we will not be classified as a PFIC for the taxable year ending December 31, 2019 and we do not expect to be treated as a PFIC in any future taxable year.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 If we were to be or become a PFIC for any taxable year during which a U.S. holder (defined below in “Taxation—Material United States Federal Income Tax Considerations”) holds ADSs, certain adverse U.S. federal income tax consequences could apply to such U.S. holder. See “Taxation—Material United States Federal Income Tax Considerations—Passive Foreign Investment Company Considerations.”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interpretation of the treatment of ADSs by the German tax authorities is subject to change.</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specific treatment of ADSs under German tax law is based on administrative provisions by the fiscal authorities, which are not codified law and are subject to change. Tax authorities may modify their interpretation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and the current treatment of ADSs may change. According to the circular issued by the German Federal Ministry of Finance (</w:t>
      </w:r>
      <w:r>
        <w:rPr>
          <w:rFonts w:ascii="Arial" w:cs="Arial" w:eastAsia="Arial" w:hAnsi="Arial"/>
          <w:sz w:val="18"/>
          <w:szCs w:val="18"/>
          <w:i w:val="1"/>
          <w:iCs w:val="1"/>
          <w:color w:val="auto"/>
        </w:rPr>
        <w:t>BMF-Schreiben</w:t>
      </w:r>
      <w:r>
        <w:rPr>
          <w:rFonts w:ascii="Arial" w:cs="Arial" w:eastAsia="Arial" w:hAnsi="Arial"/>
          <w:sz w:val="18"/>
          <w:szCs w:val="18"/>
          <w:color w:val="auto"/>
        </w:rPr>
        <w:t>), dated May 21, 2019, (reference number IV C 1 – S 1980-1/16/10010 :001, ADSs are not treated as capital participation (</w:t>
      </w:r>
      <w:r>
        <w:rPr>
          <w:rFonts w:ascii="Arial" w:cs="Arial" w:eastAsia="Arial" w:hAnsi="Arial"/>
          <w:sz w:val="18"/>
          <w:szCs w:val="18"/>
          <w:i w:val="1"/>
          <w:iCs w:val="1"/>
          <w:color w:val="auto"/>
        </w:rPr>
        <w:t>Kapitalbeteiligung</w:t>
      </w:r>
      <w:r>
        <w:rPr>
          <w:rFonts w:ascii="Arial" w:cs="Arial" w:eastAsia="Arial" w:hAnsi="Arial"/>
          <w:sz w:val="18"/>
          <w:szCs w:val="18"/>
          <w:color w:val="auto"/>
        </w:rPr>
        <w:t>) within the meaning of Section 2 Para. 8 of the Investment Tax Code (</w:t>
      </w:r>
      <w:r>
        <w:rPr>
          <w:rFonts w:ascii="Arial" w:cs="Arial" w:eastAsia="Arial" w:hAnsi="Arial"/>
          <w:sz w:val="18"/>
          <w:szCs w:val="18"/>
          <w:i w:val="1"/>
          <w:iCs w:val="1"/>
          <w:color w:val="auto"/>
        </w:rPr>
        <w:t>Investmentsteuergesetz</w:t>
      </w:r>
      <w:r>
        <w:rPr>
          <w:rFonts w:ascii="Arial" w:cs="Arial" w:eastAsia="Arial" w:hAnsi="Arial"/>
          <w:sz w:val="18"/>
          <w:szCs w:val="18"/>
          <w:color w:val="auto"/>
        </w:rPr>
        <w:t>). Such interpretation by the fiscal authorities may have adverse effects on the taxation of investors.</w:t>
      </w:r>
    </w:p>
    <w:p>
      <w:pPr>
        <w:spacing w:after="0" w:line="29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members of our Supervisory Board and Management Board and the experts named in this prospectus.</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are incorporated under the laws of Germany as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pursuant to the SE Regulation. The majority of our assets are located outside the United States and all of the members of our Management Board and Supervisory Board reside outside of the United States. As a result, it may not be possible for investors to effect service of process within the United States upon such persons or to enforce against them or us in U.S. courts’ judgments predicated upon the civil liability provisions of the federal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There is currently no treaty between the United States and Germany providing for reciprocal recognition and enforceability of judgments rendered in connection with civil and commercial disputes and, accordingly, a final judgment rendered by a U.S. court based on civil liability would, except where explicitly ruled enforceable by a competent German court, not be enforceable in Germany as such. However, a U.S. court’s judgment may carry evidentiary value in any proceedings for civil liability brought in the German courts. Litigation in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or any members of our Management or Supervisory Boards.</w:t>
      </w:r>
    </w:p>
    <w:p>
      <w:pPr>
        <w:spacing w:after="0" w:line="16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German and other non-U.S. courts may refuse to hear a U.S. securities law claim because such courts may not be the most appropriate forums in which to bring such a claim. Even if a non-U.S. court agrees to hear a claim, it may determine that the law of the jurisdiction in which the court resides, and not U.S. law, is applicable to the claim. Further, if U.S. law is found to be applicable, the content of applicable U.S. law must be proved as fact, which can be a time-consuming and costly process, and certain matters of procedure would still be governed by the law of the jurisdiction in which the foreign court resides.</w:t>
      </w:r>
    </w:p>
    <w:p>
      <w:pPr>
        <w:spacing w:after="0" w:line="296"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The rights of shareholders in a stock corporation subject to German law differ in material respects from the rights of shareholders of corporations incorporated in the United States.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with our registered office in Germany. Our corporate affairs are governed by the laws governing stock corporations and European stock corporations incorporated in Germany, the SE Regulation and our articles of association. The rights of shareholders may be different from the rights and obligations of shareholders in companies governed by the laws of U.S. jurisdictions. Among other differences in shareholder rights, under German law, certain important resolutions, including, for example, capital decreases, measures under the German Transformation Act (</w:t>
      </w:r>
      <w:r>
        <w:rPr>
          <w:rFonts w:ascii="Arial" w:cs="Arial" w:eastAsia="Arial" w:hAnsi="Arial"/>
          <w:sz w:val="17"/>
          <w:szCs w:val="17"/>
          <w:i w:val="1"/>
          <w:iCs w:val="1"/>
          <w:color w:val="auto"/>
        </w:rPr>
        <w:t>Umwandlungsgesetz</w:t>
      </w:r>
      <w:r>
        <w:rPr>
          <w:rFonts w:ascii="Arial" w:cs="Arial" w:eastAsia="Arial" w:hAnsi="Arial"/>
          <w:sz w:val="17"/>
          <w:szCs w:val="17"/>
          <w:color w:val="auto"/>
        </w:rPr>
        <w:t>), such as mergers, conversions and spin-offs and the dissolution of the German stock corporation apart from insolvency and certain other proceedings, require the vote of a 75% majority of the capital present or represented at the relevant shareholders’ meeting. Therefore, the holder or holders of a blocking minority of more than 25% or, depending on the attendance level at the shareholders’ meeting, the holder or holders of a smaller percentage of</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shares in a German stock corporation may be able to block any such votes, possibly to our detriment or the detriment of other shareholders.</w:t>
      </w:r>
    </w:p>
    <w:p>
      <w:pPr>
        <w:spacing w:after="0" w:line="23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general rule under German law, in the case of a two-tier European stock corporation a shareholder has no direct recourse against the members of the management board and the supervisory board, in the event that it is alleged that they have breached their duty of loyalty or duty of care to the corporation. Apart from insolvency or other special circumstances, only the European stock corporation itself has the right to claim damages from members of the management and supervisory boards. A European stock corporation may waive or settle these damages claims only if at least three years have passed and the shareholders approve the waiver or settlement at the shareholders’ meeting with a simple majority of the votes cast, provided that a minority holding, in the aggregate, 10% or more of the European stock corporation’s share capital does not have its opposition formally noted in the minutes maintained by a German civil law notary.</w:t>
      </w:r>
    </w:p>
    <w:p>
      <w:pPr>
        <w:spacing w:after="0" w:line="17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In addition, the responsibilities of members of our Management Board and Supervisory Board may differ from the duties of directors of U.S. corporations. For example, in the performance of their duties, our Management Board and Supervisory Board may take into account a broad range of considerations, including our interests, the interests of our shareholders, employees, creditors and, to a limited extent, the general public. It is possible that some of these parties will have interests that are different from, or in addition to, your interests as a holder of ADSs.</w:t>
      </w:r>
    </w:p>
    <w:p>
      <w:pPr>
        <w:spacing w:after="0" w:line="154" w:lineRule="exact"/>
        <w:rPr>
          <w:sz w:val="20"/>
          <w:szCs w:val="20"/>
          <w:color w:val="auto"/>
        </w:rPr>
      </w:pPr>
    </w:p>
    <w:p>
      <w:pPr>
        <w:jc w:val="both"/>
        <w:ind w:left="200" w:right="200" w:firstLine="441"/>
        <w:spacing w:after="0" w:line="277" w:lineRule="auto"/>
        <w:rPr>
          <w:sz w:val="20"/>
          <w:szCs w:val="20"/>
          <w:color w:val="auto"/>
        </w:rPr>
      </w:pPr>
      <w:r>
        <w:rPr>
          <w:rFonts w:ascii="Arial" w:cs="Arial" w:eastAsia="Arial" w:hAnsi="Arial"/>
          <w:sz w:val="18"/>
          <w:szCs w:val="18"/>
          <w:color w:val="auto"/>
        </w:rPr>
        <w:t>For more information, we have provided summaries of relevant German corporation law and of our articles of association under “Management” and “Description of Share Capital and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the ADSs may not develop.</w:t>
      </w:r>
    </w:p>
    <w:p>
      <w:pPr>
        <w:spacing w:after="0" w:line="117"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Prior to this offering, there has been no public market for ADSs representing our ordinary shares. The initial public offering price for the ADSs was determined through negotiations with the underwriters. Although we have applied to list the ADSs on the Nasdaq Global Select Market, an active trading market for the ADSs may never develop or be sustained following this offering. If an active market for the ADSs does not develop, it may be difficult for you to sell ADSs you purchase in this offering without depressing the market price for the ADSs, or at all.</w:t>
      </w:r>
    </w:p>
    <w:p>
      <w:pPr>
        <w:spacing w:after="0" w:line="28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the ADSs, the price of the ADSs could decline.</w:t>
      </w:r>
    </w:p>
    <w:p>
      <w:pPr>
        <w:spacing w:after="0" w:line="62"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trading market for the ADSs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the ADSs would likely decrease. Even if we do obtain analyst coverage, if one or more of the analysts covering our business downgrade their evaluations of the ADSs, the price of the ADSs could decline. If one or more of these analysts cease to cover the ADSs, we could lose visibility in the market for the ADSs, which in turn could cause price of the ADSs to decline.</w:t>
      </w:r>
    </w:p>
    <w:p>
      <w:pPr>
        <w:spacing w:after="0" w:line="2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executive officers, directors, five percent shareholders, and their affiliates beneficially own approximately 84.78% of our ordinary shares and, upon closing of this offering, assuming no exercise of the underwriters’ option to purchase additional ADSs from us, that same group will beneficially own approximately 80.98% of our outstanding ordinary shares. Therefore, even after this offering, these shareholders will have the ability to influence us through their ownership positions. For example, these shareholders, acting together, may be able to exert significant influence over matters such as elections of directors, amendments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our organizational documents, or approval of any merger, sale of assets or other major corporate transaction. This may prevent or discourage unsolicited acquisition proposals or offers for our ordinary shares that you may believe are in your best interest as one of our shareholders.</w:t>
      </w:r>
    </w:p>
    <w:p>
      <w:pPr>
        <w:spacing w:after="0" w:line="25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this offering, and we may not use them effectively.</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management will have broad discretion in the application of our cash, cash equivalents and investments, including the net proceeds from this offering, and could spend the proceeds in ways that do not improve our results of operations or enhance the value of our ordinary shares. The failure by our management to apply these funds effectively could result in financial losses that could have a material adverse impact on our business, cause the price of the ADSs to decline, and delay the development of our product candidates. Pending their use, we may invest our cash, cash equivalents and investments, including the net proceeds from this offering, in a manner that does not produce income or that loses value. See “Use of Proceeds” for more information.</w:t>
      </w:r>
    </w:p>
    <w:p>
      <w:pPr>
        <w:spacing w:after="0" w:line="301" w:lineRule="exact"/>
        <w:rPr>
          <w:sz w:val="20"/>
          <w:szCs w:val="20"/>
          <w:color w:val="auto"/>
        </w:rPr>
      </w:pPr>
    </w:p>
    <w:p>
      <w:pPr>
        <w:ind w:left="200" w:right="1000"/>
        <w:spacing w:after="0" w:line="277" w:lineRule="auto"/>
        <w:rPr>
          <w:sz w:val="20"/>
          <w:szCs w:val="20"/>
          <w:color w:val="auto"/>
        </w:rPr>
      </w:pPr>
      <w:r>
        <w:rPr>
          <w:rFonts w:ascii="Arial" w:cs="Arial" w:eastAsia="Arial" w:hAnsi="Arial"/>
          <w:sz w:val="18"/>
          <w:szCs w:val="18"/>
          <w:b w:val="1"/>
          <w:bCs w:val="1"/>
          <w:i w:val="1"/>
          <w:iCs w:val="1"/>
          <w:color w:val="auto"/>
        </w:rPr>
        <w:t>Because we do not currently pay cash dividends on our ordinary shares and do not anticipate doing so in the foreseeable future, capital appreciation, if any, will be the sole source of gain on investments in the ADSs.</w:t>
      </w:r>
    </w:p>
    <w:p>
      <w:pPr>
        <w:spacing w:after="0" w:line="62"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There is no plan to declare or pay cash dividends on our ordinary shares. The intention is to retain all future earnings, if any, to finance the growth and development of the business. Additionally, the terms of any future debt agreements may preclude dividend payments. Our ability to pay dividends is also limited under the terms of the investment agreement we have entered into with BMGF. As a result, capital appreciation, if any, on the ADSs will be the sole source of gain for the foreseeable future.</w:t>
      </w:r>
    </w:p>
    <w:p>
      <w:pPr>
        <w:spacing w:after="0" w:line="29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62"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As a German tax resident company, if we were to pay dividends, such dividends will be subject to German withholding tax. Currently, the applicable German withholding tax rate is 26.375% of the gross dividend. This German tax can be reduced to the applicable U.S.-Germany income tax treaty, or Treaty, rate, which is generally 15%, if the applicable taxpayer is eligible for such Treaty rate and files an application containing a specific German tax certificate with the German Federal Central Tax Office (</w:t>
      </w:r>
      <w:r>
        <w:rPr>
          <w:rFonts w:ascii="Arial" w:cs="Arial" w:eastAsia="Arial" w:hAnsi="Arial"/>
          <w:sz w:val="17"/>
          <w:szCs w:val="17"/>
          <w:i w:val="1"/>
          <w:iCs w:val="1"/>
          <w:color w:val="auto"/>
        </w:rPr>
        <w:t>Bundeszentralamt für Steuern</w:t>
      </w:r>
      <w:r>
        <w:rPr>
          <w:rFonts w:ascii="Arial" w:cs="Arial" w:eastAsia="Arial" w:hAnsi="Arial"/>
          <w:sz w:val="17"/>
          <w:szCs w:val="17"/>
          <w:color w:val="auto"/>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7"/>
          <w:szCs w:val="17"/>
          <w:i w:val="1"/>
          <w:iCs w:val="1"/>
          <w:color w:val="auto"/>
        </w:rPr>
        <w:t>Besteuerung von American Depositary Receipts (ADR) auf</w:t>
      </w:r>
      <w:r>
        <w:rPr>
          <w:rFonts w:ascii="Arial" w:cs="Arial" w:eastAsia="Arial" w:hAnsi="Arial"/>
          <w:sz w:val="17"/>
          <w:szCs w:val="17"/>
          <w:color w:val="auto"/>
        </w:rPr>
        <w:t xml:space="preserve"> </w:t>
      </w:r>
      <w:r>
        <w:rPr>
          <w:rFonts w:ascii="Arial" w:cs="Arial" w:eastAsia="Arial" w:hAnsi="Arial"/>
          <w:sz w:val="17"/>
          <w:szCs w:val="17"/>
          <w:i w:val="1"/>
          <w:iCs w:val="1"/>
          <w:color w:val="auto"/>
        </w:rPr>
        <w:t>inländische Aktien</w:t>
      </w:r>
      <w:r>
        <w:rPr>
          <w:rFonts w:ascii="Arial" w:cs="Arial" w:eastAsia="Arial" w:hAnsi="Arial"/>
          <w:sz w:val="17"/>
          <w:szCs w:val="17"/>
          <w:color w:val="auto"/>
        </w:rPr>
        <w:t>) issued by the German Federal Ministry of Finance</w:t>
      </w:r>
      <w:r>
        <w:rPr>
          <w:rFonts w:ascii="Arial" w:cs="Arial" w:eastAsia="Arial" w:hAnsi="Arial"/>
          <w:sz w:val="17"/>
          <w:szCs w:val="17"/>
          <w:i w:val="1"/>
          <w:iCs w:val="1"/>
          <w:color w:val="auto"/>
        </w:rPr>
        <w:t xml:space="preserve"> (Bundesministerium der Finanzen</w:t>
      </w:r>
      <w:r>
        <w:rPr>
          <w:rFonts w:ascii="Arial" w:cs="Arial" w:eastAsia="Arial" w:hAnsi="Arial"/>
          <w:sz w:val="17"/>
          <w:szCs w:val="17"/>
          <w:color w:val="auto"/>
        </w:rPr>
        <w:t>), dated May 24, 2013 (reference number IV C</w:t>
      </w:r>
      <w:r>
        <w:rPr>
          <w:rFonts w:ascii="Arial" w:cs="Arial" w:eastAsia="Arial" w:hAnsi="Arial"/>
          <w:sz w:val="17"/>
          <w:szCs w:val="17"/>
          <w:i w:val="1"/>
          <w:iCs w:val="1"/>
          <w:color w:val="auto"/>
        </w:rPr>
        <w:t xml:space="preserve"> </w:t>
      </w:r>
      <w:r>
        <w:rPr>
          <w:rFonts w:ascii="Arial" w:cs="Arial" w:eastAsia="Arial" w:hAnsi="Arial"/>
          <w:sz w:val="17"/>
          <w:szCs w:val="17"/>
          <w:color w:val="auto"/>
        </w:rPr>
        <w:t>1-S2204/12/10003), as 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62"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58"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w:t>
      </w:r>
    </w:p>
    <w:p>
      <w:pPr>
        <w:spacing w:after="0" w:line="17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Many of the forward-looking statements contained in this prospectus can be identified by the use of forward-looking words such as “anticipate,” “believe,” “could,” “estimate,” “expect,” “intend,” “may,” “might,” “plan,” “potential,” “should,” “target,” “would” and other similar expressions that are predictions of or indicate future events and future trends, although not all forward-looking statements contain these identifying words.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a variety of factors, including, but not limited to, those identified in the section titled “Risk Factors” in this prospectus. These risks and uncertainties include factors relating to:</w:t>
      </w:r>
    </w:p>
    <w:p>
      <w:pPr>
        <w:spacing w:after="0" w:line="92" w:lineRule="exact"/>
        <w:rPr>
          <w:sz w:val="20"/>
          <w:szCs w:val="20"/>
          <w:color w:val="auto"/>
        </w:rPr>
      </w:pPr>
    </w:p>
    <w:p>
      <w:pPr>
        <w:ind w:left="1180" w:right="140" w:hanging="436"/>
        <w:spacing w:after="0" w:line="312" w:lineRule="auto"/>
        <w:tabs>
          <w:tab w:leader="none" w:pos="1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2" w:lineRule="exact"/>
        <w:rPr>
          <w:rFonts w:ascii="Arial" w:cs="Arial" w:eastAsia="Arial" w:hAnsi="Arial"/>
          <w:sz w:val="16"/>
          <w:szCs w:val="16"/>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identify research opportunities and discover and develop investigational medicines;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development candidates and investigational medicines;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and our needs for or ability to obtain additional financing;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and our collaborators’ ability to protect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development of and projections relating to our competitors or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pricing and reimbursement of our investigational medicines, if approved;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rate and degree of market acceptance of our investigational medicines;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amount of and our ability to use net operating losses and research and development credits to offset future taxable income;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manage our development and expansion;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with advantages in turnaround times or manufacturing cost;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use of the proceeds from this offering;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 a foreign private issuer.</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contained in this prospectus speak only as of the date of this prospectus,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24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We estimate that the net proceeds to us from this offering will be approximately $141.8 million (€128.0 million) (or approximately $163.7 million (€147.8 million) if the underwriters exercise in full their options to purchase an additional 1,500,000 ADSs), assuming an initial public offering price of $15.50 per ADS, which is the midpoint of the price range set forth on the cover page of this prospectus, and after deducting underwriting discounts and commissions and estimated offering expenses payable by us.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Each $1.00 increase (decrease) in the assumed initial public offering price of $15.50 per ADS, which is the midpoint of the price range set forth on the cover page of this prospectus, would increase (decrease) the net proceeds to us from this offering by approximately $9.5 million (€8.5 million), assuming the number of ADSs offered by us, as set forth on the cover page of this prospectus, remains the same, and after deducting underwriting discounts and commissions and estimated offering expenses payable by us. We may also increase or decrease the number of ADSs we are offering. An increase (decrease) of 1,000,000 in the number of ADSs offered by us would increase (decrease) the net proceeds to us from this offering by approximately $14.6 million (€13.2 million), assuming no change in the assumed initial public offering price and after deducting underwriting discounts and commissions and estimated offering expenses payable by 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intend to use the net proceeds from this offering as follows:</w:t>
      </w:r>
    </w:p>
    <w:p>
      <w:pPr>
        <w:spacing w:after="0" w:line="131" w:lineRule="exact"/>
        <w:rPr>
          <w:sz w:val="20"/>
          <w:szCs w:val="20"/>
          <w:color w:val="auto"/>
        </w:rPr>
      </w:pPr>
    </w:p>
    <w:p>
      <w:pPr>
        <w:ind w:left="1180" w:right="140" w:hanging="436"/>
        <w:spacing w:after="0" w:line="302" w:lineRule="auto"/>
        <w:tabs>
          <w:tab w:leader="none" w:pos="1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approximately $100 million to complete our ongoing and currently planned clinical trials for our FixVac product candidates BNT111, BNT113 and BNT114, as well as to fund our portion of the research and development expenses for each of the following: RO7198457 (BNT122), which is being developed in collaboration with Genentech, SAR441000 (BNT131), which is being developed in collaboration with Sanofi, and GEN1046 (BNT311) and GEN1042 (BNT312), which are being developed in collaboration with Genmab;</w:t>
      </w:r>
    </w:p>
    <w:p>
      <w:pPr>
        <w:spacing w:after="0" w:line="59" w:lineRule="exact"/>
        <w:rPr>
          <w:rFonts w:ascii="Arial" w:cs="Arial" w:eastAsia="Arial" w:hAnsi="Arial"/>
          <w:sz w:val="16"/>
          <w:szCs w:val="16"/>
          <w:color w:val="auto"/>
        </w:rPr>
      </w:pPr>
    </w:p>
    <w:p>
      <w:pPr>
        <w:ind w:left="1180" w:right="100" w:hanging="436"/>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$30 million to advance additional product candidates through Phase 1 clinical trials, including product candidates from our CAR T, RiboMabs, RiboCytokines and TCR platforms in oncology, and our infectious disease immunotherapy and rare disease protein replacement therapy platforms outside oncology;</w:t>
      </w:r>
    </w:p>
    <w:p>
      <w:pPr>
        <w:spacing w:after="0" w:line="86"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$4 million to advance additional preclinical product candidates, develop additional product candidates leveraging our current therapeutic platforms and fund the further development of our core technologies; and</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$3 million to fund the further expansion of our manufacturing and laboratory capacity and the continued development of our infrastructure.</w:t>
      </w:r>
    </w:p>
    <w:p>
      <w:pPr>
        <w:spacing w:after="0" w:line="17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expect to use the remainder of any net proceeds from this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plans, commitments or obligations to do so.</w:t>
      </w:r>
    </w:p>
    <w:p>
      <w:pPr>
        <w:spacing w:after="0" w:line="166"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expected use of net proceeds from this offering represents our current intentions based on our present plans and business condition, which could change as our plans and business conditions evolve. The amounts and timing of our actual use of net proceeds will vary depending on numerous factors, including the progress of our clinical development of our product candidates, including our ongoing clinical trials. As a result, we cannot predict with certainty all of the particular uses for the net proceeds to be received upon the closing of this offering or the amounts that we will actually spend on the uses set forth above. Our management will have broad discretion in the application of the net proceeds from this offering.</w:t>
      </w:r>
    </w:p>
    <w:p>
      <w:pPr>
        <w:spacing w:after="0" w:line="15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that we will need to raise significant additional funds beyond this offering in order to continue to advance our pipeline. In particular, we will need additional funds in order to advance our product candidates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through Phase 3 clinical trials and to potential commercialization. We may seek to raise capital through public or private equity or debt financing, government or other third-party grants or funding, sales of assets, marketing and distribution arrangements, other collaborations or a combination of these approaches.</w:t>
      </w:r>
    </w:p>
    <w:p>
      <w:pPr>
        <w:spacing w:after="0" w:line="181" w:lineRule="exact"/>
        <w:rPr>
          <w:sz w:val="20"/>
          <w:szCs w:val="20"/>
          <w:color w:val="auto"/>
        </w:rPr>
      </w:pPr>
    </w:p>
    <w:p>
      <w:pPr>
        <w:jc w:val="both"/>
        <w:ind w:left="200" w:right="400" w:firstLine="441"/>
        <w:spacing w:after="0" w:line="312" w:lineRule="auto"/>
        <w:rPr>
          <w:sz w:val="20"/>
          <w:szCs w:val="20"/>
          <w:color w:val="auto"/>
        </w:rPr>
      </w:pPr>
      <w:r>
        <w:rPr>
          <w:rFonts w:ascii="Arial" w:cs="Arial" w:eastAsia="Arial" w:hAnsi="Arial"/>
          <w:sz w:val="16"/>
          <w:szCs w:val="16"/>
          <w:color w:val="auto"/>
        </w:rPr>
        <w:t>Based on our planned use of the net proceeds of this offering and our existing cash and cash equivalents, we estimate that such funds will be sufficient to enable us to fund our operating expenses and capital expenditure requirements through at least the next 24 months. We have based this estimate on assumptions that may prove to be incorrect, and we could use our available capital resources sooner than we currently expect.</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Pending our use of the net proceeds from this offering, we plan to invest the net proceeds in short- and intermediate-term interest-bearing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In addition, our ability to pay cash dividends is also limited in certain circumstances under the terms of an agreement we have entered into with BMGF. All of the shares represented by the ADSs offered by this prospectus will generally have the same dividend rights as all of our other outstanding shares.</w:t>
      </w:r>
    </w:p>
    <w:p>
      <w:pPr>
        <w:spacing w:after="0" w:line="15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Under German law, we may pay dividends only from the distributable profit (</w:t>
      </w:r>
      <w:r>
        <w:rPr>
          <w:rFonts w:ascii="Arial" w:cs="Arial" w:eastAsia="Arial" w:hAnsi="Arial"/>
          <w:sz w:val="16"/>
          <w:szCs w:val="16"/>
          <w:i w:val="1"/>
          <w:iCs w:val="1"/>
          <w:color w:val="auto"/>
        </w:rPr>
        <w:t>Bilanzgewinn</w:t>
      </w:r>
      <w:r>
        <w:rPr>
          <w:rFonts w:ascii="Arial" w:cs="Arial" w:eastAsia="Arial" w:hAnsi="Arial"/>
          <w:sz w:val="16"/>
          <w:szCs w:val="16"/>
          <w:color w:val="auto"/>
        </w:rPr>
        <w:t>) reflected in our unconsolidated financial statements (as opposed to the consolidated financial statements for us and our subsidiaries) prepared in accordance with the principles set forth in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and adopted by our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and the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or, as the case may be, by our shareholders in a shareholders’ meeting. See “Description of Share Capital and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which explains in more detail the procedures we must follow and the German law provisions that determine whether we are entitled to declare a dividend.</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240" w:top="459" w:right="5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our cash and cash equivalents and our total capitalization as of June 30, 2019:</w:t>
      </w:r>
    </w:p>
    <w:p>
      <w:pPr>
        <w:spacing w:after="0" w:line="131"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180" w:right="60" w:hanging="436"/>
        <w:spacing w:after="0" w:line="279" w:lineRule="auto"/>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a pro forma basis to give effect to (x) the receipt of proceeds of €190.2 million</w:t>
      </w:r>
      <w:r>
        <w:rPr>
          <w:rFonts w:ascii="Arial" w:cs="Arial" w:eastAsia="Arial" w:hAnsi="Arial"/>
          <w:sz w:val="14"/>
          <w:szCs w:val="14"/>
          <w:color w:val="auto"/>
        </w:rPr>
        <w:t>(1)</w:t>
      </w:r>
      <w:r>
        <w:rPr>
          <w:rFonts w:ascii="Arial" w:cs="Arial" w:eastAsia="Arial" w:hAnsi="Arial"/>
          <w:sz w:val="17"/>
          <w:szCs w:val="17"/>
          <w:color w:val="auto"/>
        </w:rPr>
        <w:t xml:space="preserve"> relating to 11,990,214 ordinary shares issued before June 30, 2019 under our Series B private placement, (y) the issuance of 475,074 of our ordinary shares for proceeds of €7.7 million ($8.6 million) in connection with our Series B private placement and (z) our receipt of proceeds of €49.9 million ($55.0 million) from the sale of 3,038,674 of our ordinary shares pursuant to an investment by the Bill &amp; Melinda Gates Foundation; and</w:t>
      </w:r>
    </w:p>
    <w:p>
      <w:pPr>
        <w:spacing w:after="0" w:line="76" w:lineRule="exact"/>
        <w:rPr>
          <w:rFonts w:ascii="Arial" w:cs="Arial" w:eastAsia="Arial" w:hAnsi="Arial"/>
          <w:sz w:val="17"/>
          <w:szCs w:val="17"/>
          <w:color w:val="auto"/>
        </w:rPr>
      </w:pPr>
    </w:p>
    <w:p>
      <w:pPr>
        <w:jc w:val="both"/>
        <w:ind w:left="1180" w:right="200" w:hanging="436"/>
        <w:spacing w:after="0" w:line="286" w:lineRule="auto"/>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our issuance and the sale of 10,000,000 ADSs by us in this offering, assuming an initial public offering price of $15.50 per ADS, which is the midpoint of the price range set forth on the cover page of this prospectus, and after deducting underwriting discounts and commissions and estimated offering expenses payable by us.</w:t>
      </w:r>
    </w:p>
    <w:p>
      <w:pPr>
        <w:spacing w:after="0" w:line="166"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capitalization following the offering will be adjusted based on the actual offering price and other terms of the offering determined at pricing, including the amount by which actual offering expenses are higher or lower than estimated. You should read this table in conjunction with our consolidated financial statements and related notes included in this prospectus as well as the sections titled “Use of Proceeds,” “Selected Consolidated Financial Data” and “Management’s Discussion and Analysis of Financial Condition and Results of Operations.”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June 30, 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(unaudited)</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(2)</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€ 284,890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532,687</w:t>
            </w: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660,715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Ordinary shares, no par value per share: 212,748,588 shares, actual; 216,262,336 shares,</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 forma; 226,262,336 shares, pro forma as adjusted</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Share capital</w:t>
            </w:r>
            <w:r>
              <w:rPr>
                <w:rFonts w:ascii="Arial" w:cs="Arial" w:eastAsia="Arial" w:hAnsi="Arial"/>
                <w:sz w:val="15"/>
                <w:szCs w:val="15"/>
                <w:color w:val="auto"/>
              </w:rPr>
              <w:t>(2)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212,749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216,262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reserve</w:t>
            </w:r>
            <w:r>
              <w:rPr>
                <w:rFonts w:ascii="Arial" w:cs="Arial" w:eastAsia="Arial" w:hAnsi="Arial"/>
                <w:sz w:val="15"/>
                <w:szCs w:val="15"/>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Accumulated losses</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(336,501)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(336,501)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Total equity</w:t>
            </w:r>
            <w:r>
              <w:rPr>
                <w:rFonts w:ascii="Arial" w:cs="Arial" w:eastAsia="Arial" w:hAnsi="Arial"/>
                <w:sz w:val="15"/>
                <w:szCs w:val="15"/>
                <w:color w:val="auto"/>
              </w:rPr>
              <w:t>(2)</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384,490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442,068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r>
              <w:rPr>
                <w:rFonts w:ascii="Arial" w:cs="Arial" w:eastAsia="Arial" w:hAnsi="Arial"/>
                <w:sz w:val="15"/>
                <w:szCs w:val="15"/>
                <w:color w:val="auto"/>
              </w:rPr>
              <w:t>(2)</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€ 396,090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453,668</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40" w:right="280" w:hanging="436"/>
        <w:spacing w:after="0" w:line="256"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Proceeds of €190.2 million was a receivable recorded as an asset as of June 30, 2019, and therefore is reflected in the actual column under total assets, share capital and total equity. Accordingly, as the cash consideration was received after June 30, 2019, it therefore is only reflected as an increase in cash and cash equivalents in the pro forma column.</w:t>
      </w:r>
    </w:p>
    <w:p>
      <w:pPr>
        <w:ind w:left="640" w:right="160" w:hanging="436"/>
        <w:spacing w:after="0" w:line="265"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 forma amounts do not reflect the issuance of 5,524,506 shares in our Series B private placement to a Hong Kong-based investor, all of which have been transferred to us due to the investor’s failure to pay for the shares and are held in treasury. As a result, this investor does not hold any ordinary shares, and no arrangements exist for such investor to acquire any ordinary shares at this time.</w:t>
      </w:r>
    </w:p>
    <w:p>
      <w:pPr>
        <w:ind w:left="640" w:right="40" w:hanging="436"/>
        <w:spacing w:after="0" w:line="261"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$1.00 increase (decrease) in the assumed initial public offering price of $15.50 per ADS, which is the midpoint of the price range set forth on the cover page of this prospectus, would increase (decrease) each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cash and cash equivalents, capital reserve, total equity and total capitalization by approximately €8.5 million, assuming the number of ADSs offered by us, as set forth on the cover page of this prospectus, remains the same, and after deducting underwriting discounts and commissions and estimated offering expenses payable by us. We may also increase or decrease the number of ADSs we are offering. An increase (decrease) of 1,000,000 in the number of ADSs offered by us would increase (decrease) each of cash and cash equivalents, total equity and total capitalization by approximately €13.2 million, assuming no change in the assumed initial public offering price and after deducting underwriting discounts and commissions and estimated offering expenses payable by us.</w:t>
      </w:r>
    </w:p>
    <w:p>
      <w:pPr>
        <w:spacing w:after="0" w:line="19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number of our ordinary shares issued and outstanding actual, pro forma and pro forma as-adjusted is based on 212,748,588 ordinary shares outstanding as of June 30, 2019 and excludes:</w:t>
      </w:r>
    </w:p>
    <w:p>
      <w:pPr>
        <w:spacing w:after="0" w:line="76"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11,882,124 ordinary shares issuable upon the exercise of options outstanding as of June 30, 2019; and</w:t>
      </w:r>
    </w:p>
    <w:p>
      <w:pPr>
        <w:spacing w:after="0" w:line="130" w:lineRule="exact"/>
        <w:rPr>
          <w:rFonts w:ascii="Arial" w:cs="Arial" w:eastAsia="Arial" w:hAnsi="Arial"/>
          <w:sz w:val="18"/>
          <w:szCs w:val="18"/>
          <w:color w:val="auto"/>
        </w:rPr>
      </w:pPr>
    </w:p>
    <w:p>
      <w:pPr>
        <w:jc w:val="center"/>
        <w:ind w:left="5580" w:right="620" w:hanging="4836"/>
        <w:spacing w:after="0" w:line="449" w:lineRule="auto"/>
        <w:tabs>
          <w:tab w:leader="none" w:pos="11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9,992,682 ordinary shares available for future issuance under our Employee Stock Ownership Plan or any future share option plan. 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If you invest in our ADSs in this offering, your interest will be diluted immediately to the extent of the difference between the initial public offering price per ADS and our as adjusted net tangible book value per ADS after completion of the offering.</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Net tangible book value per ADS represents the amount of our total assets less our total liabilities, excluding intangible assets, divided by the number of our ordinary shares outstanding as of June 30, 2019, (one ADS represents one ordinary share). As of June 30, 2019, we had a historical net tangible book value of €289.5 million ($320.6 million), corresponding to a net tangible book value per ordinary share of €1.36 ($1.51) (equivalent $1.51 per ADS). Our pro forma</w:t>
      </w:r>
      <w:r>
        <w:rPr>
          <w:rFonts w:ascii="Arial" w:cs="Arial" w:eastAsia="Arial" w:hAnsi="Arial"/>
          <w:sz w:val="14"/>
          <w:szCs w:val="14"/>
          <w:color w:val="auto"/>
        </w:rPr>
        <w:t>(1)</w:t>
      </w:r>
      <w:r>
        <w:rPr>
          <w:rFonts w:ascii="Arial" w:cs="Arial" w:eastAsia="Arial" w:hAnsi="Arial"/>
          <w:sz w:val="17"/>
          <w:szCs w:val="17"/>
          <w:color w:val="auto"/>
        </w:rPr>
        <w:t xml:space="preserve"> net tangible book value as of June 30, 2019 was €347.1 million ($384.4 million), corresponding to a pro forma net tangible book value per ordinary share of €1.60 ($1.77) (equivalent $1.77 per ADS), based on the total number of shares of our common stock outstanding as of June 30, 2019, and after giving effect to (x) the issuance of 475,074 our ordinary shares for proceeds of €7.7 million ($8.6 million) in connection with our Series B private placement and (y) our receipt of proceeds of €49.9 million ($55.0 million) from the sale of 3,038,674 of our ordinary shares issued pursuant to an investment by the Bill and Melinda Gates Foundation.</w:t>
      </w:r>
    </w:p>
    <w:p>
      <w:pPr>
        <w:spacing w:after="0" w:line="17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After giving effect to the issuance and sale of 10,000,000 ADSs in this offering at an assumed initial offering price of $15.50 per ADS, which is the midpoint of the price range set forth on the cover page of this prospectus, and after deducting underwriting discounts and commissions and estimated offering expenses payable by us, our pro forma as adjusted net tangible book value as of June 30, 2019 would have been €475.1 million</w:t>
      </w:r>
    </w:p>
    <w:p>
      <w:pPr>
        <w:ind w:left="200" w:right="60"/>
        <w:spacing w:after="0" w:line="295" w:lineRule="auto"/>
        <w:rPr>
          <w:sz w:val="20"/>
          <w:szCs w:val="20"/>
          <w:color w:val="auto"/>
        </w:rPr>
      </w:pPr>
      <w:r>
        <w:rPr>
          <w:rFonts w:ascii="Arial" w:cs="Arial" w:eastAsia="Arial" w:hAnsi="Arial"/>
          <w:sz w:val="16"/>
          <w:szCs w:val="16"/>
          <w:color w:val="auto"/>
        </w:rPr>
        <w:t>($526.1 million), corresponding to a net tangible book value per ordinary share of €2.10 ($2.32) (equivalent $2.32 per ADS). This represents an immediate increase in net tangible book value of €0.50 ($0.55) per ordinary share (equivalent to $0.55 per ADS) to existing shareholders and immediate dilution of $13.18 per ADS to new investors purchasing ADSs in this offering. Dilution per ADS to new investors is determined by subtracting our pro forma as adjusted net tangible book value per ADS from the assumed initial public offering price per ADS paid by new investors.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The following table illustrates this dilution on a per-ADS basis:</w:t>
            </w:r>
          </w:p>
        </w:tc>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7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ADS as of June 30, 2019</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tangible book value per ADS as of June 30, 2019</w:t>
            </w:r>
          </w:p>
        </w:tc>
        <w:tc>
          <w:tcPr>
            <w:tcW w:w="1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Increase in net tangible book value per ADS attributable to new investors participating in this offering</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$0.55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ADS after this offering</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Dilution per ADS to new investors participating in this offering</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13.18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460" w:hanging="436"/>
        <w:spacing w:after="0" w:line="264"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historical net tangible book value as of June 30, 2019 includes €190.2 million which was a receivable recorded as an asset as of June 30, 2019. Accordingly, as the cash consideration was received after June 30, 2019, it therefore is only reflected as an increase in cash and cash equivalents.</w:t>
      </w:r>
    </w:p>
    <w:p>
      <w:pPr>
        <w:spacing w:after="0" w:line="181"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Each $1.00 increase (decrease) in the assumed initial offering price of $15.50 per ADS, which is the midpoint of the price range set forth on the cover page of this prospectus, would increase (decrease) our pro forma as adjusted net tangible book value as of June 30, 2019 by $0.04 ($0.05) per ADS, and would increase (decrease) dilution to new investors in this offering by $0.96 ($0.95) per ADS, assuming that the number of ADSs offered by us, as set forth on the cover page of this prospectus, remains the same, and after deducting underwriting discounts and commissions and estimated offering expenses payable by us. An increase (decrease) of 1,000,000 in the number of ADSs offered by us would increase (decrease) our pro forma as adjusted net tangible book value after this offering by $0.05 ($0.05) per ADS, and would decrease (increase) dilution to investors in this offering by approximately $0.05 ($0.05) per ADS, assuming no change in the assumed initial public offering price per ADS and after deducting underwriting discounts and commissions and estimated offering expenses payable by 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If the underwriters exercise in full their option to purchase additional ADSs, our pro forma as adjusted net tangible book value per ADS would be $2.40, representing an immediate increase in pro forma as adjusted net tangible book value to existing shareholders of $0.63 per ADS and immediate dilution of $13.10 per ADS to new investors, assuming no change in the assumed initial public offering price per ADS and after deducting underwriting discounts and commissions and estimated offering expenses payable by us.</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as adjusted information is illustrative only, and we will adjust this information based on the actual initial public offering price and other terms of this offering determined at pricing.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on a pro forma as adjusted basis as of June 30, 2019, after giving effect (x) to the issuance of 475,074 our ordinary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for proceeds of €7.7 million ($8.6 million) in connection with our Series B private placement and (y) our receipt of proceeds of €49.9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($55.0 million) from the sale of 3,038,674 of our ordinary shares issued pursuant to an investment by the Bill &amp; Melinda Gates Foundation, the number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ordinary shares owned by existing shareholders and to be owned by new investors purchasing ADSs in this offering, the total consideration paid to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average price per ordinary share paid by our existing shareholders and the average price per ADS to be paid by new investors purchasing ADSs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offering. The calculation below is based on an assumed initial public offering price of $15.50 per ADS, which is the midpoint of the price range 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forth on the cover page of this prospectus, before deducting underwriting discounts and commissions and estimated offering expenses payable by us:</w:t>
      </w:r>
    </w:p>
    <w:p>
      <w:pPr>
        <w:spacing w:after="0" w:line="24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Ordinary 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2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92"/>
              </w:rPr>
              <w:t>Purchased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2"/>
                <w:szCs w:val="12"/>
                <w:color w:val="auto"/>
              </w:rPr>
            </w:pPr>
          </w:p>
        </w:tc>
        <w:tc>
          <w:tcPr>
            <w:tcW w:w="780" w:type="dxa"/>
            <w:vAlign w:val="bottom"/>
            <w:gridSpan w:val="3"/>
          </w:tcPr>
          <w:p>
            <w:pPr>
              <w:jc w:val="center"/>
              <w:ind w:left="99"/>
              <w:spacing w:after="0" w:line="142" w:lineRule="exact"/>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216,262,336</w:t>
            </w:r>
          </w:p>
        </w:tc>
        <w:tc>
          <w:tcPr>
            <w:tcW w:w="3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872,211,443</w:t>
            </w:r>
          </w:p>
        </w:tc>
        <w:tc>
          <w:tcPr>
            <w:tcW w:w="3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155,000,000</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226,262,336</w:t>
            </w:r>
          </w:p>
        </w:tc>
        <w:tc>
          <w:tcPr>
            <w:tcW w:w="3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1,027,211,443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Each $1.00 increase (decrease) in the assumed initial public offering price of $15.50 per ADS, which is the midpoint of the price range set forth on the cover page of this prospectus, would increase (decrease) the total consideration paid by new investors by $10.0 million and increase (decrease) the percentage of total consideration paid by new investors by approximately 0.8%, assuming that the number of ADSs offered by us, as set forth on the cover page of this prospectus, remains the same, and before deducting underwriting discounts and commissions and estimated offering expenses payable by us. An increase (decrease) of 1,000,000 in the number of ADSs offered by us would increase (decrease) the total consideration paid by investors participating in this offering approximately $15.5 million, and increase (decrease) the percentage of total consideration paid by new investors by approximately 1.3%, assuming no change in the assumed initial public offering price and before deducting underwriting discounts and commissions and estimated offering expenses payable by us.</w:t>
      </w:r>
    </w:p>
    <w:p>
      <w:pPr>
        <w:spacing w:after="0" w:line="7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number of our ordinary shares issued and outstanding actual, pro forma and pro forma as-adjusted is based on 212,748,588 ordinary shares outstanding as of June 30, 2019 and excludes:</w:t>
      </w:r>
    </w:p>
    <w:p>
      <w:pPr>
        <w:spacing w:after="0" w:line="76" w:lineRule="exact"/>
        <w:rPr>
          <w:sz w:val="20"/>
          <w:szCs w:val="20"/>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11,882,124 ordinary shares issuable upon the exercise of options outstanding as of June 30,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9,992,682 ordinary shares available for future issuance under our Employee Stock Ownership Plan or any future share option plan.</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tables present selected consolidated financial data as of and for the years ended December 31, 2018 and 2017, as of June 30, 2019 and for the six months ended June 30, 2019 and 2018. We derived the selected consolidated statements of operations for the years ended December 31, 2018 and 2017 and the selected consolidated statement of financial position data as of December 31, 2018 from our audited consolidated financial statements included elsewhere in this prospectus. The selected consolidated statements of operations data for the six months ended June 30, 2019 and 2018 and the selected consolidated statement of financial position data as of June 30, 2019 have been derived from our unaudited interim condensed consolidated financial statements included elsewhere in this prospectus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6" w:lineRule="auto"/>
        <w:rPr>
          <w:sz w:val="20"/>
          <w:szCs w:val="20"/>
          <w:color w:val="auto"/>
        </w:rPr>
      </w:pPr>
      <w:r>
        <w:rPr>
          <w:rFonts w:ascii="Arial" w:cs="Arial" w:eastAsia="Arial" w:hAnsi="Arial"/>
          <w:sz w:val="17"/>
          <w:szCs w:val="17"/>
          <w:color w:val="auto"/>
        </w:rPr>
        <w:t>The selected consolidated financial data below should be read together with our consolidated financial statements and related notes, and our unaudited interim condensed consolidated financial statements included elsewhere in this prospectus, as well as the sections of this prospectus titled “Capitalization” and “Management’s Discussion and Analysis of Financial Condition and Results of Operations.” Our historical results for any prior period are not necessarily indicative of results to be expected in any future period, and the results for the six months ended June 30, 2019 are not necessarily indicative of the results to be expected for the full year ended December 31, 2019.</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For the Six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9"/>
            <w:vMerge w:val="restart"/>
          </w:tcPr>
          <w:p>
            <w:pPr>
              <w:jc w:val="right"/>
              <w:ind w:right="280"/>
              <w:spacing w:after="0"/>
              <w:rPr>
                <w:sz w:val="20"/>
                <w:szCs w:val="20"/>
                <w:color w:val="auto"/>
              </w:rPr>
            </w:pPr>
            <w:r>
              <w:rPr>
                <w:rFonts w:ascii="Arial" w:cs="Arial" w:eastAsia="Arial" w:hAnsi="Arial"/>
                <w:sz w:val="14"/>
                <w:szCs w:val="14"/>
                <w:b w:val="1"/>
                <w:bCs w:val="1"/>
                <w:color w:val="auto"/>
                <w:w w:val="93"/>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left="393"/>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413"/>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51,939</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43,398</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113,885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(110,643)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(58,454)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(91,702)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(29,831)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(53,854)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Finance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lease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(23,300)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(85,905)</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(90,846)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(23,310)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(48,262)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Loss attributable to non-controlling interests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(23,235)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(48,019)</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June 30,</w:t>
            </w:r>
          </w:p>
        </w:tc>
        <w:tc>
          <w:tcPr>
            <w:tcW w:w="280" w:type="dxa"/>
            <w:vAlign w:val="bottom"/>
          </w:tcPr>
          <w:p>
            <w:pPr>
              <w:spacing w:after="0"/>
              <w:rPr>
                <w:sz w:val="10"/>
                <w:szCs w:val="10"/>
                <w:color w:val="auto"/>
              </w:rPr>
            </w:pPr>
          </w:p>
        </w:tc>
        <w:tc>
          <w:tcPr>
            <w:tcW w:w="9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€ 284,890</w:t>
            </w:r>
          </w:p>
        </w:tc>
        <w:tc>
          <w:tcPr>
            <w:tcW w:w="2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411,495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722,369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337,879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Accumulated losses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(336,501)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information in “Selected Consolidated Financial Data” and our financial statements and related notes included elsewhere in this prospectus.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and elsewhere in this prospectus. Please also see “Cautionary Note Regarding Forward-Looking Statements.”</w:t>
      </w:r>
    </w:p>
    <w:p>
      <w:pPr>
        <w:spacing w:after="0" w:line="16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Our clinical stage pipeline includes eight product candidates in nine ongoing clinical trials. Our immunotherapy drug classes consist of mRNA therapeutics, engineered cell therapies, antibodies and small molecule immunomodulators, and our product candidates span oncology, infectious diseases and rare diseases.</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have assembled an exceptional team of over 1,100 employees and have established relationships with seven pharmaceutical collaborators, which comprise Genentech, Inc., or Genentech, Sanofi S.A., or Sanofi, Genmab A/S, or Genmab, Genevant Sciences GmbH, or Genevant, Eli Lilly and Company, or Eli Lilly, Bayer AG, or Bayer, and Pfizer Inc., or Pfizer. We have built out comprehensive in-house manufacturing capabilities and aim to strengthen our position as a leader in the highly automated, on-demand manufacturing of individualized therapies.</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raised $1.3 billion of capital in private placements of our shares and from our collaborators. We use the capital we have raised to fund operations and investing activities across research for technology creation, drug discovery and clinical development programs, infrastructure (including digital infrastructure), creation of our portfolio of intellectual property, and administrative support.</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Since we were founded we have incurred significant operating losses. Our net losses were €90.8 million and €23.3 million for the six months ended June 30, 2019 and 2018, respectively, and €48.3 million and €86.0 million for the years ended December 31, 2018 and 2017, respectively. As of June 30, 2019 our accumulated losses were €336.5 million and as of December 31, 2018 and 2017, they were €245.8 million and €197.8 million, respectively. We expect to continue to incur significant expenses and operating losses for the foreseeable future. In addition, we anticipate that our expenses will increase significantly in connection with our ongoing activities as we:</w:t>
      </w:r>
    </w:p>
    <w:p>
      <w:pPr>
        <w:spacing w:after="0" w:line="94" w:lineRule="exact"/>
        <w:rPr>
          <w:sz w:val="20"/>
          <w:szCs w:val="20"/>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5580" w:right="260" w:hanging="4836"/>
        <w:spacing w:after="0" w:line="449" w:lineRule="auto"/>
        <w:tabs>
          <w:tab w:leader="none" w:pos="11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initiate additional preclinical studies or clinical or other trials for our product candidates, including under our collaboration agreements; 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180" w:right="900" w:hanging="436"/>
        <w:spacing w:after="0" w:line="308" w:lineRule="auto"/>
        <w:tabs>
          <w:tab w:leader="none" w:pos="1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do not expect to generate revenue from the sale of our product candidates unless and until we successfully complete clinical development and obtain regulatory approval for such product candidates. If we seek to obtain regulatory approval for any of our product candidates, we expect to incur significant commercialization expenses.</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continued operations and pursue our growth strategy. Until we can generate significant revenue from pharmaceutical product sales, if ever, we expect to finance our operations through a combination of public or private equity offerings and debt financings, government funding arrangements, collaborations and marketing, distribution and licensing arrangements. We may be unable to raise additional funds or enter into such other arrangements on favorable terms, or at all. If we fail to raise capital or enter into such arrangements as, and when, needed, we may have to significantly delay, scale back or discontinue the development and commercialization of one or more of our programs.</w:t>
      </w:r>
    </w:p>
    <w:p>
      <w:pPr>
        <w:spacing w:after="0" w:line="193"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products, we may not become profitable. If we fail to become profitable or are unable to sustain profitability on a continuing basis, then we may be unable to continue our operations at planned levels and may be forced to reduce our operations.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About Our Business Units and Operating Segments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Our business is managed in two business units: our biotech business unit and our external services business unit. Our biotech business unit is comprised of the following three operating segments:</w:t>
      </w:r>
    </w:p>
    <w:p>
      <w:pPr>
        <w:spacing w:after="0" w:line="72" w:lineRule="exact"/>
        <w:rPr>
          <w:sz w:val="20"/>
          <w:szCs w:val="20"/>
          <w:color w:val="auto"/>
        </w:rPr>
      </w:pPr>
    </w:p>
    <w:p>
      <w:pPr>
        <w:ind w:left="1180" w:hanging="436"/>
        <w:spacing w:after="0" w:line="261"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Clinical</w:t>
      </w:r>
      <w:r>
        <w:rPr>
          <w:rFonts w:ascii="Arial" w:cs="Arial" w:eastAsia="Arial" w:hAnsi="Arial"/>
          <w:sz w:val="18"/>
          <w:szCs w:val="18"/>
          <w:color w:val="auto"/>
        </w:rPr>
        <w:t xml:space="preserve"> segment contains all development activities relating to clinical programs. Clinical trials include testing the product candidates on humans. Clinical trials are an essential part of the development and licensing of the pharmaceutical products and are performed before the respective product can be placed on the market. We are actively engaged in many collaborations and licensing deals with leading pharmaceutical companies and academic collaborators.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80" w:right="300" w:hanging="436"/>
        <w:spacing w:after="0" w:line="266"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Technology Platform</w:t>
      </w:r>
      <w:r>
        <w:rPr>
          <w:rFonts w:ascii="Arial" w:cs="Arial" w:eastAsia="Arial" w:hAnsi="Arial"/>
          <w:sz w:val="18"/>
          <w:szCs w:val="18"/>
          <w:color w:val="auto"/>
        </w:rPr>
        <w:t xml:space="preserve"> segment contains all development activities relating to preclinical programs. Preclinical development is the stage of research that begins before clinical trials. It is performed to determine the desired pharmacological effects and to identify any unwanted effects that may cause adverse reactions during human exposure.</w:t>
      </w:r>
    </w:p>
    <w:p>
      <w:pPr>
        <w:spacing w:after="0" w:line="81" w:lineRule="exact"/>
        <w:rPr>
          <w:rFonts w:ascii="Arial" w:cs="Arial" w:eastAsia="Arial" w:hAnsi="Arial"/>
          <w:sz w:val="18"/>
          <w:szCs w:val="18"/>
          <w:color w:val="auto"/>
        </w:rPr>
      </w:pPr>
    </w:p>
    <w:p>
      <w:pPr>
        <w:jc w:val="both"/>
        <w:ind w:left="1180" w:right="80" w:hanging="436"/>
        <w:spacing w:after="0" w:line="314" w:lineRule="auto"/>
        <w:tabs>
          <w:tab w:leader="none" w:pos="1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segment is an essential part of the research and development process as it includes the manufacturing unit of mRNA and engineered cell therapies. All of the medical substances and tools that form the basis for the research studies performed by BioNTech are manufactured in this segment (</w:t>
      </w:r>
      <w:r>
        <w:rPr>
          <w:rFonts w:ascii="Arial" w:cs="Arial" w:eastAsia="Arial" w:hAnsi="Arial"/>
          <w:sz w:val="16"/>
          <w:szCs w:val="16"/>
          <w:i w:val="1"/>
          <w:iCs w:val="1"/>
          <w:color w:val="auto"/>
        </w:rPr>
        <w:t>i.e.</w:t>
      </w:r>
      <w:r>
        <w:rPr>
          <w:rFonts w:ascii="Arial" w:cs="Arial" w:eastAsia="Arial" w:hAnsi="Arial"/>
          <w:sz w:val="16"/>
          <w:szCs w:val="16"/>
          <w:color w:val="auto"/>
        </w:rPr>
        <w:t>, the Manufacturing segment contains only internally produced substances and tools).</w:t>
      </w:r>
    </w:p>
    <w:p>
      <w:pPr>
        <w:spacing w:after="0" w:line="14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biotech business unit also includes our business services operations. Our business services operations comprise our central administrative functions, such as finance, procurement, human resources, legal and intellectual property. Revenue and expenses relating to a program are attributed to the Technology Platform segment until the program commences late-stage preclinical studies, including IND-enabling studies, at which time the program revenues and expenses are attributed to the Clinical segment. In addition, the majority of our Manufacturing segment revenue and expenses are related to the development of our clinical product candidates.</w:t>
      </w:r>
    </w:p>
    <w:p>
      <w:pPr>
        <w:spacing w:after="0" w:line="188"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Our external services business unit comprises the external services segment, which includes activities related to the sales of diagnostic products, peptides, retroviral vectors for clinical supply, and development and manufacturing services that are sold to third-party customers.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51,939</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€ 43,398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127,575</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€ 61,598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(8,694)</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(6,437)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(13,690)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113,885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(110,643)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(58,454)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(143,040)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(23,899)</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(9,665)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(26,334)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(91,702)</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(29,831)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(53,854)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(1,721)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(90,827)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(23,300)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(47,662)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(85,905)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(90,846</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(23,310</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(85,950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To date, we have not generated any revenue from the sale of pharmaceutical products. Our revenue has been primarily derived from our collaborations and the sale of diagnostic products, peptides, retroviral vectors for clinical supply, and development and manufacturing services that are sold to third-party customers.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24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revenue recognized for the periods indicated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left="379"/>
              <w:spacing w:after="0" w:line="142"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Collaboration revenue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42,023</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29,281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€ 101,837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42,333</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sales transactions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14,117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25,738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19,265</w:t>
            </w:r>
          </w:p>
        </w:tc>
      </w:tr>
      <w:tr>
        <w:trPr>
          <w:trHeight w:val="223"/>
        </w:trPr>
        <w:tc>
          <w:tcPr>
            <w:tcW w:w="4780" w:type="dxa"/>
            <w:vAlign w:val="bottom"/>
          </w:tcPr>
          <w:p>
            <w:pPr>
              <w:ind w:left="7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43,398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€ 127,575</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61,598</w:t>
            </w: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collaboration revenue for the periods indicated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4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left="376"/>
              <w:spacing w:after="0" w:line="142"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Eli Lilly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2,074</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Genentech</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31,750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49,536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27,829</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Genmab</w:t>
            </w: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2,740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2,740</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6,765</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Pfizer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7,174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Sanofi</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41,712</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5,665</w:t>
            </w:r>
          </w:p>
        </w:tc>
      </w:tr>
      <w:tr>
        <w:trPr>
          <w:trHeight w:val="27"/>
        </w:trPr>
        <w:tc>
          <w:tcPr>
            <w:tcW w:w="4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collaboration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29,281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101,837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42,333</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collaboration revenue consists of milestone payments, upfront licensing payments and reimbursement of development expenses. Certain of these payments are initially recorded on our statement of financial position and are subsequently recognized as revenue in accordance with our accounting policy as described further in “—Critical Accounting Policies and Use of Estimates” and Note 2.3.4 to our consolidated financial statements included elsewhere in this prospectus. Our collaborations with Bayer and Genevant did not result in any revenue in the six months ended June 30, 2019 or in 2018 and 2017. The increase in collaboration revenue from our Sanofi collaboration in 2018 was due primarily to a reimbursement of 50% of CellScript sublicense costs pursuant to a separate sub-sublicense agreement dated December 22, 2018.</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revenue from other sales transactions consists of sales of diagnostic products, peptides, retroviral vectors for clinical supply, and development and manufacturing services sold to third-party customers.</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ability to generate revenue from sales of pharmaceutical products and become profitable depends upon our and our collaborators’ ability to successfully commercialize our product candidates. For the foreseeable future, we do not expect revenue from pharmaceutical product sales. To the extent that existing or potential future collaborations generate revenue, our revenue may vary due to many uncertainties in the development of our product candidates and other factors.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further information on our revenue recognition policies, see “—Critical Accounting Policies and Use of Estimates—Revenue Recognition.”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cost of sales includes personnel-related expenses, social security expenses, laboratory supplies, purchased services, depreciation and other expenses incurred in connection with the manufacturing of our external products.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summarizes our cost of sales for the six months ended June 30, 2019 and 2018 and the years ended December 31, 2018 and 2017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Wages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€3,125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5,582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€5,115</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Social security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Laboratory supplies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1,367</w:t>
            </w:r>
          </w:p>
        </w:tc>
        <w:tc>
          <w:tcPr>
            <w:tcW w:w="4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700"/>
              <w:spacing w:after="0"/>
              <w:rPr>
                <w:sz w:val="20"/>
                <w:szCs w:val="20"/>
                <w:color w:val="auto"/>
              </w:rPr>
            </w:pPr>
            <w:r>
              <w:rPr>
                <w:rFonts w:ascii="Arial" w:cs="Arial" w:eastAsia="Arial" w:hAnsi="Arial"/>
                <w:sz w:val="18"/>
                <w:szCs w:val="18"/>
                <w:b w:val="1"/>
                <w:bCs w:val="1"/>
                <w:color w:val="auto"/>
              </w:rPr>
              <w:t>Total cost of sales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8,694</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13,690</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9,318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expenses. All research and development expenses are expensed as incurred. Research and development expenses include our share of expenses payable by us under the terms of our collaboration agreements and 100% of the expenses for our wholly owned product candidates. Research and development expenses represent costs incurred by us for the following:</w:t>
      </w:r>
    </w:p>
    <w:p>
      <w:pPr>
        <w:spacing w:after="0" w:line="92" w:lineRule="exact"/>
        <w:rPr>
          <w:sz w:val="20"/>
          <w:szCs w:val="20"/>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 to develop our platforms;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discovery efforts leading to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clinical development expenses for our programs;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 to develop our manufacturing technology and infrastructure;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digital infrastructure costs.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costs above comprise the following categories:</w:t>
      </w:r>
    </w:p>
    <w:p>
      <w:pPr>
        <w:spacing w:after="0" w:line="131" w:lineRule="exact"/>
        <w:rPr>
          <w:sz w:val="20"/>
          <w:szCs w:val="20"/>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share-based compensation expense and social security expense;</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contract research organizations, or CROs, that conduct our preclinical studies and clinical trials, and in-licensing arrangements;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of acquiring, developing and manufacturing materials for preclinical studies and clinical trials, including both internal manufacturing and third-party contract manufacturing organizations, or CMOs;</w:t>
      </w:r>
    </w:p>
    <w:p>
      <w:pPr>
        <w:spacing w:after="0" w:line="75"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expenses incurred for the procurement of materials, laboratory supplies and non-capital equipment used in the research and development process; and</w:t>
      </w:r>
    </w:p>
    <w:p>
      <w:pPr>
        <w:spacing w:after="0" w:line="75" w:lineRule="exact"/>
        <w:rPr>
          <w:rFonts w:ascii="Arial" w:cs="Arial" w:eastAsia="Arial" w:hAnsi="Arial"/>
          <w:sz w:val="18"/>
          <w:szCs w:val="18"/>
          <w:color w:val="auto"/>
        </w:rPr>
      </w:pPr>
    </w:p>
    <w:p>
      <w:pPr>
        <w:ind w:left="5580" w:hanging="4836"/>
        <w:spacing w:after="0" w:line="449" w:lineRule="auto"/>
        <w:tabs>
          <w:tab w:leader="none" w:pos="11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facilities, depreciation and amortization, and other direct and allocated expenses incurred as a result of research and development activities. 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research and development expenses for the six months ended June 30, 2019 and 2018 and the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2"/>
              </w:rPr>
              <w:t>Six Months Ended 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left="375"/>
              <w:spacing w:after="0" w:line="142" w:lineRule="exact"/>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Wages and social security expenses (excluding share-based compensation)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29,944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38,882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Purchased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31,702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19,078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42,079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22,686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Laboratory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12,351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700"/>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110,643</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58,454</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143,040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85,496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“other” research and development expenses comprise expenses in relation to clinical studies, travel costs, incidental rental costs, and lease and lease-related costs.</w:t>
      </w:r>
    </w:p>
    <w:p>
      <w:pPr>
        <w:spacing w:after="0" w:line="17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largest component of our total operating expenses has historically been our investment in research and development activities, including development of our platforms and manufacturing technologies. We cannot reasonably estimate the nature, timing and amount of research and development expenses required to complete the development of the product candidates we are currently developing or may develop in the future. There are numerous risks and uncertainties associated with the research and development of such product candidates, including, but not limited to:</w:t>
      </w:r>
    </w:p>
    <w:p>
      <w:pPr>
        <w:spacing w:after="0" w:line="60" w:lineRule="exact"/>
        <w:rPr>
          <w:sz w:val="20"/>
          <w:szCs w:val="20"/>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scope, progress and expense of developing ongoing and future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entry in and completion of related preclinical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enrollment in and completion of subsequent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safety and efficacy of product candidates resulting from these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changes in laws or regulations relevant to the investigational medicines in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receipt of the required regulatory approvals;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commercialization, including establishing manufacturing and marketing capabilities.</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 change in expectations or outcomes of any of the known or unknown risks and uncertainties may materially impact our expected research and development expenditures. Continued research and development is central to the ongoing activities of our business. Product candidates in later stages of clinical development generally have higher development expenses than those in earlier stages of clinical development, primarily due to the increased size and duration of later-stage clinical trials. We expect these costs to continue to increase in the future as our product candidates progress through the development phases and as we identify and develop additional programs.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Our sales and marketing expenses consist of personnel-related costs, purchased services, travel costs, social security, transport costs and depreciation. If we obtain regulatory approval for any of our product candidates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do not enter into any third-party commercialization collaborations, we expect to incur significant expenses related to building a sales and marketing team to support sales, marketing and distribution activities.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six months ended June 30, 2019, our sales and marketing expenses amounted to €1.2 million, €0.2 million of which constituted expenses for purchased services. For the six months ended June 30, 2018, our sales and marketing expenses amounted to €1.2 million, €0.4 million of which constituted expenses for purchased services.</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sales and marketing expenses amounted to €3.0 million in the fiscal year 2018, €0.8 million of which constituted expenses for purchased services. Our sales and marketing expenses amounted to €6.6 million in the fiscal year 2017, €2.8 million of which constituted expenses for purchased services.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general and administrative expenses for the six months ended June 30, 2019 and 2018 and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w w:val="92"/>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w w:val="94"/>
              </w:rPr>
              <w:t>Wages and social security expenses (excluding share-based compensation)</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6,578</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€3,085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7,854</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6,363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IT and office equipment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2,092</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services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Office costs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597</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23,899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9,665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26,334</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23,520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“other” general and administrative expenses are mainly comprised of travel costs, job advertisement expenses, contract staffing expenses, training expenses and incidental rental costs. For the period ended June 30, 2019, “other” general and administrative expenses also included a charge of €2.6 million in connection with certain withholding tax payments for intellectual property licenses related to prior years.</w:t>
      </w:r>
    </w:p>
    <w:p>
      <w:pPr>
        <w:spacing w:after="0" w:line="166"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anticipate general and administrative expenses will increase as research and development expands. These increases will likely relate to additional personnel and increased costs related in part to finance, legal and intellectual property-related matters along with increased expenses related to operating as a publicly traded company, such as fees related to audit, legal and tax services, regulatory compliance programs and investor relations.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Operating Income (Expenses)</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other operating income consists primarily of government grants. For the six months ended June 30, 2019, our other operating income amounted to €1.0 million, €0.4 million of which constituted government grants.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six months ended June 30, 2018, our other operating income amounted to €2.6 million, €2.2 million of which constituted government grants.</w:t>
      </w:r>
    </w:p>
    <w:p>
      <w:pPr>
        <w:spacing w:after="0" w:line="24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the fiscal year 2018, our other operating income amounted to €5.4 million, €4.2 million of which constituted government grants. In the fiscal year 2017, our other operating income amounted to €2.4 million, €2.3 million of which constituted government grants.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the fiscal year 2018, no impairment loss was recognized. In the fiscal year 2017, we suffered an impairment loss of €281 thousand as a result of a write-down of a software program which was no longer usable.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(Expenses)</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finance income consists of interest income on cash and foreign exchange gains. For the six months ended June 30, 2019, our finance income amounted to €1.9 million, €1.1 million of which were attributable to unrealized foreign exchange gains. For the six months ended June 30, 2018, our finance income amounted to €7.5 million, €6.3 million of which were attributable to unrealized foreign exchange gains.</w:t>
      </w:r>
    </w:p>
    <w:p>
      <w:pPr>
        <w:spacing w:after="0" w:line="166"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In the fiscal year 2018, finance income amounted to €8.0 million, €6.1 million of which were attributable to unrealized foreign exchange gains. In the fiscal year 2017, no foreign exchange gains were reported under finance income and our finance income amounted to €2.1 million.</w:t>
      </w:r>
    </w:p>
    <w:p>
      <w:pPr>
        <w:spacing w:after="0" w:line="147"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Our finance expense consists of the amortized cost of financial instruments and foreign exchange losses. For the six months ended June 30, 2019, our finance expense amounted to €151 thousand. We did not have any finance expense for the six months ended June 30, 2018.</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fiscal year 2018, no foreign exchange losses were reported under finance expense and our finance expense amounted to €48 thousand. In the fiscal year 2017, our finance expense amounted to €26.0 million, almost all of which was attributable to unrealized foreign exchange losses resulting from unhedged U.S. dollar cash accounts.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Losses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We have accumulated tax losses with respect to corporate tax and trade tax. As at June 30, 2019, our accumulated tax losses amounted to €229.5 million with respect to corporate tax and €226.5 million with respect to trade tax.</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had accumulated tax losses of €179.3 million with respect to corporate tax and €176.4 million with respect to trade tax as at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2018. We had accumulated tax losses of €178.5 million with respect to corporate tax and €176.0 million with respect to trade tax as at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Biotech Business Unit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statements of operations of our biotech business unit, consisting of the Clinical, Technology Platform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Manufacturing segments and the associated business services operations for each period presented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42,496</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€ 34,910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108,662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108,622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(110,472)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(58,087)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(142,448)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(83,583)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(22,554)</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(8,544)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(23,791)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result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(30,005</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(55,659</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(65,326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Six Months Ended June 30, 2019 and 2018</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revenue of our biotech business unit by segment for each period presented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Technology Platform</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9,991</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(9,528)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Business Services</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unit revenue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total revenue of our biotech business unit increased by €7.6 million, or 22%, to €42.5 million as at June 30, 2019 from €34.9 million as at June 30, 2018. This increase was driven by increases in revenue in our Clinical and Manufacturing segments, offset by a decrease in revenue in our Technology Platform segment.</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increase in revenue in our Clinical segment of €5.0 million, from €13.4 million for the six months ended June 30, 2018 to €18.4 million for the six months ended June 30, 2019, was predominantly due to the progress of our collaboration agreement with Pfizer into the clinical stage from the research stage.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decrease in revenue in our Technology Platform segment of €9.5 million, from €10.0 million for the six months ended June 30, 2018 to €0.5 million for the six months ended June 30, 2019, is due to the progress of our collaboration agreement with Sanofi from the research stage into the clinical stage as described above, because revenue from such collaboration agreement was recorded in our Technology Platform segment for the six months ended June 30, 2018. The decrease was also due to the occurrence of the Transfer and License Agreement with Ganymed for Bispecific Antibodies in the six months ended June 30, 2018, which did not reoccur in the six months ended June 30, 2019.</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240" w:top="459" w:right="5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The increase in revenue in our Manufacturing segment of €12.1 million, from €11.5 million for the six months ended June 30, 2018 to €23.6 million for the six months ended June 30, 2019, was primarily due to progress in our collaboration agreement with Genentech.</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summarizes the research and development expenses of our biotech business unit by segment for each period presented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9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9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Technology Platform</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27,350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10,864</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Business Services</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3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unit research and development expenses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€ 58,087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research and development expenses of our biotech business unit increased by €52.4 million, or 90%, to €110.5 million as at June 30, 2019 from €58.1 million as at June 30, 2018. This increase was due to an increase in headcount, the introduction of the ESOP program and higher expenses regarding our collaboration agreements.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clinical research and development expenses, by drug class and selected platforms, for the six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and 2018 (in thousands):</w:t>
      </w:r>
    </w:p>
    <w:p>
      <w:pPr>
        <w:spacing w:after="0" w:line="22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Six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mRNA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FixVac</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iNeST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mRNA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Total mRNA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25,199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10,720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Engineered Cell Therapies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Small Molecule Immunomodulators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10,666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clinical research and development expenses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43,686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18,726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€10.7 million increase in other mRNA clinical research and development expenses mainly relates to new collaboration agreements and license programs with existing partners that were initiated in the second half of 2018 and therefore only affected the six months ended June 30, 2019.</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Other clinical research and development expenses primarily consist of share-based compensation, which is not directly related to individual drug classes and platforms.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sales and marketing expenses of our biotech business unit consist of sales and marketing expenses which are not directly attributable to one of our operating segments and are allocated to business services.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sales and marketing expenses of our biotech business unit increased by €9 thousand, or 2%, to €569 thousand as at June 30, 2019 from €560 thousand as at June 30,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general and administrative expenses of our biotech business unit are attributable to the Manufacturing segment and business services.</w:t>
      </w:r>
    </w:p>
    <w:p>
      <w:pPr>
        <w:spacing w:after="0" w:line="23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general and administrative expenses of our biotech business unit increased by €14.0 million, or 164%, to €22.6 million as at June 30, 2019 from €8.6 million as at June 30, 2018. This increase was due to an increase in headcount, the expense recognized from the granting of options under the ESOP program an expense for withholding tax related to prior years, expenses related to the Series B financing round and expenses for an additional office building.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Result</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other result of our biotech business unit mostly relates to a decrease in government grants. This income decreased by €1.7 million, or 75%, to €588 thousand as at June 30, 2019 from €2.3 million as at June 30,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revenue of our biotech business unit by segment for each period presented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9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€ 25,721</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Technology Platform</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31,407</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23,527</w:t>
            </w: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Business Services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unit revenue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108,662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€ 42,657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66,005</w:t>
            </w: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total revenue of our biotech business unit increased by €66.0 million, or 155% from €42.7 million to €108.7 million, due to a significant increase in the revenue recognition of our collaboration revenue, particularly with respect to our collaborations with Genentech (in the Clinical and Manufacturing segments) and Sanofi, as well as revenue from our collaboration with Pfizer, which was entered into in 2018. In the Technology Platform segment, 2018 revenue included €3.9 million for outlicensing patents and know-how to a third party. No further payments are due.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the research and development expenses of our biotech business unit by segment for each period presented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48,641</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€ 25,099</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23,542</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Technology Platform</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23,301</w:t>
            </w: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Business Services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1,979</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w:t>
            </w:r>
          </w:p>
        </w:tc>
        <w:tc>
          <w:tcPr>
            <w:tcW w:w="3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(4,722)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unit research and development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83,583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research and development expenses of our biotech business unit increased by €58.9 million, or 70%, to €142.4 million in 2018 from</w:t>
      </w:r>
    </w:p>
    <w:p>
      <w:pPr>
        <w:spacing w:after="0" w:line="23"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€83.6 million in 2017. This increase was primarily due to increase in clinical development activities, manufacturing for the iNeST clinical study supply and increased headcount.</w:t>
      </w:r>
    </w:p>
    <w:p>
      <w:pPr>
        <w:spacing w:after="0" w:line="18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summarizes our clinical research and development expenses, broken down by drug class and selected platforms, for the years ended December 31, 2018 and 2017 (in thousands):</w:t>
      </w:r>
    </w:p>
    <w:p>
      <w:pPr>
        <w:spacing w:after="0" w:line="189"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6350</wp:posOffset>
            </wp:positionV>
            <wp:extent cx="1191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8200"/>
        <w:spacing w:after="0"/>
        <w:tabs>
          <w:tab w:leader="none" w:pos="92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w:t>
            </w: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mRNA FixVac</w:t>
            </w:r>
          </w:p>
        </w:tc>
        <w:tc>
          <w:tcPr>
            <w:tcW w:w="780" w:type="dxa"/>
            <w:vAlign w:val="bottom"/>
          </w:tcPr>
          <w:p>
            <w:pPr>
              <w:jc w:val="right"/>
              <w:spacing w:after="0"/>
              <w:rPr>
                <w:sz w:val="20"/>
                <w:szCs w:val="20"/>
                <w:color w:val="auto"/>
              </w:rPr>
            </w:pPr>
            <w:r>
              <w:rPr>
                <w:rFonts w:ascii="Arial" w:cs="Arial" w:eastAsia="Arial" w:hAnsi="Arial"/>
                <w:sz w:val="18"/>
                <w:szCs w:val="18"/>
                <w:color w:val="auto"/>
              </w:rPr>
              <w:t>€3,018</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€2,539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iNeST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Other mRNA</w:t>
            </w:r>
          </w:p>
        </w:tc>
        <w:tc>
          <w:tcPr>
            <w:tcW w:w="780" w:type="dxa"/>
            <w:vAlign w:val="bottom"/>
          </w:tcPr>
          <w:p>
            <w:pPr>
              <w:jc w:val="right"/>
              <w:spacing w:after="0"/>
              <w:rPr>
                <w:sz w:val="20"/>
                <w:szCs w:val="20"/>
                <w:color w:val="auto"/>
              </w:rPr>
            </w:pPr>
            <w:r>
              <w:rPr>
                <w:rFonts w:ascii="Arial" w:cs="Arial" w:eastAsia="Arial" w:hAnsi="Arial"/>
                <w:sz w:val="18"/>
                <w:szCs w:val="18"/>
                <w:color w:val="auto"/>
              </w:rPr>
              <w:t>9,441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mRNA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Engineered Cell Therapies</w:t>
            </w:r>
          </w:p>
        </w:tc>
        <w:tc>
          <w:tcPr>
            <w:tcW w:w="780" w:type="dxa"/>
            <w:vAlign w:val="bottom"/>
          </w:tcPr>
          <w:p>
            <w:pPr>
              <w:jc w:val="right"/>
              <w:spacing w:after="0"/>
              <w:rPr>
                <w:sz w:val="20"/>
                <w:szCs w:val="20"/>
                <w:color w:val="auto"/>
              </w:rPr>
            </w:pPr>
            <w:r>
              <w:rPr>
                <w:rFonts w:ascii="Arial" w:cs="Arial" w:eastAsia="Arial" w:hAnsi="Arial"/>
                <w:sz w:val="20"/>
                <w:szCs w:val="20"/>
                <w:color w:val="auto"/>
              </w:rPr>
              <w:t>653</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2,213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Antibodies</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14,353</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r>
      <w:tr>
        <w:trPr>
          <w:trHeight w:val="230"/>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Small Molecule Immunomodulators</w:t>
            </w:r>
          </w:p>
        </w:tc>
        <w:tc>
          <w:tcPr>
            <w:tcW w:w="780" w:type="dxa"/>
            <w:vAlign w:val="bottom"/>
          </w:tcPr>
          <w:p>
            <w:pPr>
              <w:jc w:val="right"/>
              <w:spacing w:after="0"/>
              <w:rPr>
                <w:sz w:val="20"/>
                <w:szCs w:val="20"/>
                <w:color w:val="auto"/>
              </w:rPr>
            </w:pPr>
            <w:r>
              <w:rPr>
                <w:rFonts w:ascii="Arial" w:cs="Arial" w:eastAsia="Arial" w:hAnsi="Arial"/>
                <w:sz w:val="20"/>
                <w:szCs w:val="20"/>
                <w:color w:val="auto"/>
              </w:rPr>
              <w:t>1,497</w:t>
            </w:r>
          </w:p>
        </w:tc>
        <w:tc>
          <w:tcPr>
            <w:tcW w:w="28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20"/>
                <w:szCs w:val="20"/>
                <w:color w:val="auto"/>
              </w:rPr>
              <w:t>—</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6,344</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Total clinical research and development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€48,641</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Other clinical research and development expenses primarily consist of share-based compensation, which is not directly related to individual drug classes and platforms.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sales and marketing expenses of our biotech business unit decreased by €2.8 million, or 57%, to €2.1 million in 2018 from €4.9 million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This decrease was primarily due to a reduction of purchased sales and marketing services.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general and administrative expenses of our biotech business unit increased by €2.7 million, or 13%, to €23.8 million in 2018 from</w:t>
      </w:r>
    </w:p>
    <w:p>
      <w:pPr>
        <w:spacing w:after="0" w:line="35"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€21.1 million in 2017. This increase was primarily due to increased purchased administrative services, information technology and office equipment as well as increased depreciation.</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24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Result</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other result of our biotech business unit increased by €2.5 million, or 154%, to income of €4.1 million in fiscal year 2018 from income of €1.6 million in fiscal year 2017. This increase was primarily attributable to an increase in government grants.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External Services Business Unit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statements of operations of our external services business unit for each period presented (in thousands):</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€ 9,443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18,914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18,941</w:t>
            </w:r>
          </w:p>
        </w:tc>
        <w:tc>
          <w:tcPr>
            <w:tcW w:w="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(6,386)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(13,358)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(9,318)</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300" w:type="dxa"/>
            <w:vAlign w:val="bottom"/>
            <w:shd w:val="clear" w:color="auto" w:fill="CCEEFF"/>
          </w:tcPr>
          <w:p>
            <w:pPr>
              <w:spacing w:after="0"/>
              <w:rPr>
                <w:sz w:val="18"/>
                <w:szCs w:val="18"/>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(1,912)</w:t>
            </w:r>
          </w:p>
        </w:tc>
        <w:tc>
          <w:tcPr>
            <w:tcW w:w="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(1,698)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(1,127)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(2,427)</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result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(1,191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300" w:type="dxa"/>
            <w:vAlign w:val="bottom"/>
          </w:tcPr>
          <w:p>
            <w:pPr>
              <w:spacing w:after="0"/>
              <w:rPr>
                <w:sz w:val="19"/>
                <w:szCs w:val="19"/>
                <w:color w:val="auto"/>
              </w:rPr>
            </w:pPr>
          </w:p>
        </w:tc>
      </w:tr>
    </w:tbl>
    <w:p>
      <w:pPr>
        <w:spacing w:after="0" w:line="21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Our external services business unit’s operating profit decreased by €1.4 million to an operating loss of €1.2 million as at June 30, 2019 from an operating profit of €174 thousand as at June 30, 2018. This decrease was mainly due to an increase in cost of sales and an increase in general and administrative expenses.</w:t>
      </w:r>
    </w:p>
    <w:p>
      <w:pPr>
        <w:spacing w:after="0" w:line="18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external services business unit’s operating profit decreased by €2.3 million, or 57%, during the year ended December 31, 2018, compared to the prior year. The decrease was primarily attributable to an increase in cost of sales by €4.0 million, or 43%, partially offset by a decrease in research and development and sales and marketing expenses in 2018 by €1.8 million, or 50%.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have historically funded our operations primarily from private placements of our ordinary shares, proceeds from collaborators and services and proceeds from secured bank loans. As of June 30, 2019, we had cash and cash equivalents of €284.9 million. Cash and cash equivalents are invested in accordance with our investment policy, primarily with a view to liquidity and capital preservation, and consist primarily of cash in banks and on hand and short-term deposits with an original maturity of three months or less, which are stated at fair value.</w:t>
      </w:r>
    </w:p>
    <w:p>
      <w:pPr>
        <w:spacing w:after="0" w:line="17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maintain two secured credit facilities with Deutsche Bank AG, or Deutsche Bank, to finance the buildout of our JPT Peptide Technologies GmbH facility and Innovative Manufacturing Services GmbH (IMFS) facility. Our €10.0 million secured credit facility, entered into with Deutsche Bank by our subsidiary BioNTech Innovative Manufacturing Services GmbH, bears interest at a rate of 2.15% and matures on December 30, 2027. We have drawn €7.0 million under this facility as of June 30, 2019. The loan is repayable in equal quarterly installments of €312.5 thousand commencing on March 31, 2020. Our €9.45 million secured credit facility, entered into with Deutsche Bank by our subsidiary JPT Peptide Technologies GmbH, bears interest at a rate of 2.08% and matures on September 30, 2028. We have drawn €4.6 million as of June 30, 2019. The loan is repayable by quarterly installments of €286.4 thousand commencing on September 30, 2020. The loan is drawn as construction costs are incurred, and we expect the loan to be fully drawn at January 15, 2020. Each of these facilities is secured by liens over our property.</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primary sources and uses of cash for each period presented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180" w:type="dxa"/>
            <w:vAlign w:val="bottom"/>
          </w:tcPr>
          <w:p>
            <w:pPr>
              <w:spacing w:after="0"/>
              <w:rPr>
                <w:sz w:val="14"/>
                <w:szCs w:val="14"/>
                <w:color w:val="auto"/>
              </w:rPr>
            </w:pPr>
          </w:p>
        </w:tc>
        <w:tc>
          <w:tcPr>
            <w:tcW w:w="20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left="39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(85,689)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(69,677)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 (58,180)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(52,562)</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(39,521)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(52,549)</w:t>
            </w: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227,736</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365,177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rate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cash inflow (outflow)</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(126,605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121,204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€ 239,389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(131,573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derive cash flows from operations primarily from collaborations, the sale of products and services rendered. Our cash flows from operating activities are significantly influenced by our use of cash for operating expenses and working capital to support the business. We have historically experienced negative cash flows from operating activities as we have invested in the development of our technologies and manufacturing capabilities, as well as for clinical and preclinical development of our product candidates.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2019 was €85.7 million, comprising a loss before tax of €90.8 million, non-cash adjustments of €34.0 million, and a net negative change in assets and liabilities of €28.8 million. Non-cash items primarily included depreciation and share-based compensation expenses. The net negative change in assets and liabilities was primarily due to an increase in trade receivables and a decrease in payables and liabilities.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2018 was €69.7 million, comprising a loss before tax of €23.3 million, non-cash adjustments of €5.9 million, and a net negative change in assets and liabilities of €52.3 million. Non-cash items primarily included depreciation and net foreign exchange differences. The net negative change in assets and liabilities was primarily due to a decrease in trade receivables and in payables and liabilities.</w:t>
      </w:r>
    </w:p>
    <w:p>
      <w:pPr>
        <w:spacing w:after="0" w:line="187"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Net cash used in operating activities for the year ended December 31, 2018 was €58.2 million, comprising a loss before tax of €47.7 million, non-cash adjustments of €30.5 million, and a net negative change in assets and liabilities of €41.0 million. Non-cash items primarily included depreciation and share-based compensation expenses. The net negative change in assets and liabilities was primarily due to an increase in trade receivables and in payables and liabilities.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Net cash used in operating activities for the year ended December 31, 2017 was €52.6 million, comprising a loss before tax of €85.9 million, non-cash adjustments of €43.1 million, and a net negative change in assets and liabilities of €9.8 million. Non-cash items primarily included depreciation and share-based compensation expenses and exchange rate differences. The net negative change in assets and liabilities was primarily due to a decrease in payables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2019 was €45.8 million, of which €29.7 million was attributable to the purchase of intangible assets, including the final installment payment for the license agreement for the CellScript patent, and €10.6 million was attributable to the purchase of property, plant and equipment, partially offset by proceeds from the sale of property, plant and equipment amounting to €0.6 million.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Net cash used in investing activities for the six months ended June 30, 2018 was €39.5 million, of which €27.6 million was attributable to the purchase of intangible assets, including payment for the license agreement for the CellScript patent, and €12.3 million was attributable to the purchase of property, plant and equipment, partially offset by proceeds from the sale of property, plant and equipment amounting to €0.5 million.</w:t>
      </w:r>
    </w:p>
    <w:p>
      <w:pPr>
        <w:spacing w:after="0" w:line="166"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Net cash used in investing activities for the year ended December 31, 2018 was €67.1 million, of which €37.3 million was attributable to the purchase of intangible assets, including payment for the license agreement for the CellScript patent, and €30.6 million was attributable to the purchase of property, plant and equipment, partially offset by proceeds from the sale of property, plant and equipment amounting to €705 thousand.</w:t>
      </w:r>
    </w:p>
    <w:p>
      <w:pPr>
        <w:spacing w:after="0" w:line="14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Net cash used in investing activities for the year ended December 31, 2017 was €52.5 million, of which €33.4 million was attributable to the purchase of intangible assets, including payment for the license agreement for the CellScript patent, and €24.3 million was attributable to the purchase of property, plant and equipment, partially offset by proceeds from the sale of property, plant and equipment amounting to €5.2 million.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primary financing activities consist of issuances of share capital, proceeds from bank loans and payments of finance lease liabilities.</w:t>
      </w:r>
    </w:p>
    <w:p>
      <w:pPr>
        <w:spacing w:after="0" w:line="23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During the six months ended June 30, 2019, we generated cash from financing activities of €4.9 million, primarily from proceeds from loans and borrowings in the amount of €6.0 million, partially offset by the payment of finance lease liabilities in the amount of €1.3 million.</w:t>
      </w:r>
    </w:p>
    <w:p>
      <w:pPr>
        <w:spacing w:after="0" w:line="14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During the six months ended June 30, 2018, we generated cash from financing activities of €227.7 million, primarily from proceeds from the issuance of shares in the amount of €228.8 million, partially offset by the payment of finance lease liabilities in the amount of €1.1 million.</w:t>
      </w:r>
    </w:p>
    <w:p>
      <w:pPr>
        <w:spacing w:after="0" w:line="124"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During the year ended December 31, 2018, we generated cash from financing activities of €365.2 million, primarily from proceeds from the issuance of shares in the amount of €361.7 million and proceeds from loans and borrowings in the amount of €5.6 million, partially offset by the payment of finance lease liabilities in the amount of €2.1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had insignificant financing activities in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Since our inception, we have incurred significant losses and negative cash flows from operations due to our significant research and development expenses and our investment in our manufacturing capabilities. We have accumulated losses of €336.5 million as of June 30, 2019 and €245.8 million as of December 31, 2018. We expect to continue to incur significant losses in the foreseeable future and expect our expenses to increase in connection with our ongoing activities, particularly as we continue research and development and clinical activities for our product candidates. In addition, upon the closing of this offering, we expect to incur additional costs associated with operating as a public company. Our expenses will also increase if, and as, we:</w:t>
      </w:r>
    </w:p>
    <w:p>
      <w:pPr>
        <w:spacing w:after="0" w:line="64" w:lineRule="exact"/>
        <w:rPr>
          <w:sz w:val="20"/>
          <w:szCs w:val="20"/>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initiate additional preclinical studies or clinical or other trials for our product candidates, including under our collaboration agreements;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180" w:right="920" w:hanging="436"/>
        <w:spacing w:after="0" w:line="308" w:lineRule="auto"/>
        <w:tabs>
          <w:tab w:leader="none" w:pos="1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are subject to all of the risks related to the development and commercialization of pharmaceutical products, and we may encounter unforeseen expenses, difficulties, complications, delays and other unknown factors that may adversely affect our business.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We believe that our existing cash and cash equivalents, together with the proceeds of this offering, will be sufficient to enable us to fund our operating expenses and capital expenditure requirements through at least the next 24 months.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1180" w:hanging="436"/>
        <w:spacing w:after="0"/>
        <w:tabs>
          <w:tab w:leader="none" w:pos="1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or nonclinical studies and clinical trials for our product candidates;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30" w:lineRule="exact"/>
        <w:rPr>
          <w:rFonts w:ascii="Arial" w:cs="Arial" w:eastAsia="Arial" w:hAnsi="Arial"/>
          <w:sz w:val="18"/>
          <w:szCs w:val="18"/>
          <w:color w:val="auto"/>
        </w:rPr>
      </w:pPr>
    </w:p>
    <w:p>
      <w:pPr>
        <w:ind w:left="1180" w:right="76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regulatory authorities;</w:t>
      </w:r>
    </w:p>
    <w:p>
      <w:pPr>
        <w:spacing w:after="0" w:line="75" w:lineRule="exact"/>
        <w:rPr>
          <w:rFonts w:ascii="Arial" w:cs="Arial" w:eastAsia="Arial" w:hAnsi="Arial"/>
          <w:sz w:val="18"/>
          <w:szCs w:val="18"/>
          <w:color w:val="auto"/>
        </w:rPr>
      </w:pPr>
    </w:p>
    <w:p>
      <w:pPr>
        <w:ind w:left="1180" w:right="40" w:hanging="436"/>
        <w:spacing w:after="0" w:line="312" w:lineRule="auto"/>
        <w:tabs>
          <w:tab w:leader="none" w:pos="1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52" w:lineRule="exact"/>
        <w:rPr>
          <w:rFonts w:ascii="Arial" w:cs="Arial" w:eastAsia="Arial" w:hAnsi="Arial"/>
          <w:sz w:val="16"/>
          <w:szCs w:val="16"/>
          <w:color w:val="auto"/>
        </w:rPr>
      </w:pPr>
    </w:p>
    <w:p>
      <w:pPr>
        <w:ind w:left="1180" w:right="52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0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that have or are reasonably likely to have a current or future effect on our financial condition, revenues or expenses, results of operations, liquidity, capital expenditures or capital resources.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such obligations are expected to have on our liquidity and cash flows in future periods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7"/>
              </w:rPr>
              <w:t>Less</w:t>
            </w:r>
          </w:p>
        </w:tc>
        <w:tc>
          <w:tcPr>
            <w:tcW w:w="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1 – 3</w:t>
            </w:r>
          </w:p>
        </w:tc>
        <w:tc>
          <w:tcPr>
            <w:tcW w:w="160" w:type="dxa"/>
            <w:vAlign w:val="bottom"/>
          </w:tcPr>
          <w:p>
            <w:pPr>
              <w:spacing w:after="0"/>
              <w:rPr>
                <w:sz w:val="10"/>
                <w:szCs w:val="10"/>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0"/>
                <w:szCs w:val="10"/>
                <w:color w:val="auto"/>
              </w:rPr>
            </w:pPr>
          </w:p>
        </w:tc>
        <w:tc>
          <w:tcPr>
            <w:tcW w:w="62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than 1</w:t>
            </w: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Leases</w:t>
            </w:r>
          </w:p>
        </w:tc>
        <w:tc>
          <w:tcPr>
            <w:tcW w:w="2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€ 73,669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56,524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Loans</w:t>
            </w:r>
          </w:p>
        </w:tc>
        <w:tc>
          <w:tcPr>
            <w:tcW w:w="2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€ 79,269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56,524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have lease agreements for land and buildings in all of our locations, which will expire from 2019 to 2027. In addition, we have various leases for equipment and cars which will expire in 2019 and 2020. The amounts in the table above represent our fixed contractual lease obligations and do not include the optional extensions.</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Our consolidated financial statements for the six months ended June 30, 2019 and June 30, 2018, respectively, and the fiscal years ending December 31, 2018 and 2017, respectively have been prepared in accordance with IFRS, as issued by the IASB.</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preparation of the consolidated financial statements in accordance with IFRS required the use of estimates and assumptions by the management that affect the value of assets and liabilities—as well as contingent assets and liabilities—as reported on the balance sheet date, and revenues and expenses arising during the fiscal year. The main areas in which assumptions, estimates and the exercising of a degree of discretion are appropriate relate to the determination of the useful lives of non-current assets and the formation of provisions, as well as income taxes. We based our assumptions and estimates on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believe that the following accounting policies are critical to the process of making significant judgments and estimates in the preparation of our consolidated financial statements. We have reviewed these critical accounting policies and estimates with the audit committee of our Supervisory Board.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through collaboration and license agreements, rendering of services and sales of products.</w:t>
      </w:r>
    </w:p>
    <w:p>
      <w:pPr>
        <w:spacing w:after="0" w:line="22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Under our collaboration and license agreements, described in more detail in “Business—XIV. Third-Party Strategic Collaborations,” we receive milestone payments, up-front licensing payments and reimbursement of development expenses, for committing to collaborate with the respective collaborator to research and develop certain pharmaceutical products. Such collaboration agreements also include licenses of certain of our intellectual property to the respective collaborators. As these agreements comprise several promises, it must be assessed whether these promises are capable of being distinct within the context of the contract. For some agreements, this results in us accounting for all goods and services promised in a collaboration and license agreement as a single performance obligation with a single measure of progress. We determined that the grant of the license is the predominant promise within the (combined) performance obligation and the promise to grant a license is accounted for as a performance obligation satisfied over time as our customer simultaneously receives and consumes the benefits from our performance. Up-front licensing payments and reimbursement for development expenses are initially deferred on our statement of financial position and subsequently recognized as revenue over time, either as costs are incurred or over the length of the agreement, as above. Milestone payments are included in the transaction price at the amount stipulated in the respective agreement and recognized as revenue if the occurrence of reaching the future milestone is highly probable.</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collaboration and license agreements may also provide for additional profit-sharing or royalty income, to the extent a pharmaceutical product is successfully commercialized. To date, no such income has been recognized.</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provide development and manufacturing services to customers and recognize revenue over time using an input-based method to measure progress toward complete satisfaction of the service because the customer simultaneously receives and consumes the benefits provided. We recognize such revenue based on a fixed agreed amount and therefore it is not subject to estimation.</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recognize revenue from the sale of medical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for clinical supply) when control has been transferred. The transaction price is quoted in the relevant price lists in force at the date of the customer placing the respective order for such products, and is not subject to significant discounts or rebates.</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For further information regarding our revenue recognition policy, please refer to Note 2.3.4 of our consolidated financial statements included elsewhere in this prospectus.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are expensed as incurred.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Employees (and others providing similar services) receive remuneration in the form of share-based payments which are settled in equity instruments (equity-settled transactions). In addition, in the past, employees and others providing similar services were granted share appreciation rights which were settled in equity instruments (equity-settled transactions).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cost of equity-settled transactions is determined by the fair value at the grant date. These costs are recognized in research and development expenses, sales and marketing expenses or general and administrative expenses, together with a corresponding increase in equity (other capital reserves), over the period in which the service is provided (the vesting period). The cumulative expense recognized for equity-settled transactions at each reporting date until the vesting date reflects the extent to which the vesting period has expired and our best estimate of the number of equity instruments that will ultimately vest. The expenses or credits in the statement of profit or loss for a period represent the movement in cumulative expense recognized as at the beginning and end of that period.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Share-Based Awards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 Ownership Plan</w:t>
      </w:r>
    </w:p>
    <w:p>
      <w:pPr>
        <w:spacing w:after="0" w:line="11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On November 15, 2018, we established a share option program that grants selected employees options to receive shares in the Company. The program is designed as an Employee Stock Ownership Plan and option grants are classified as share-based equity-settled remuneration. As at June 30, 2019, we had options outstanding representing 11,882,124 ordinary shares with a weighted-average exercise price of €10.141.</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share options were issued to the management board: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Ordinary</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Options</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Options</w:t>
            </w: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Prof. Ugur Sahin, M.D.</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101,686</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1,830,348</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33,895</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610,110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33,895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610,110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108,463</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1,952,334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fair value of the employee share options has been measured using a binomial model. Service conditions were not taken into account in measuring the fair value.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option rights generally fully vest after four years (except that Dr. Türeci’s option vested on March 16, 2019 and except for one similar arrangement in the case of a senior employee) and can only be exercised if: (i) we have executed a public offering; (ii) the waiting period of four years has elapsed; and (iii) at the time of exercise, the average closing price of the shares of the Company or the average closing price of the right or certificate to be converted into an amount per share in the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will be forfeited without compensation if not exercised within eight years after the allocation date. Both of these conditions have been incorporated into the fair value at grant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inputs used in the measurement of the fair values at grant date of the Employee Stock Ownership Plan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Grant Dates</w:t>
            </w: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Grant Dates</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Grant Date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Between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Between</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21 and</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29 and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14.40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15.72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share price at grant date was determined by reference to an observable transaction. We involved an independent third-party appraiser to confirm that the transaction selected was appropriate for the purposes of determining fair value. Expected volatility was based on an evaluation of the historical and the implied volatilities of comparable companies over the historical period commensurate with the expected term. The expected term was based on general optionholder behavior for employee options.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we operate and generate taxable income. Management periodically evaluates positions taken in the tax returns with respect to situations in which applicable tax regulations are subject to interpretation and establishes provisions where appropriate.</w:t>
      </w:r>
    </w:p>
    <w:p>
      <w:pPr>
        <w:spacing w:after="0" w:line="171"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Deferred tax is provided using the liability method on temporary differences between the tax bases of assets and liabilities and their carrying amounts for financial reporting purposes at the reporting date. As long as taxable profit is not probable, no tax assets are recognized.</w:t>
      </w:r>
    </w:p>
    <w:p>
      <w:pPr>
        <w:spacing w:after="0" w:line="124"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Deferred tax items are recognized in correlation with the underlying transaction either in other comprehensive income or directly in equity.</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offset deferred tax assets and deferred tax liabilities if and only if we have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standards applied for the first time as of January 1, 2019, as disclosed in note 2.5 to the consolidated financial statements as of December 31, 2018, had no impact on our interim condensed consolidated financial statements as of June 30,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Standards/Interpretation</w:t>
            </w: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Date of</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Application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IFRIC 23</w:t>
            </w:r>
          </w:p>
        </w:tc>
        <w:tc>
          <w:tcPr>
            <w:tcW w:w="62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Uncertainty over income tax treatment</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 2019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Amendments to IFRS 9</w:t>
            </w: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Prepayment features with negative compensation</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19</w:t>
            </w:r>
          </w:p>
        </w:tc>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 amendment, curtailment or settlement</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Amendments to IAS 28</w:t>
            </w: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Long-term interests in associates and joint ventures</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Annual improvements 2015 -2017 Cycle</w:t>
            </w:r>
          </w:p>
        </w:tc>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Annual improvement cycle to IFRS 2015 -2017</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are exposed to various risks in relation to financial instruments, including liquidity risk and currency risk. Our risk management is coordinated by our executive board. We do not engage in the trading of financial assets for speculative purposes. The most significant financial risks to which we are exposed include the risks discussed below.</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subject to currency risk, as our income and expenditures are denominated in Euro and the U.S. dollar. As such, we are exposed to exchange rate fluctuations between these currencies. We aim to match U.S. dollar cash inflows with U.S. dollar cash outflows where possible, and we do not hedge this exposure. If we increase sales of our products in the United States, we would expect to have significant increases in cash balances, revenues and sales and marketing expenses denominated in U.S. dollars, while we would expect the majority of our development and operating expenses to remain denominated in Euro.</w:t>
      </w:r>
    </w:p>
    <w:p>
      <w:pPr>
        <w:spacing w:after="0" w:line="18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publish our consolidated financial statements in Euro. Revenue and expenses incurred in U.S. dollars will be translated into Euro when they are reported in our consolidated financial statements. As a result, any substantial future appreciation or decline of the U.S. dollar against the Euro could have a material effect on our revenue and profitability. As an example, if the U.S. dollar weakens by 10% against the Euro, cash and cash equivalents as of December 31, 2018 would decrease by €16.0 million, or 4%, and as of June 30, 2019 would decrease by €14.6 million, or 5%.</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Weakness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Historically, we have been a private company and did not maintain the internal accounting and financial reporting resources necessary to comply with the obligations of a public reporting company, including maintaining effective internal control over financial reporting. We identified a material weakness primarily related to (i) our lack of sufficient accounting and supervisory personnel with the appropriate level of technical accounting experience/training and (ii) our lack of consistent application of its accounting processes and procedures, particularly in the areas of share-based compensation, revenue from collaborators and capitalization of tangible and intangible assets. As of consequence of point (i) above, management relies on the assistance of outside advisors with expertise in these matters to assist in the preparation of IFRS financial statements and compliance with SEC reporting obligations in relation to our anticipated U.S. public offering. However, our lack of sufficient accounting and supervisory personnel also means there has also been a lack of supervision over external consultants. We identified several other audit adjustments including leasing, inventory and accruals, which indicate difficulties in properly applying accounting policies and processes consistently throughout the organization and omission of assessment of critical accounting guidance for complex areas or areas requiring judgments indicating inadequate supervision of its external consultants.</w:t>
      </w:r>
    </w:p>
    <w:p>
      <w:pPr>
        <w:spacing w:after="0" w:line="169"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We have begun to develop a remediation plan to address this material weakness. Our remediation plan includes the hiring of additional staff, documenting and implementing consistent accounting policies and procedures and providing additional training to our accounting and finance staff. While we are working to remediate the material weakness as quickly and efficiently as possible, we cannot at this time provide a timeline on such remediation. See our risk factor on this material weakness in “Risk Factors—Risks Related to Ownership of the ADSs and this Offering.”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and Emerging Growth Company Status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April 2012, the JOBS Act was enacted. The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 over financial reporting pursuant to Section 404(b) of the Sarbanes-Oxley Act, an exemption from any requirement that may be adopted by the Public Company Accounting Oversight Board regarding mandatory audit firm rotation, and less extensive disclosure about our executive compensation arrangements. Additionally, the JOBS Act provides that an emerging growth company can take advantage of an extended transition period for complying with new or revised accounting standards. Such provisions are only applicable under U.S. GAAP. As a result, we will adopt new or revised accounting standards on the relevant dates on which adoption of such standards is required or permitted by the IASB.</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remain classified as an emerging growth company until the earlier of (i) the last day of the fiscal year following the fifth anniversary of the date of the completion of this offering, (ii) the last day of the first fiscal year in which our annual gross revenues exceed $1.07 billion, (iii) the date on which we have issued more than $1 billion of non-convertible debt securities during the previous three years, or (iv) the date on which we are deemed a large accelerated filer under the rules of the SEC, which means the first day of the year following the first year in which, as of the last business day of our most recently completed second fiscal quarter, the market value of our common equity that is held by non-affiliates exceeds $700 million.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variety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8"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We and our collaborators have advanced a development pipeline of over 20 product candidates, of which eight have entered into nine ongoing clinical trials. While we believe our approach is broadly applicable across a number of therapeutic areas, our most advanced programs are focused on oncology, where we have treated over 250 patients across 17 tumor types to date. Our immunotherapy drug classes consist of messenger ribonucleic acid, or mRNA, therapeutics, engineered cell therapies, antibodies and small molecule immunomodulators. Our product candidates span oncology, infectious diseases and rare diseases.</w:t>
      </w:r>
    </w:p>
    <w:p>
      <w:pPr>
        <w:spacing w:after="0" w:line="188"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We have assembled an exceptional team of over 1,100 employees and have established relationships with seven pharmaceutical collaborators, including Genentech, Inc., or Genentech, Sanofi S.A., or Sanofi, Genmab A/S, or Genmab, Genevant Sciences GmbH, or Genevant, Eli Lilly and Company, or Eli Lilly, Bayer AG, or Bayer, and Pfizer Inc., or Pfizer. We have built out comprehensive highly automated, on-demand in-house manufacturing capabilities that complement the development of our individualized immunotherapies.</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Our programs are based on our pioneering development of numerous immunotherapeutic platforms, designed to provide patients with highly tailored treatment options. Our platforms leverage the following four drug classes:</w:t>
      </w:r>
    </w:p>
    <w:p>
      <w:pPr>
        <w:spacing w:after="0" w:line="72" w:lineRule="exact"/>
        <w:rPr>
          <w:sz w:val="20"/>
          <w:szCs w:val="20"/>
          <w:color w:val="auto"/>
        </w:rPr>
      </w:pPr>
    </w:p>
    <w:p>
      <w:pPr>
        <w:ind w:left="640" w:hanging="328"/>
        <w:spacing w:after="0" w:line="292" w:lineRule="auto"/>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mRNA Therapeutics. </w:t>
      </w:r>
      <w:r>
        <w:rPr>
          <w:rFonts w:ascii="Arial" w:cs="Arial" w:eastAsia="Arial" w:hAnsi="Arial"/>
          <w:sz w:val="16"/>
          <w:szCs w:val="16"/>
          <w:color w:val="auto"/>
        </w:rPr>
        <w:t>We are utilizing messenger ribonucleic acid, or mRNA, to deliver genetic information to cells, where it is used to express</w:t>
      </w:r>
      <w:r>
        <w:rPr>
          <w:rFonts w:ascii="Arial" w:cs="Arial" w:eastAsia="Arial" w:hAnsi="Arial"/>
          <w:sz w:val="16"/>
          <w:szCs w:val="16"/>
          <w:b w:val="1"/>
          <w:bCs w:val="1"/>
          <w:color w:val="auto"/>
        </w:rPr>
        <w:t xml:space="preserve"> </w:t>
      </w:r>
      <w:r>
        <w:rPr>
          <w:rFonts w:ascii="Arial" w:cs="Arial" w:eastAsia="Arial" w:hAnsi="Arial"/>
          <w:sz w:val="16"/>
          <w:szCs w:val="16"/>
          <w:color w:val="auto"/>
        </w:rPr>
        <w:t>proteins for therapeutic effect. We are developing a portfolio of immunotherapies that utilize four different mRNA formats and three different formulations to derive five distinct platforms for the treatment of cancer. Three of these platforms are currently in human testing: (i) our off-the-shelf shared antigen immunotherapy, or FixVac; (ii) our individualized neoantigen specific immunotherapy, or iNeST, in collaboration with Genentech; and (iii) our intratumoral immunotherapy, in collaboration with Sanofi. In addition, we are developing two platforms in which we use mRNA to express directly in the patient either (a) particular antibodies, or RiboMabs, or (b) specific cytokines, or RiboCytokines. In collaboration with Pfizer and Genevant, we are also leveraging our mRNA technology beyond oncology to treat influenza and rare diseases.</w:t>
      </w:r>
    </w:p>
    <w:p>
      <w:pPr>
        <w:spacing w:after="0" w:line="67" w:lineRule="exact"/>
        <w:rPr>
          <w:rFonts w:ascii="Arial" w:cs="Arial" w:eastAsia="Arial" w:hAnsi="Arial"/>
          <w:sz w:val="16"/>
          <w:szCs w:val="16"/>
          <w:color w:val="auto"/>
        </w:rPr>
      </w:pPr>
    </w:p>
    <w:p>
      <w:pPr>
        <w:ind w:left="640" w:right="40" w:hanging="328"/>
        <w:spacing w:after="0" w:line="261"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Engineered Cell Therapies. </w:t>
      </w:r>
      <w:r>
        <w:rPr>
          <w:rFonts w:ascii="Arial" w:cs="Arial" w:eastAsia="Arial" w:hAnsi="Arial"/>
          <w:sz w:val="18"/>
          <w:szCs w:val="18"/>
          <w:color w:val="auto"/>
        </w:rPr>
        <w:t>We are developing a range of novel cell therapies in which the patient’s T cells are modified to target cancer-specific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antigens. These include two platforms for the treatment of solid tumors: chimeric antigen receptor, or CAR, T cells and T cell receptor, or TCR, programs. We are also combining our mRNA FixVac platform with our first CAR T product candidates, using “CARVac” immune boosters to enhance the persistence of CAR-T cells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640" w:right="20" w:hanging="328"/>
        <w:spacing w:after="0" w:line="266"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in collaboration with Genmab, next-generation bispecific antibodies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that modulate the patient’s immune response to cancer. We are also exploring additional targeted cancer antibody approaches utilizing our in-house and recently acquired antibody capabilities.</w:t>
      </w:r>
    </w:p>
    <w:p>
      <w:pPr>
        <w:spacing w:after="0" w:line="81" w:lineRule="exact"/>
        <w:rPr>
          <w:rFonts w:ascii="Arial" w:cs="Arial" w:eastAsia="Arial" w:hAnsi="Arial"/>
          <w:sz w:val="18"/>
          <w:szCs w:val="18"/>
          <w:color w:val="auto"/>
        </w:rPr>
      </w:pPr>
    </w:p>
    <w:p>
      <w:pPr>
        <w:jc w:val="both"/>
        <w:ind w:left="640" w:right="280" w:hanging="328"/>
        <w:spacing w:after="0" w:line="266"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 discrete</w:t>
      </w:r>
      <w:r>
        <w:rPr>
          <w:rFonts w:ascii="Arial" w:cs="Arial" w:eastAsia="Arial" w:hAnsi="Arial"/>
          <w:sz w:val="18"/>
          <w:szCs w:val="18"/>
          <w:b w:val="1"/>
          <w:bCs w:val="1"/>
          <w:color w:val="auto"/>
        </w:rPr>
        <w:t xml:space="preserve"> </w:t>
      </w:r>
      <w:r>
        <w:rPr>
          <w:rFonts w:ascii="Arial" w:cs="Arial" w:eastAsia="Arial" w:hAnsi="Arial"/>
          <w:sz w:val="18"/>
          <w:szCs w:val="18"/>
          <w:color w:val="auto"/>
        </w:rPr>
        <w:t>patterns of immunomodulation. We are developing a small molecule toll-like receptor 7, or TLR7, immunomodulator for the treatment of solid tumors.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leveraged these four drug classes to build a robust pipeline of product candidates. Our pipeline includes seven product candidates in eight ongoing clinical trials. Our most advanced programs are focused on oncology, where we have to-date treated over 250 patients across 17 solid tumor types. We also are developing more than 10 additional preclinical programs and expect to initiate clinical testing with several of them in the near future. We expect to have up to 10 clinical-stage programs by the end of 2019, and are targeting the advancement of five product candidates into the clinic per year in 2019 and 2020, with clinical data updates for up to five programs expected by the end of 2020. In our Phase 1 trials, we have observed antigen-specific immune responses in over 90% of advanced melanoma patients treated with BNT111, our lead FixVac off-the-shelf product candidate, as a single agent. In addition, we have observed single-agent antigen-specific immune responses in patients treated with BNT121, the precursor to RO7198457 (BNT122), our lead iNeST product candidate. In both trials, we have observed durable objective responses (reduction in tumor volume) in both the monotherapy and checkpoint-combination settings.</w:t>
      </w:r>
    </w:p>
    <w:p>
      <w:pPr>
        <w:spacing w:after="0" w:line="182" w:lineRule="exact"/>
        <w:rPr>
          <w:sz w:val="20"/>
          <w:szCs w:val="20"/>
          <w:color w:val="auto"/>
        </w:rPr>
      </w:pPr>
    </w:p>
    <w:p>
      <w:pPr>
        <w:ind w:left="200" w:right="140" w:firstLine="441"/>
        <w:spacing w:after="0" w:line="287" w:lineRule="auto"/>
        <w:rPr>
          <w:sz w:val="20"/>
          <w:szCs w:val="20"/>
          <w:color w:val="auto"/>
        </w:rPr>
      </w:pPr>
      <w:r>
        <w:rPr>
          <w:rFonts w:ascii="Arial" w:cs="Arial" w:eastAsia="Arial" w:hAnsi="Arial"/>
          <w:sz w:val="16"/>
          <w:szCs w:val="16"/>
          <w:color w:val="auto"/>
        </w:rPr>
        <w:t>We have established multiple collaborations to advance our science and development capabilities and provide non-dilutive capital. We have entered into selective collaborations with leading pharmaceutical companies where a collaborator may bring incremental expertise or resources that we currently do not possess in-house. To date, we have formed relationships with seven pharmaceutical companies, which comprise Genentech, Sanofi, Genmab, Genevant, Eli Lilly, Bayer and Pfizer. We have entered into some of these collaborations in order to advance our technologies and business outside of our initial focus on cancer. We are collaborating with Pfizer to develop an influenza vaccine through our mRNA-based immunotherapy technology and have a collaboration with Genevant to develop protein replacement therapies in up to five rare disease indications. We have also collaborated with the University of Pennsylvania, or Penn, to develop mRNA-based vaccines in up to 10 additional infectious disease indications. In addition, we have a relationship with Translational Oncology at the University Medical Center of the Johannes Gutenberg University Mainz (Translationale Onkologie an der Universitätsmedizin der Johannes Gutenberg Universität Mainz gemeinnützige GmbH), or TRON, to further our immunotherapy research.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ability to develop, control and optimize the manufacturing process is a core strategic pillar and competitive advantage across our portfolio, in particular for our individualized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within our development programs. We have collaborated with Siemens AG, or Siemens, to develop efficient, semi-automated processes to produce our individualized mRNA immunotherapies on demand.</w:t>
      </w:r>
    </w:p>
    <w:p>
      <w:pPr>
        <w:spacing w:after="0" w:line="193"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were founded in 2008, and to date we have raised $1.3 billion of capital in private placements of our shares and from our collaborators. Our investors include the Strüngmann family office, which is our majority shareholder, MIG Fonds, Fidelity Management &amp; Research Company, Redmile Group, Janus Henderson Investors, the Invus Group, LLC and the Bill &amp; Melinda Gates Foundation.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Team</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team combines proven biotechnology entrepreneurs, world-renowned immunologists and sophisticated biopharma investors. We were founded in 2008 by our scientific founders, Prof. Ugur Sahin, M.D., Prof. Christoph Huber, M.D. and Özlem Türeci, M.D., with a seed investment of €150 million from the Strüngmann family, through its investment vehicle AT Impf, and MIG Fonds, or MIG. Andreas and Thomas Strüngmann are serial entrepreneurs, having co-founded Hexal AG, a German pharmaceutical firm, which they built and sold to Novartis, along with their majority stake in Eon Labs, Inc., a U.S. public pharmaceutical firm, for a combined €5.6 billion (at the time, $8.3 billion). After selling Hexal, they founded a family office focused on healthcare.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The Strüngmann family office and MIG have invested in, helped build and sold, either on their own or together, a number of biotechnology and healthcare companies, such as SuppreMol, Ganymed AG, or Ganymed, CorImmun, Sivantos (former Siemens hearing aid business), Press Ganey (surgery survey company) and Apceth (cell therapy manufacturing company). Helmut Jeggle and Michael Motschmann, on behalf of the Strüngmann family and MIG, respectively, along with Dr. Huber, were founding members of our Supervisory Board.</w:t>
      </w:r>
    </w:p>
    <w:p>
      <w:pPr>
        <w:spacing w:after="0" w:line="17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BioNTech has been supported since its inception by Prof. Rolf Zinkernagel, M.D., Ph.D. and Prof. Hans Hengartner, Ph.D., who serve on our Scientific Advisory Board. Dr. Zinkernagel is a Professor Emeritus at the University of Zurich, University Hospital, and former head of the Institute of Experimental Immunology in Zurich. Prof. Zinkernagel was awarded the Nobel Prize in 1996 for the discovery of how the immune system recognizes virus-infected cells. Prof. Hengartner is a world-renowned immunologist and Professor Emeritus at the Federal Institute of Technology ETH Zurich and the University of Zurich.</w:t>
      </w:r>
    </w:p>
    <w:p>
      <w:pPr>
        <w:spacing w:after="0" w:line="188"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At the time of BioNTech’s founding, Dr. Sahin and Dr. Türeci were the Chief Scientific Officer and the Chief Medical Officer, respectively, of Ganymed, a private biotechnology company that was founded in 2001 and was focused on developing a monoclonal antibody targeting CLDN18.2 (zolbetuximab). The Strüngmann family office and MIG were majority investors in Ganymed. When Dr. Sahin became Chief Executive Officer of BioNTech, he stepped down from the management board of Ganymed and became the chair of its Scientific Advisory Board. Dr. Türeci continued to lead Ganymed as its Chief Executive Officer until it was sold to Astellas Pharma Inc. in 2016 for up to $1.4 billion.</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initial group of scientific founders have been joined by experienced pharmaceutical executives, immunologists and biotechnology specialty investors. Sean Marett, our Chief Business Officer and Chief Commercial Officer, led the business development teams at Evotec, and previously was an executive at GlaxoSmithKline in the United States. Dr. Sierk Poetting, our Chief Financial Officer and Chief Operating Officer, joined us from Sandoz, where he served as the Chief Financial Officer in North America. We have also attracted talented scientists such as Katalin Karikó, our Senior Vice President &amp; Head of RNA Protein Replacement, who has more than 30 years of experience working with RNA, has published more than 70 peer-reviewed papers and is co-inventor on mRNA-related patents, including a foundational patent relating to modified mRNA. In addition to the Strüngmann family and MIG, our investors include Fidelity Management &amp; Research Company, Redmile Group, Janus Henderson Investors, the Invus Group, LLC, Salvia GmbH, Eli Lilly, Sanofi, Pfizer and the Bill &amp; Melinda Gates Foundation. Since our founding, we have raised $1.3 billion of capital in private placements of our shares and through collaborations.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544"/>
        <w:spacing w:after="0"/>
        <w:tabs>
          <w:tab w:leader="none" w:pos="1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Our Pipeline of Product Candidates</w:t>
      </w:r>
    </w:p>
    <w:p>
      <w:pPr>
        <w:spacing w:after="0" w:line="9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advancing a deep and broad portfolio of product candidates derived from our four drug classes focused on the treatment of cancer, infectious and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wp:posOffset>
            </wp:positionV>
            <wp:extent cx="6037580" cy="637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7580"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116"/>
        <w:spacing w:after="0"/>
        <w:tabs>
          <w:tab w:leader="none" w:pos="320" w:val="left"/>
        </w:tabs>
        <w:numPr>
          <w:ilvl w:val="0"/>
          <w:numId w:val="87"/>
        </w:numPr>
        <w:rPr>
          <w:rFonts w:ascii="Arial" w:cs="Arial" w:eastAsia="Arial" w:hAnsi="Arial"/>
          <w:sz w:val="9"/>
          <w:szCs w:val="9"/>
          <w:color w:val="auto"/>
        </w:rPr>
      </w:pPr>
      <w:r>
        <w:rPr>
          <w:rFonts w:ascii="Arial" w:cs="Arial" w:eastAsia="Arial" w:hAnsi="Arial"/>
          <w:sz w:val="11"/>
          <w:szCs w:val="11"/>
          <w:color w:val="auto"/>
        </w:rPr>
        <w:t>BNT113 is currently being studied in an investigator-initiated Phase 1 trial</w:t>
      </w:r>
    </w:p>
    <w:p>
      <w:pPr>
        <w:spacing w:after="0" w:line="3"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0"/>
          <w:szCs w:val="10"/>
          <w:color w:val="auto"/>
        </w:rPr>
        <w:t>We are eligible to receive worldwide licenses</w:t>
      </w:r>
    </w:p>
    <w:p>
      <w:pPr>
        <w:spacing w:after="0" w:line="6"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Protein Replacement Therapy</w:t>
      </w:r>
    </w:p>
    <w:p>
      <w:pPr>
        <w:spacing w:after="0" w:line="6" w:lineRule="exact"/>
        <w:rPr>
          <w:rFonts w:ascii="Arial" w:cs="Arial" w:eastAsia="Arial" w:hAnsi="Arial"/>
          <w:sz w:val="9"/>
          <w:szCs w:val="9"/>
          <w:color w:val="auto"/>
        </w:rPr>
      </w:pPr>
    </w:p>
    <w:p>
      <w:pPr>
        <w:ind w:left="200" w:right="1260"/>
        <w:spacing w:after="0" w:line="281"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0"/>
          <w:szCs w:val="10"/>
          <w:color w:val="auto"/>
        </w:rPr>
        <w:t>We expect this topline data update to include an update on the ongoing study, including patient enrollment numbers, with full efficacy and safety data for an interim update expected in the second half of 2021.</w:t>
      </w:r>
      <w:r>
        <w:rPr>
          <w:rFonts w:ascii="Arial" w:cs="Arial" w:eastAsia="Arial" w:hAnsi="Arial"/>
          <w:sz w:val="9"/>
          <w:szCs w:val="9"/>
          <w:color w:val="auto"/>
        </w:rPr>
        <w:t xml:space="preserve"> 5 </w:t>
      </w:r>
      <w:r>
        <w:rPr>
          <w:rFonts w:ascii="Arial" w:cs="Arial" w:eastAsia="Arial" w:hAnsi="Arial"/>
          <w:sz w:val="10"/>
          <w:szCs w:val="10"/>
          <w:color w:val="auto"/>
        </w:rPr>
        <w:t>As the trial is sponsored and conducted by Sanofi, the timing of data updates is not under our control, and is subject to change by Sanofi.</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560"/>
          </w:cols>
          <w:pgMar w:left="240" w:top="459" w:right="10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Oncology</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FixVac. </w:t>
      </w:r>
      <w:r>
        <w:rPr>
          <w:rFonts w:ascii="Arial" w:cs="Arial" w:eastAsia="Arial" w:hAnsi="Arial"/>
          <w:sz w:val="17"/>
          <w:szCs w:val="17"/>
          <w:color w:val="auto"/>
        </w:rPr>
        <w:t>Our FixVac product candidates contain selected combinations of pharmacologically optimized uridine mRNA encoding known cancer-specific shared antigens. They feature our proprietary immunogenic mRNA backbone and proprietary RNA-lipoplex, or RNA-LPX, delivery formulation, designed to enhance stability and translation, target dendritic cells and trigger both innate and adaptive immune responses. We are currently evaluating three FixVac product candidates in clinical trials, including BNT111 in a Phase 1 trial in advanced melanoma, BNT113 in a Phase 1 trial in HPV+ head and neck cancers and BNT114 in a Phase 1 trial in triple negative breast cancer.</w:t>
      </w:r>
    </w:p>
    <w:p>
      <w:pPr>
        <w:spacing w:after="0" w:line="173" w:lineRule="exact"/>
        <w:rPr>
          <w:sz w:val="20"/>
          <w:szCs w:val="20"/>
          <w:color w:val="auto"/>
        </w:rPr>
      </w:pPr>
    </w:p>
    <w:p>
      <w:pPr>
        <w:ind w:left="200" w:right="280" w:firstLine="441"/>
        <w:spacing w:after="0" w:line="297" w:lineRule="auto"/>
        <w:rPr>
          <w:sz w:val="20"/>
          <w:szCs w:val="20"/>
          <w:color w:val="auto"/>
        </w:rPr>
      </w:pPr>
      <w:r>
        <w:rPr>
          <w:rFonts w:ascii="Arial" w:cs="Arial" w:eastAsia="Arial" w:hAnsi="Arial"/>
          <w:sz w:val="16"/>
          <w:szCs w:val="16"/>
          <w:color w:val="auto"/>
        </w:rPr>
        <w:t>As of the July 2019 interim cut-off, 95 patients with metastatic melanoma had been dosed at least once in our Phase 1 clinical trial of BNT111. Forty-two of these patients had macroscopic tumor lesions at the time they were enrolled, and these patients were evaluated for preliminary clinical activity, with 25 receiving BNT111 as a monotherapy and 17 receiving BNT in combination with a checkpoint inhibitor. Four of the 25 patients who received BNT111 as a monotherapy demonstrated a partial response and seven had stable disease following treatment. Six of the 17 patients who received BNT111 in combination with a checkpoint inhibitor demonstrated a partial response and two had stable disease following treatment.</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expect to initiate a Phase 2 trial for BNT111 in metastatic melanoma in the first half of 2020. Moreover, we plan to initiate a registrational, randomized Phase 3 trial for BNT111 in the second half of 2020. We plan to initiate a Phase 1 trial for BNT112, our FixVac product candidate targeting prostate cancer, in the second half of 2019. In addition, we are planning to initiate a Phase 2 trial for BNT113 in HPV+ head and neck cancers by the second half of 2020.</w:t>
      </w:r>
    </w:p>
    <w:p>
      <w:pPr>
        <w:spacing w:after="0" w:line="18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i w:val="1"/>
          <w:iCs w:val="1"/>
          <w:color w:val="auto"/>
        </w:rPr>
        <w:t xml:space="preserve">Individualized neoantigen specific immunotherapy (iNeST). </w:t>
      </w:r>
      <w:r>
        <w:rPr>
          <w:rFonts w:ascii="Arial" w:cs="Arial" w:eastAsia="Arial" w:hAnsi="Arial"/>
          <w:sz w:val="17"/>
          <w:szCs w:val="17"/>
          <w:color w:val="auto"/>
        </w:rPr>
        <w:t>Our iNeST immunotherapies contain unmodified, pharmacologically optimized</w:t>
      </w:r>
      <w:r>
        <w:rPr>
          <w:rFonts w:ascii="Arial" w:cs="Arial" w:eastAsia="Arial" w:hAnsi="Arial"/>
          <w:sz w:val="17"/>
          <w:szCs w:val="17"/>
          <w:i w:val="1"/>
          <w:iCs w:val="1"/>
          <w:color w:val="auto"/>
        </w:rPr>
        <w:t xml:space="preserve"> </w:t>
      </w:r>
      <w:r>
        <w:rPr>
          <w:rFonts w:ascii="Arial" w:cs="Arial" w:eastAsia="Arial" w:hAnsi="Arial"/>
          <w:sz w:val="17"/>
          <w:szCs w:val="17"/>
          <w:color w:val="auto"/>
        </w:rPr>
        <w:t>mRNA encoding up to 20 patient-specific neoantigens and also feature our proprietary RNA-LPX formulation. We are conducting, in collaboration with Genentech, clinical trials of our iNeST product candidate, RO7198457 (BNT122). The iNeST Phase 1a (monotherapy)/1b (in combination with atezolizumab) trial is a non-registrational, signal seeking study recruiting mostly patients with late stage advanced cancers, including patients that failed multiple lines of prior treatment. We believe that iNeST is particularly well suited for patients with a lower tumor burden. This notion is supported by clinical activity shown in our previously reported Phase 1 trial, in which BNT121, an earlier version of our iNeST product candidate BNT122 was administered intranodally in 13 patients with metastatic melanoma. In this trial, we observed stable, progression-free survival in nine patients for up to 41 months following surgery and treatment with BNT121. In addition, three out of five patients had an objective response, two patients received iNeST alone and the third patient also received checkpoint immunotherapy. We also observed a significant decrease in the cumulative recurrence rate post-treatment as compared to pre-treatment. Based on these findings, we, in collaboration with Genentech, initiated a randomized iNeST Phase 2 trial in first-line metastatic melanoma in combination with pembrolizumab. We and Genentech expect to report a data update from our RO7198457 (BNT122) Phase 1 trial in multiple solid tumors in 2020, and topline data update from our RO7198457 (BNT122) Phase 2 trial in first-line melanoma in the second half of 2020. We expect this topline data update to include an update on the ongoing study, including patient enrollment numbers, with full efficacy and safety data for an interim update expected in the second half of 2021.</w:t>
      </w:r>
    </w:p>
    <w:p>
      <w:pPr>
        <w:spacing w:after="0" w:line="18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mRNA intratumoral immunotherapy. </w:t>
      </w:r>
      <w:r>
        <w:rPr>
          <w:rFonts w:ascii="Arial" w:cs="Arial" w:eastAsia="Arial" w:hAnsi="Arial"/>
          <w:sz w:val="18"/>
          <w:szCs w:val="18"/>
          <w:color w:val="auto"/>
        </w:rPr>
        <w:t>In collaboration with Sanofi, we are conducting a Phase 1 trial of SAR441000 (BNT131), our first mRNA-based intratumoral immunotherapy, as a monotherapy and in combination with cemiplimab in patients with solid tumors. SAR441000 (BMT131) consists of a modified mRNA that encodes the IL-12sc, IL-15sushi, GM-CSF and IFN-α cytokines. SAR441000 (BNT131) is designed to be administered directly into the tumor in order to alter the tumor microenvironment and enhance the immune system’s ability to recognize and fight cancer within the tumor (proximal) as well as in other untreated locations (distal).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i w:val="1"/>
          <w:iCs w:val="1"/>
          <w:color w:val="auto"/>
        </w:rPr>
        <w:t xml:space="preserve">CLDN6 CAR-T cell immunotherapy. </w:t>
      </w:r>
      <w:r>
        <w:rPr>
          <w:rFonts w:ascii="Arial" w:cs="Arial" w:eastAsia="Arial" w:hAnsi="Arial"/>
          <w:sz w:val="17"/>
          <w:szCs w:val="17"/>
          <w:color w:val="auto"/>
        </w:rPr>
        <w:t>We are developing a proprietary chimeric antigen receptor T cell, or CAR T, product candidate, BNT211,</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Claudin-6, or CLDN6, a novel solid tumor-specific antigen. We developed BNT211 utilizing our target discovery engine, and we plan to administer it along with a CARVac “primer” to boost the immune response and promote CAR-T cell persistence. We expect to initiate a Phase 1/2 clinical trial for BNT211 in patients with advanced CLDN6 + solid tumors in the first half of 2020.</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Next-generation checkpoint immunomodulators. </w:t>
      </w:r>
      <w:r>
        <w:rPr>
          <w:rFonts w:ascii="Arial" w:cs="Arial" w:eastAsia="Arial" w:hAnsi="Arial"/>
          <w:sz w:val="18"/>
          <w:szCs w:val="18"/>
          <w:color w:val="auto"/>
        </w:rPr>
        <w:t>We are developing, in collaboration with Genmab, novel next-generation bispecific antibodies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designed for conditional activation of immunostimulatory checkpoint molecules. Our first bispecific candidates are GEN1046 (BNT311), which targets PD-L1 in conjunction with 4-1BB, and GEN1042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 We have initiated Phase 1/2a trials of GEN1046 (BNT311) and GEN1042 (BNT312) in solid tumors.</w:t>
      </w:r>
    </w:p>
    <w:p>
      <w:pPr>
        <w:spacing w:after="0" w:line="18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Targeted Cancer Antibodies. </w:t>
      </w:r>
      <w:r>
        <w:rPr>
          <w:rFonts w:ascii="Arial" w:cs="Arial" w:eastAsia="Arial" w:hAnsi="Arial"/>
          <w:sz w:val="18"/>
          <w:szCs w:val="18"/>
          <w:color w:val="auto"/>
        </w:rPr>
        <w:t>We recently acquired an antibody with a novel mode of action, MVT-5873 (BNT321). BNT321 is a fully human</w:t>
      </w:r>
      <w:r>
        <w:rPr>
          <w:rFonts w:ascii="Arial" w:cs="Arial" w:eastAsia="Arial" w:hAnsi="Arial"/>
          <w:sz w:val="18"/>
          <w:szCs w:val="18"/>
          <w:i w:val="1"/>
          <w:iCs w:val="1"/>
          <w:color w:val="auto"/>
        </w:rPr>
        <w:t xml:space="preserve"> </w:t>
      </w:r>
      <w:r>
        <w:rPr>
          <w:rFonts w:ascii="Arial" w:cs="Arial" w:eastAsia="Arial" w:hAnsi="Arial"/>
          <w:sz w:val="18"/>
          <w:szCs w:val="18"/>
          <w:color w:val="auto"/>
        </w:rPr>
        <w:t>IgG1 monoclonal antibody targeting sialyl Lewis A (sLe</w:t>
      </w:r>
      <w:r>
        <w:rPr>
          <w:rFonts w:ascii="Arial" w:cs="Arial" w:eastAsia="Arial" w:hAnsi="Arial"/>
          <w:sz w:val="15"/>
          <w:szCs w:val="15"/>
          <w:color w:val="auto"/>
        </w:rPr>
        <w:t>a</w:t>
      </w:r>
      <w:r>
        <w:rPr>
          <w:rFonts w:ascii="Arial" w:cs="Arial" w:eastAsia="Arial" w:hAnsi="Arial"/>
          <w:sz w:val="18"/>
          <w:szCs w:val="18"/>
          <w:color w:val="auto"/>
        </w:rPr>
        <w:t>), a novel epitope expressed specifically in pancreatic and other solid tumors. MVT-5873 (BNT321) is currently in Phase 1 clinical development in pancreatic cancer, which we intend to resume in the second half of 2019 once we have successfully registered the transfer of the IND to us and filed all necessary safety and other reports with FDA. Positive interim data were announced in February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we have several other cancer immunotherapy programs in development, including:</w:t>
      </w:r>
    </w:p>
    <w:p>
      <w:pPr>
        <w:spacing w:after="0" w:line="131" w:lineRule="exact"/>
        <w:rPr>
          <w:sz w:val="20"/>
          <w:szCs w:val="20"/>
          <w:color w:val="auto"/>
        </w:rPr>
      </w:pPr>
    </w:p>
    <w:p>
      <w:pPr>
        <w:ind w:left="640" w:right="200" w:hanging="328"/>
        <w:spacing w:after="0" w:line="308"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RiboMabs</w:t>
      </w:r>
      <w:r>
        <w:rPr>
          <w:rFonts w:ascii="Arial" w:cs="Arial" w:eastAsia="Arial" w:hAnsi="Arial"/>
          <w:sz w:val="17"/>
          <w:szCs w:val="17"/>
          <w:color w:val="auto"/>
        </w:rPr>
        <w:t>: novel classes of mRNA-based therapeutics that are designed to encode antibodies directly in the patient’s body. We expect to initiate</w:t>
      </w:r>
      <w:r>
        <w:rPr>
          <w:rFonts w:ascii="Arial" w:cs="Arial" w:eastAsia="Arial" w:hAnsi="Arial"/>
          <w:sz w:val="17"/>
          <w:szCs w:val="17"/>
          <w:i w:val="1"/>
          <w:iCs w:val="1"/>
          <w:color w:val="auto"/>
        </w:rPr>
        <w:t xml:space="preserve"> </w:t>
      </w:r>
      <w:r>
        <w:rPr>
          <w:rFonts w:ascii="Arial" w:cs="Arial" w:eastAsia="Arial" w:hAnsi="Arial"/>
          <w:sz w:val="17"/>
          <w:szCs w:val="17"/>
          <w:color w:val="auto"/>
        </w:rPr>
        <w:t>Phase 1 clinical trials for our first two RiboMab product candidates, BNT141 and BNT142, in the second half of 2020.</w:t>
      </w:r>
    </w:p>
    <w:p>
      <w:pPr>
        <w:spacing w:after="0" w:line="51" w:lineRule="exact"/>
        <w:rPr>
          <w:rFonts w:ascii="Arial" w:cs="Arial" w:eastAsia="Arial" w:hAnsi="Arial"/>
          <w:sz w:val="17"/>
          <w:szCs w:val="17"/>
          <w:color w:val="auto"/>
        </w:rPr>
      </w:pPr>
    </w:p>
    <w:p>
      <w:pPr>
        <w:ind w:left="640" w:right="340" w:hanging="328"/>
        <w:spacing w:after="0" w:line="264"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RiboCytokines</w:t>
      </w:r>
      <w:r>
        <w:rPr>
          <w:rFonts w:ascii="Arial" w:cs="Arial" w:eastAsia="Arial" w:hAnsi="Arial"/>
          <w:sz w:val="18"/>
          <w:szCs w:val="18"/>
          <w:color w:val="auto"/>
        </w:rPr>
        <w:t>: novel classes of mRNA-based therapeutics that are designed to encode cytokines directly in the patient’s body.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initiate Phase 1 clinical trials for our first two RiboCytokine product candidates, BNT151 and BNT152, in the first and second halves of 2020, respectively.</w:t>
      </w:r>
    </w:p>
    <w:p>
      <w:pPr>
        <w:spacing w:after="0" w:line="86" w:lineRule="exact"/>
        <w:rPr>
          <w:rFonts w:ascii="Arial" w:cs="Arial" w:eastAsia="Arial" w:hAnsi="Arial"/>
          <w:sz w:val="18"/>
          <w:szCs w:val="18"/>
          <w:color w:val="auto"/>
        </w:rPr>
      </w:pPr>
    </w:p>
    <w:p>
      <w:pPr>
        <w:ind w:left="640" w:hanging="328"/>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TCR therapy</w:t>
      </w:r>
      <w:r>
        <w:rPr>
          <w:rFonts w:ascii="Arial" w:cs="Arial" w:eastAsia="Arial" w:hAnsi="Arial"/>
          <w:sz w:val="18"/>
          <w:szCs w:val="18"/>
          <w:color w:val="auto"/>
        </w:rPr>
        <w:t>: T cells with engineered TCRs that are designed to specifically target cancer cells.</w:t>
      </w:r>
    </w:p>
    <w:p>
      <w:pPr>
        <w:spacing w:after="0" w:line="130" w:lineRule="exact"/>
        <w:rPr>
          <w:rFonts w:ascii="Arial" w:cs="Arial" w:eastAsia="Arial" w:hAnsi="Arial"/>
          <w:sz w:val="18"/>
          <w:szCs w:val="18"/>
          <w:color w:val="auto"/>
        </w:rPr>
      </w:pPr>
    </w:p>
    <w:p>
      <w:pPr>
        <w:ind w:left="640" w:right="320" w:hanging="328"/>
        <w:spacing w:after="0" w:line="264"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Small molecule immunomodulators</w:t>
      </w:r>
      <w:r>
        <w:rPr>
          <w:rFonts w:ascii="Arial" w:cs="Arial" w:eastAsia="Arial" w:hAnsi="Arial"/>
          <w:sz w:val="18"/>
          <w:szCs w:val="18"/>
          <w:color w:val="auto"/>
        </w:rPr>
        <w:t>: novel intratumoral agents that trigger inflammation and improvement of antigen presentation by antigen-presenting cells. We expect to initiate a Phase 1 clinical trial for our first small molecule immunomodulator product candidate, BNT411, in the first half of 2020.</w:t>
      </w:r>
    </w:p>
    <w:p>
      <w:pPr>
        <w:spacing w:after="0" w:line="330" w:lineRule="exact"/>
        <w:rPr>
          <w:sz w:val="20"/>
          <w:szCs w:val="20"/>
          <w:color w:val="auto"/>
        </w:rPr>
      </w:pPr>
    </w:p>
    <w:p>
      <w:pPr>
        <w:ind w:left="1620" w:hanging="430"/>
        <w:spacing w:after="0"/>
        <w:tabs>
          <w:tab w:leader="none" w:pos="162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Immunotherapies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have collaborated with third parties to exploit the immunotherapeutic properties of our mRNA drug class for the treatment and prevention of infectious diseases. We expect to advance our flu vaccine into the clinic by the end of 2020, and our first programs under our Penn collaboration into the clinic by the first half of 2021.</w:t>
      </w:r>
    </w:p>
    <w:p>
      <w:pPr>
        <w:spacing w:after="0" w:line="87" w:lineRule="exact"/>
        <w:rPr>
          <w:sz w:val="20"/>
          <w:szCs w:val="20"/>
          <w:color w:val="auto"/>
        </w:rPr>
      </w:pPr>
    </w:p>
    <w:p>
      <w:pPr>
        <w:ind w:left="640" w:right="440" w:hanging="328"/>
        <w:spacing w:after="0" w:line="277"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Flu vaccine</w:t>
      </w:r>
      <w:r>
        <w:rPr>
          <w:rFonts w:ascii="Arial" w:cs="Arial" w:eastAsia="Arial" w:hAnsi="Arial"/>
          <w:sz w:val="18"/>
          <w:szCs w:val="18"/>
          <w:color w:val="auto"/>
        </w:rPr>
        <w:t>: In August 2018, we entered into a collaboration with Pfizer to the develop mRNA-based immunotherapies for the prevention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influenza.</w:t>
      </w:r>
    </w:p>
    <w:p>
      <w:pPr>
        <w:spacing w:after="0" w:line="75" w:lineRule="exact"/>
        <w:rPr>
          <w:rFonts w:ascii="Arial" w:cs="Arial" w:eastAsia="Arial" w:hAnsi="Arial"/>
          <w:sz w:val="18"/>
          <w:szCs w:val="18"/>
          <w:color w:val="auto"/>
        </w:rPr>
      </w:pPr>
    </w:p>
    <w:p>
      <w:pPr>
        <w:ind w:left="640" w:hanging="328"/>
        <w:spacing w:after="0" w:line="259"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In October 2018, we entered into a research collaboration with Penn, under which we have the exclusive option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mRNA immunotherapies for the treatment of up to 10 infectious disease indications. 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Rare Disease Protein Replacement Therapies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collaborating with Genevant in order to capitalize on opportunities for our mRNA technology in rare disease indications potentially featuring expedited paths to market. We are combining our mRNA technology with Genevant’s lipid nanoparticle, or LNP, delivery technology to create up to five mRNA protein replacement therapies for the treatment of rare diseases with high unmet medical needs. We expect our first compound to enter the clinic in the second half of 2020.</w:t>
      </w:r>
    </w:p>
    <w:p>
      <w:pPr>
        <w:spacing w:after="0" w:line="331"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are developing a broad portfolio of technologies and product candidates that we believe position us at the forefront of the next generation of targeted, specific immunotherapies. Our key strengths include:</w:t>
      </w:r>
    </w:p>
    <w:p>
      <w:pPr>
        <w:spacing w:after="0" w:line="279"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We are a next-generation immunotherapy powerhouse pioneering individualized immunotherapies to address the shortcomings of existing treatments for cancer and other indications with significant unmet need.</w:t>
      </w:r>
    </w:p>
    <w:p>
      <w:pPr>
        <w:spacing w:after="0" w:line="76" w:lineRule="exact"/>
        <w:rPr>
          <w:sz w:val="20"/>
          <w:szCs w:val="20"/>
          <w:color w:val="auto"/>
        </w:rPr>
      </w:pPr>
    </w:p>
    <w:p>
      <w:pPr>
        <w:ind w:left="640" w:right="100" w:hanging="328"/>
        <w:spacing w:after="0" w:line="264"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have established leadership and expertise in immunology and oncology. Through 11 years of rigorous scientific investigation and clinical translation, we have developed a portfolio of disruptive immunotherapy technologies designed to address the challenges of disease heterogeneity and patient variability.</w:t>
      </w:r>
    </w:p>
    <w:p>
      <w:pPr>
        <w:spacing w:after="0" w:line="86" w:lineRule="exact"/>
        <w:rPr>
          <w:rFonts w:ascii="Arial" w:cs="Arial" w:eastAsia="Arial" w:hAnsi="Arial"/>
          <w:sz w:val="18"/>
          <w:szCs w:val="18"/>
          <w:color w:val="auto"/>
        </w:rPr>
      </w:pPr>
    </w:p>
    <w:p>
      <w:pPr>
        <w:jc w:val="both"/>
        <w:ind w:left="640" w:right="120" w:hanging="328"/>
        <w:spacing w:after="0" w:line="286" w:lineRule="auto"/>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Our team has consistently been first-movers and has published over 150 scientific papers in leading peer-reviewed journals. We were the first to develop an intravenously delivered mRNA-based human therapeutic, the first to advance an individualized mRNA-based cancer immunotherapy into clinical trials, and the first to establish scaled in-house manufacturing for such a product candidate.</w:t>
      </w:r>
    </w:p>
    <w:p>
      <w:pPr>
        <w:spacing w:after="0" w:line="70" w:lineRule="exact"/>
        <w:rPr>
          <w:rFonts w:ascii="Arial" w:cs="Arial" w:eastAsia="Arial" w:hAnsi="Arial"/>
          <w:sz w:val="17"/>
          <w:szCs w:val="17"/>
          <w:color w:val="auto"/>
        </w:rPr>
      </w:pPr>
    </w:p>
    <w:p>
      <w:pPr>
        <w:ind w:left="640" w:right="80" w:hanging="328"/>
        <w:spacing w:after="0" w:line="259"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Since our founding in 2008, we have advanced four of our therapeutic platforms into human clinical trials, generated promising early evidence of clinical activity in several cancer types, raised $1.3 billion of capital from renowned global biopharmaceutical investors, formed collaborations with seven leading pharmaceutical companies, and acquired complementary assets ranging from research and manufacturing units to clinical programs.</w:t>
      </w:r>
    </w:p>
    <w:p>
      <w:pPr>
        <w:spacing w:after="0" w:line="92" w:lineRule="exact"/>
        <w:rPr>
          <w:rFonts w:ascii="Arial" w:cs="Arial" w:eastAsia="Arial" w:hAnsi="Arial"/>
          <w:sz w:val="18"/>
          <w:szCs w:val="18"/>
          <w:color w:val="auto"/>
        </w:rPr>
      </w:pPr>
    </w:p>
    <w:p>
      <w:pPr>
        <w:ind w:left="640" w:right="600" w:hanging="328"/>
        <w:spacing w:after="0" w:line="277"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efforts are driven by a group of over 1,100 employees including over 400 scientists, overseen by our founders who are internationally recognized thought leaders in their disciplines.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are developing product candidates addressing highly specific immuno-oncology targets, employing a technology-agnostic approach.</w:t>
      </w:r>
    </w:p>
    <w:p>
      <w:pPr>
        <w:spacing w:after="0" w:line="154" w:lineRule="exact"/>
        <w:rPr>
          <w:sz w:val="20"/>
          <w:szCs w:val="20"/>
          <w:color w:val="auto"/>
        </w:rPr>
      </w:pPr>
    </w:p>
    <w:p>
      <w:pPr>
        <w:ind w:left="640" w:right="1300" w:hanging="328"/>
        <w:spacing w:after="0" w:line="308" w:lineRule="auto"/>
        <w:tabs>
          <w:tab w:leader="none" w:pos="6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Our portfolio includes four drug classes, spanning mRNA therapeutics, engineered cell therapies, antibodies and small molecule immunomodulators, which can potentially be used alone or in combination to enhance therapeutic effect.</w:t>
      </w:r>
    </w:p>
    <w:p>
      <w:pPr>
        <w:spacing w:after="0" w:line="51" w:lineRule="exact"/>
        <w:rPr>
          <w:rFonts w:ascii="Arial" w:cs="Arial" w:eastAsia="Arial" w:hAnsi="Arial"/>
          <w:sz w:val="17"/>
          <w:szCs w:val="17"/>
          <w:color w:val="auto"/>
        </w:rPr>
      </w:pPr>
    </w:p>
    <w:p>
      <w:pPr>
        <w:ind w:left="640" w:hanging="328"/>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oncology pipeline includes eight product candidates in nine ongoing clinical trials, and more than 10 preclinical programs.</w:t>
      </w:r>
    </w:p>
    <w:p>
      <w:pPr>
        <w:spacing w:after="0" w:line="130" w:lineRule="exact"/>
        <w:rPr>
          <w:rFonts w:ascii="Arial" w:cs="Arial" w:eastAsia="Arial" w:hAnsi="Arial"/>
          <w:sz w:val="18"/>
          <w:szCs w:val="18"/>
          <w:color w:val="auto"/>
        </w:rPr>
      </w:pPr>
    </w:p>
    <w:p>
      <w:pPr>
        <w:ind w:left="640" w:right="60" w:hanging="328"/>
        <w:spacing w:after="0" w:line="264"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have developed significant expertise in the selection of optimal combinations of targets for the specific and individualized treatment of particular cancers. We have assembled libraries of more than 200 proprietary or known shared antigens and have developed predictive algorithms capable of efficiently identifying multiple neoantigens on an individualized basis for any patient.</w:t>
      </w:r>
    </w:p>
    <w:p>
      <w:pPr>
        <w:spacing w:after="0" w:line="86" w:lineRule="exact"/>
        <w:rPr>
          <w:rFonts w:ascii="Arial" w:cs="Arial" w:eastAsia="Arial" w:hAnsi="Arial"/>
          <w:sz w:val="18"/>
          <w:szCs w:val="18"/>
          <w:color w:val="auto"/>
        </w:rPr>
      </w:pPr>
    </w:p>
    <w:p>
      <w:pPr>
        <w:ind w:left="640" w:right="460" w:hanging="328"/>
        <w:spacing w:after="0" w:line="277"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approach enables real-time monitoring of therapeutic effect on the immune system in a feedback loop of biological surveillance that we believe has the potential to further enhance the success of individualized immunotherapy approaches.</w:t>
      </w:r>
    </w:p>
    <w:p>
      <w:pPr>
        <w:spacing w:after="0" w:line="27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have tested our lead mRNA candidates in over 250 patients and have already demonstrated signs of single-agent clinical activity in our two lead programs.</w:t>
      </w:r>
    </w:p>
    <w:p>
      <w:pPr>
        <w:spacing w:after="0" w:line="76" w:lineRule="exact"/>
        <w:rPr>
          <w:sz w:val="20"/>
          <w:szCs w:val="20"/>
          <w:color w:val="auto"/>
        </w:rPr>
      </w:pPr>
    </w:p>
    <w:p>
      <w:pPr>
        <w:ind w:left="5580" w:right="1140" w:hanging="5268"/>
        <w:spacing w:after="0" w:line="449" w:lineRule="auto"/>
        <w:tabs>
          <w:tab w:leader="none" w:pos="6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most advanced programs are focused on oncology where we have to-date dosed over 250 patients across 17 solid tumor types. 135</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328"/>
        <w:spacing w:after="0" w:line="257"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our Phase 1 trials, we observed single-agent antigen specific immune responses in over 90% of advanced melanoma patients treated with BNT111, our lead off-the-shelf immunotherapy product candidate leveraging our wholly-owned FixVac platform. In addition, we observed single-agent antigen-specific immune responses in patients treated with BNT121, the precursor to our lead individualized neoantigen specific immunotherapy product candidate derived from our iNeST platform. For both candidates, we have observed durable objective responses in both the monotherapy and checkpoint combination settings.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developed a very broad and advanced mRNA therapeutic portfolio for the treatment of cancer.</w:t>
      </w:r>
    </w:p>
    <w:p>
      <w:pPr>
        <w:spacing w:after="0" w:line="131" w:lineRule="exact"/>
        <w:rPr>
          <w:sz w:val="20"/>
          <w:szCs w:val="20"/>
          <w:color w:val="auto"/>
        </w:rPr>
      </w:pPr>
    </w:p>
    <w:p>
      <w:pPr>
        <w:ind w:left="640" w:right="160" w:hanging="328"/>
        <w:spacing w:after="0" w:line="27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have over a decade of experience pioneering the use of mRNA as a drug class, yielding five distinct mRNA platforms in oncology, each with the potential to generate multiple first-in-class product candidates.</w:t>
      </w:r>
    </w:p>
    <w:p>
      <w:pPr>
        <w:spacing w:after="0" w:line="75" w:lineRule="exact"/>
        <w:rPr>
          <w:rFonts w:ascii="Arial" w:cs="Arial" w:eastAsia="Arial" w:hAnsi="Arial"/>
          <w:sz w:val="18"/>
          <w:szCs w:val="18"/>
          <w:color w:val="auto"/>
        </w:rPr>
      </w:pPr>
    </w:p>
    <w:p>
      <w:pPr>
        <w:ind w:left="640" w:right="640" w:hanging="328"/>
        <w:spacing w:after="0" w:line="264"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have developed four distinct mRNA formats, each tailored to specific therapeutic applications. We have also developed and optimized multiple delivery formulations for our mRNA product candidates, including our proprietary non-viral RNA-LPX, to deliver our mRNA systemically and target it to relevant organs in the body.</w:t>
      </w:r>
    </w:p>
    <w:p>
      <w:pPr>
        <w:spacing w:after="0" w:line="86" w:lineRule="exact"/>
        <w:rPr>
          <w:rFonts w:ascii="Arial" w:cs="Arial" w:eastAsia="Arial" w:hAnsi="Arial"/>
          <w:sz w:val="18"/>
          <w:szCs w:val="18"/>
          <w:color w:val="auto"/>
        </w:rPr>
      </w:pPr>
    </w:p>
    <w:p>
      <w:pPr>
        <w:ind w:left="640" w:right="460" w:hanging="328"/>
        <w:spacing w:after="0" w:line="27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combination of these platforms, formats and delivery formulations is designed to address a wide range of disease targets, and tailor drug products for systemic or intratumoral delivery, as well as directly encode mAbs or cytokines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40" w:right="460" w:hanging="328"/>
        <w:spacing w:after="0" w:line="27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broad mRNA expertise is a core strategic asset of our company. It is protected by a global patent portfolio and our proprietary technical knowledge and trade secrets.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deep, diversified pipeline and expect data updates for up to five oncology programs by the end of 2020.</w:t>
      </w:r>
    </w:p>
    <w:p>
      <w:pPr>
        <w:spacing w:after="0" w:line="131" w:lineRule="exact"/>
        <w:rPr>
          <w:sz w:val="20"/>
          <w:szCs w:val="20"/>
          <w:color w:val="auto"/>
        </w:rPr>
      </w:pPr>
    </w:p>
    <w:p>
      <w:pPr>
        <w:ind w:left="640" w:right="200" w:hanging="328"/>
        <w:spacing w:after="0" w:line="277"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have already advanced our portfolio to a critical stage of maturity with multiple programs progressing in parallel. We expect numerous near-term product candidate development updates, including: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data updates in up to five clinical programs by the end of 2020;</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advancement of up to five product candidates into the clinic per year in 2019 and 2020;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up to 10 different product candidates in clinical trials by the end of 2019.</w:t>
      </w:r>
    </w:p>
    <w:p>
      <w:pPr>
        <w:spacing w:after="0" w:line="130" w:lineRule="exact"/>
        <w:rPr>
          <w:rFonts w:ascii="Arial" w:cs="Arial" w:eastAsia="Arial" w:hAnsi="Arial"/>
          <w:sz w:val="18"/>
          <w:szCs w:val="18"/>
          <w:color w:val="auto"/>
        </w:rPr>
      </w:pPr>
    </w:p>
    <w:p>
      <w:pPr>
        <w:ind w:left="640" w:right="280" w:hanging="328"/>
        <w:spacing w:after="0" w:line="342" w:lineRule="auto"/>
        <w:tabs>
          <w:tab w:leader="none" w:pos="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Our preclinical oncology pipeline is progressing rapidly. We initiated clinical trials for both of our lead checkpoint immunomodulator antibody product candidates in 2019, and we expect to initiate a clinical trial for our lead CAR T product candidate in the first half of 2020.</w:t>
      </w:r>
    </w:p>
    <w:p>
      <w:pPr>
        <w:spacing w:after="0" w:line="29" w:lineRule="exact"/>
        <w:rPr>
          <w:rFonts w:ascii="Arial" w:cs="Arial" w:eastAsia="Arial" w:hAnsi="Arial"/>
          <w:sz w:val="16"/>
          <w:szCs w:val="16"/>
          <w:color w:val="auto"/>
        </w:rPr>
      </w:pPr>
    </w:p>
    <w:p>
      <w:pPr>
        <w:ind w:left="640" w:hanging="32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expect to report our target indications and first product candidates for our infectious and rare disease platforms in 2020.</w:t>
      </w:r>
    </w:p>
    <w:p>
      <w:pPr>
        <w:spacing w:after="0" w:line="33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have formed multiple collaborations with leading pharmaceutical companies and have retained significant development, commercial and financial rights across our portfolio.</w:t>
      </w:r>
    </w:p>
    <w:p>
      <w:pPr>
        <w:spacing w:after="0" w:line="76" w:lineRule="exact"/>
        <w:rPr>
          <w:sz w:val="20"/>
          <w:szCs w:val="20"/>
          <w:color w:val="auto"/>
        </w:rPr>
      </w:pPr>
    </w:p>
    <w:p>
      <w:pPr>
        <w:ind w:left="640" w:hanging="328"/>
        <w:spacing w:after="0" w:line="27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have chosen to form collaborations in oncology to rapidly advance our science and enhance our development capabilities, bring our potentially disruptive therapies to patients more quickly and provide non-dilutive capital.</w:t>
      </w:r>
    </w:p>
    <w:p>
      <w:pPr>
        <w:spacing w:after="0" w:line="75" w:lineRule="exact"/>
        <w:rPr>
          <w:rFonts w:ascii="Arial" w:cs="Arial" w:eastAsia="Arial" w:hAnsi="Arial"/>
          <w:sz w:val="18"/>
          <w:szCs w:val="18"/>
          <w:color w:val="auto"/>
        </w:rPr>
      </w:pPr>
    </w:p>
    <w:p>
      <w:pPr>
        <w:ind w:left="640" w:right="380" w:hanging="328"/>
        <w:spacing w:after="0" w:line="27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currently collaborating with four pharmaceutical companies with expertise in oncology, including Genentech, Sanofi, Genmab and Eli Lilly, and have retained significant rights in each of our collaborations.</w:t>
      </w:r>
    </w:p>
    <w:p>
      <w:pPr>
        <w:spacing w:after="0" w:line="75" w:lineRule="exact"/>
        <w:rPr>
          <w:rFonts w:ascii="Arial" w:cs="Arial" w:eastAsia="Arial" w:hAnsi="Arial"/>
          <w:sz w:val="18"/>
          <w:szCs w:val="18"/>
          <w:color w:val="auto"/>
        </w:rPr>
      </w:pPr>
    </w:p>
    <w:p>
      <w:pPr>
        <w:ind w:left="640" w:right="120" w:hanging="328"/>
        <w:spacing w:after="0" w:line="286"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addition, we have formed collaborations with leading pharmaceutical companies to broaden our footprint beyond oncology. We have a collaboration with Pfizer focused on influenza. We are collaborating with Penn to develop mRNA-based immunotherapies for up to 10 additional infectious disease indications. We have also formed a collaboration with Genevant for up to five rare disease indications.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have retained worldwide rights to all product candidates under our FixVac, RiboMabs, RiboCytokines and CAR T platforms.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created a vertically integrated business with comprehensive in-house manufacturing capabilities.</w:t>
      </w:r>
    </w:p>
    <w:p>
      <w:pPr>
        <w:spacing w:after="0" w:line="131" w:lineRule="exact"/>
        <w:rPr>
          <w:sz w:val="20"/>
          <w:szCs w:val="20"/>
          <w:color w:val="auto"/>
        </w:rPr>
      </w:pPr>
    </w:p>
    <w:p>
      <w:pPr>
        <w:ind w:left="640" w:right="100" w:hanging="328"/>
        <w:spacing w:after="0" w:line="277"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believe that to successfully bring individualized immunotherapies to patients, it is critical to control the manufacturing and supply processes. We therefore have chosen to invest early in scaling our in-house capabilities.</w:t>
      </w:r>
    </w:p>
    <w:p>
      <w:pPr>
        <w:spacing w:after="0" w:line="75" w:lineRule="exact"/>
        <w:rPr>
          <w:rFonts w:ascii="Arial" w:cs="Arial" w:eastAsia="Arial" w:hAnsi="Arial"/>
          <w:sz w:val="18"/>
          <w:szCs w:val="18"/>
          <w:color w:val="auto"/>
        </w:rPr>
      </w:pPr>
    </w:p>
    <w:p>
      <w:pPr>
        <w:ind w:left="640" w:right="40" w:hanging="328"/>
        <w:spacing w:after="0" w:line="277"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currently operate four manufacturing facilities in Germany spanning mRNA and peptide production, viral vectors and engineered T cells, and we continue to invest significant human and financial capital into these activities.</w:t>
      </w:r>
    </w:p>
    <w:p>
      <w:pPr>
        <w:spacing w:after="0" w:line="75"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collaboration with Siemens, we are optimizing our iNeST production process, reducing turnaround time from over three months to less than six weeks currently, with the goal of delivering on-demand commercial supply.</w:t>
      </w:r>
    </w:p>
    <w:p>
      <w:pPr>
        <w:spacing w:after="0" w:line="27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Our Company’s scientific DNA, which is the foundation of the BioNTech approach, has attracted a talented team from nearly 50 countries around the world.</w:t>
      </w:r>
    </w:p>
    <w:p>
      <w:pPr>
        <w:spacing w:after="0" w:line="76" w:lineRule="exact"/>
        <w:rPr>
          <w:sz w:val="20"/>
          <w:szCs w:val="20"/>
          <w:color w:val="auto"/>
        </w:rPr>
      </w:pPr>
    </w:p>
    <w:p>
      <w:pPr>
        <w:ind w:left="640" w:right="480" w:hanging="328"/>
        <w:spacing w:after="0" w:line="276" w:lineRule="auto"/>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Prof. Ugur Sahin, M.D., our co-founder and Chief Executive Officer, and Özlem Türeci, M.D., our Chief Medical Officer, are physicians, scientists and innovators. They have made groundbreaking scientific and technological contributions in the field of personalized cancer immunotherapy and are co-inventors on more than 100 patents. Their daily work is motivated by their experience as researchers and cancer physicians aiming to exploit scientific insights and drive technological progress to develop commercially viable products that could help individual patients, an attitude and culture that has become the DNA of BioNTech.</w:t>
      </w:r>
    </w:p>
    <w:p>
      <w:pPr>
        <w:spacing w:after="0" w:line="77" w:lineRule="exact"/>
        <w:rPr>
          <w:rFonts w:ascii="Arial" w:cs="Arial" w:eastAsia="Arial" w:hAnsi="Arial"/>
          <w:sz w:val="17"/>
          <w:szCs w:val="17"/>
          <w:color w:val="auto"/>
        </w:rPr>
      </w:pPr>
    </w:p>
    <w:p>
      <w:pPr>
        <w:ind w:left="640" w:right="20" w:hanging="328"/>
        <w:spacing w:after="0" w:line="277"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DNA, with a deep culture of intellectual curiosity and innovation, has made us a destination of choice for scientific pioneers. This culture has attracted an exceptionally talented team from nearly 50 countries around the world.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participated in nearly 300 scientific publications.</w:t>
      </w:r>
    </w:p>
    <w:p>
      <w:pPr>
        <w:spacing w:after="0" w:line="37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Our Strategy</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Our vision is to harness the power of the human immune system to develop truly individualized and patient-centric therapies for cancer and other serious diseases. We aim to rapidly develop, manufacture and, if approved, commercialize a portfolio of novel immunotherapies, including both off-the-shelf drugs and individualized treatments. The key elements of our strategy to achieve this vision are as follows:</w:t>
      </w:r>
    </w:p>
    <w:p>
      <w:pPr>
        <w:spacing w:after="0" w:line="27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Rapidly advance our potential first-in-class product candidates derived from our FixVac and iNeST platforms toward market approvals in oncology, either on our own or with our collaborators.</w:t>
      </w:r>
    </w:p>
    <w:p>
      <w:pPr>
        <w:spacing w:after="0" w:line="76" w:lineRule="exact"/>
        <w:rPr>
          <w:sz w:val="20"/>
          <w:szCs w:val="20"/>
          <w:color w:val="auto"/>
        </w:rPr>
      </w:pPr>
    </w:p>
    <w:p>
      <w:pPr>
        <w:ind w:left="640" w:right="260" w:hanging="328"/>
        <w:spacing w:after="0" w:line="259"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are conducting three Phase 1 clinical trials with our wholly owned off-the-shelf FixVac mRNA immunotherapy and plan to initiate an additional Phase 1/2 clinical trial in the second half of 2019. Our most advanced current FixVac product candidate, BNT111, is currently being evaluated in 115 patients with advanced melanoma, and we expect to initiate a Phase 2 trial in the first half of 2020 and a Phase 3 trial in the second half of 2020.</w:t>
      </w:r>
    </w:p>
    <w:p>
      <w:pPr>
        <w:spacing w:after="0" w:line="92" w:lineRule="exact"/>
        <w:rPr>
          <w:rFonts w:ascii="Arial" w:cs="Arial" w:eastAsia="Arial" w:hAnsi="Arial"/>
          <w:sz w:val="18"/>
          <w:szCs w:val="18"/>
          <w:color w:val="auto"/>
        </w:rPr>
      </w:pPr>
    </w:p>
    <w:p>
      <w:pPr>
        <w:ind w:left="640" w:right="320" w:hanging="328"/>
        <w:spacing w:after="0" w:line="312" w:lineRule="auto"/>
        <w:tabs>
          <w:tab w:leader="none" w:pos="6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are also advancing, in collaboration with Genentech, our iNeST individualized neoantigen specific mRNA immunotherapy in two clinical trials, targeting more than eight tumor types. Our most advanced iNeST program is a Phase 2 trial of our product candidate, RO7198457 (BNT122), in 132 patients with metastatic melanoma, evaluating iNeST in combination with pembrolizumab as a first-line therapy.</w:t>
      </w:r>
    </w:p>
    <w:p>
      <w:pPr>
        <w:spacing w:after="0" w:line="52" w:lineRule="exact"/>
        <w:rPr>
          <w:rFonts w:ascii="Arial" w:cs="Arial" w:eastAsia="Arial" w:hAnsi="Arial"/>
          <w:sz w:val="16"/>
          <w:szCs w:val="16"/>
          <w:color w:val="auto"/>
        </w:rPr>
      </w:pPr>
    </w:p>
    <w:p>
      <w:pPr>
        <w:ind w:left="640" w:right="900" w:hanging="328"/>
        <w:spacing w:after="0" w:line="308"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We believe both FixVac and iNeST have therapeutic potential in a wide variety of solid tumors. We have identified significant market opportunities in additional indications and plan to pursue potentially expedited routes to market approval.</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24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Progress additional product candidates through clinical development, leveraging our multiple drug classes and the synergies between them in order to expand our oncology pipeline.</w:t>
      </w:r>
    </w:p>
    <w:p>
      <w:pPr>
        <w:spacing w:after="0" w:line="76" w:lineRule="exact"/>
        <w:rPr>
          <w:sz w:val="20"/>
          <w:szCs w:val="20"/>
          <w:color w:val="auto"/>
        </w:rPr>
      </w:pPr>
    </w:p>
    <w:p>
      <w:pPr>
        <w:ind w:left="640" w:hanging="328"/>
        <w:spacing w:after="0" w:line="264"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addition to FixVac and iNeST, we are also conducting a Phase 1 clinical trial of our intratumoral immunotherapy product candidate SAR441000 (BNT131) in collaboration with Sanofi, as a monotherapy in patients with advanced melanoma and as a combination therapy with an anti-PD-1/PD-L1 checkpoint inhibitor in patients with certain solid tumors.</w:t>
      </w:r>
    </w:p>
    <w:p>
      <w:pPr>
        <w:spacing w:after="0" w:line="86" w:lineRule="exact"/>
        <w:rPr>
          <w:rFonts w:ascii="Arial" w:cs="Arial" w:eastAsia="Arial" w:hAnsi="Arial"/>
          <w:sz w:val="18"/>
          <w:szCs w:val="18"/>
          <w:color w:val="auto"/>
        </w:rPr>
      </w:pPr>
    </w:p>
    <w:p>
      <w:pPr>
        <w:ind w:left="640" w:right="120" w:hanging="328"/>
        <w:spacing w:after="0" w:line="277"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Beyond mRNA, we plan to rapidly advance other product candidates from our immunotherapy drug classes into clinical proof-of-concept studies in solid tumor indications.</w:t>
      </w:r>
    </w:p>
    <w:p>
      <w:pPr>
        <w:spacing w:after="0" w:line="75" w:lineRule="exact"/>
        <w:rPr>
          <w:rFonts w:ascii="Arial" w:cs="Arial" w:eastAsia="Arial" w:hAnsi="Arial"/>
          <w:sz w:val="18"/>
          <w:szCs w:val="18"/>
          <w:color w:val="auto"/>
        </w:rPr>
      </w:pPr>
    </w:p>
    <w:p>
      <w:pPr>
        <w:ind w:left="640" w:right="420" w:hanging="328"/>
        <w:spacing w:after="0" w:line="264"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collaboration with Genmab, we have initiated Phase 1/2a clinical trials for our product candidates GEN1046 (BNT311) and GEN1042 (BNT312) in solid tumors. These product candidates are based on our novel checkpoint immunomodulator bispecific monoclonal antibodies, which we believe have potential in a broad range of cancers.</w:t>
      </w:r>
    </w:p>
    <w:p>
      <w:pPr>
        <w:spacing w:after="0" w:line="86" w:lineRule="exact"/>
        <w:rPr>
          <w:rFonts w:ascii="Arial" w:cs="Arial" w:eastAsia="Arial" w:hAnsi="Arial"/>
          <w:sz w:val="18"/>
          <w:szCs w:val="18"/>
          <w:color w:val="auto"/>
        </w:rPr>
      </w:pPr>
    </w:p>
    <w:p>
      <w:pPr>
        <w:ind w:left="640" w:right="340" w:hanging="328"/>
        <w:spacing w:after="0" w:line="277"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also plan to initiate a Phase 1/2 clinical trial in the first half of 2020 for our wholly-owned CAR T product candidate, BNT211, in multiple solid tumors, targeting a novel solid-tumor specific antigen, CLDN6.</w:t>
      </w:r>
    </w:p>
    <w:p>
      <w:pPr>
        <w:spacing w:after="0" w:line="279"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Maximize the potential and leverage the broad applicability of our mRNA drug class in additional therapeutic areas beyond cancer, including through selective collaborations.</w:t>
      </w:r>
    </w:p>
    <w:p>
      <w:pPr>
        <w:spacing w:after="0" w:line="76" w:lineRule="exact"/>
        <w:rPr>
          <w:sz w:val="20"/>
          <w:szCs w:val="20"/>
          <w:color w:val="auto"/>
        </w:rPr>
      </w:pPr>
    </w:p>
    <w:p>
      <w:pPr>
        <w:ind w:left="640" w:right="300" w:hanging="328"/>
        <w:spacing w:after="0" w:line="277"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Beyond oncology, we intend to leverage our mRNA technology to direct the immune system to fight a range of infectious diseases and address missing or defective proteins in certain rare diseases.</w:t>
      </w:r>
    </w:p>
    <w:p>
      <w:pPr>
        <w:spacing w:after="0" w:line="75" w:lineRule="exact"/>
        <w:rPr>
          <w:rFonts w:ascii="Arial" w:cs="Arial" w:eastAsia="Arial" w:hAnsi="Arial"/>
          <w:sz w:val="18"/>
          <w:szCs w:val="18"/>
          <w:color w:val="auto"/>
        </w:rPr>
      </w:pPr>
    </w:p>
    <w:p>
      <w:pPr>
        <w:ind w:left="640" w:right="140" w:hanging="328"/>
        <w:spacing w:after="0" w:line="264"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collaborations with Pfizer in influenza and with Genevant in rare diseases underscore the potential of our approach. We intend to continue to seek value adding collaborations with leading industry players who contribute their competencies and know-how to complement our powerful suite of technologies to address challenging diseases outside of our core therapeutic focus on oncology.</w:t>
      </w:r>
    </w:p>
    <w:p>
      <w:pPr>
        <w:spacing w:after="0" w:line="28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Strengthen our position as a leader in the highly automated, on-demand manufacturing of individualized therapies with the goal of delivering our therapies globally.</w:t>
      </w:r>
    </w:p>
    <w:p>
      <w:pPr>
        <w:spacing w:after="0" w:line="76" w:lineRule="exact"/>
        <w:rPr>
          <w:sz w:val="20"/>
          <w:szCs w:val="20"/>
          <w:color w:val="auto"/>
        </w:rPr>
      </w:pPr>
    </w:p>
    <w:p>
      <w:pPr>
        <w:ind w:left="640" w:right="20" w:hanging="328"/>
        <w:spacing w:after="0" w:line="308"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will continue to invest to reduce cycle times and increase the automation of our processes, and to expand our manufacturing capacity across all platforms to support the efficient progression of our product candidates into late-stage clinical trials and commercialization.</w:t>
      </w:r>
    </w:p>
    <w:p>
      <w:pPr>
        <w:spacing w:after="0" w:line="51" w:lineRule="exact"/>
        <w:rPr>
          <w:rFonts w:ascii="Arial" w:cs="Arial" w:eastAsia="Arial" w:hAnsi="Arial"/>
          <w:sz w:val="17"/>
          <w:szCs w:val="17"/>
          <w:color w:val="auto"/>
        </w:rPr>
      </w:pPr>
    </w:p>
    <w:p>
      <w:pPr>
        <w:ind w:left="640" w:right="260" w:hanging="328"/>
        <w:spacing w:after="0" w:line="277"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will continue to invest in and scale up our advanced, in-house GMP manufacturing capabilities and capacity across mRNA and cell therapy production.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Establish a commercial organization to bring our portfolio of cancer immunotherapies to patients.</w:t>
      </w:r>
    </w:p>
    <w:p>
      <w:pPr>
        <w:spacing w:after="0" w:line="131" w:lineRule="exact"/>
        <w:rPr>
          <w:sz w:val="20"/>
          <w:szCs w:val="20"/>
          <w:color w:val="auto"/>
        </w:rPr>
      </w:pPr>
    </w:p>
    <w:p>
      <w:pPr>
        <w:ind w:left="640" w:right="720" w:hanging="328"/>
        <w:spacing w:after="0" w:line="30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believe that developing our own commercial infrastructure will be key to maximizing the value of our programs. We intend to jointly participate in the commercialization of our collaborative programs where we retain significant commercial rights.</w:t>
      </w:r>
    </w:p>
    <w:p>
      <w:pPr>
        <w:spacing w:after="0" w:line="51" w:lineRule="exact"/>
        <w:rPr>
          <w:rFonts w:ascii="Arial" w:cs="Arial" w:eastAsia="Arial" w:hAnsi="Arial"/>
          <w:sz w:val="17"/>
          <w:szCs w:val="17"/>
          <w:color w:val="auto"/>
        </w:rPr>
      </w:pPr>
    </w:p>
    <w:p>
      <w:pPr>
        <w:ind w:left="640" w:right="80" w:hanging="328"/>
        <w:spacing w:after="0" w:line="277"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plan to expand our footprint to support our global clinical development activities and intend to establish operations in the United States by the end of 2020.</w:t>
      </w: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Expand our current technology suite by continuing to develop existing and new drug classes and platforms, and selectively in-licensing technologies that are complementary to our existing pipeline.</w:t>
      </w:r>
    </w:p>
    <w:p>
      <w:pPr>
        <w:spacing w:after="0" w:line="76" w:lineRule="exact"/>
        <w:rPr>
          <w:sz w:val="20"/>
          <w:szCs w:val="20"/>
          <w:color w:val="auto"/>
        </w:rPr>
      </w:pPr>
    </w:p>
    <w:p>
      <w:pPr>
        <w:ind w:left="640" w:right="240" w:hanging="328"/>
        <w:spacing w:after="0" w:line="277"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our understanding of immunology and oncology evolves, we plan to continue developing existing as well as new drug classes and platforms that are consistent with our strategy, with particular focus on those that can benefit from our in-house expertise.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328"/>
        <w:spacing w:after="0" w:line="264"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evidenced by our recent acquisition of MabVax Therapeutics, we also continuously assess the external environment for novel drug classes, platforms and product candidates that can further expand and improve our pipeline of innovative immunotherapeutics, and help us to execute our strategy.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Maintain our culture of scientific excellence to continue to drive future innovation.</w:t>
      </w:r>
    </w:p>
    <w:p>
      <w:pPr>
        <w:spacing w:after="0" w:line="131" w:lineRule="exact"/>
        <w:rPr>
          <w:sz w:val="20"/>
          <w:szCs w:val="20"/>
          <w:color w:val="auto"/>
        </w:rPr>
      </w:pPr>
    </w:p>
    <w:p>
      <w:pPr>
        <w:ind w:left="640" w:right="920" w:hanging="328"/>
        <w:spacing w:after="0" w:line="277"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are committed to maintaining close ties to the scientific and academic community by fostering our many long-standing university relationships.</w:t>
      </w:r>
    </w:p>
    <w:p>
      <w:pPr>
        <w:spacing w:after="0" w:line="75" w:lineRule="exact"/>
        <w:rPr>
          <w:rFonts w:ascii="Arial" w:cs="Arial" w:eastAsia="Arial" w:hAnsi="Arial"/>
          <w:sz w:val="18"/>
          <w:szCs w:val="18"/>
          <w:color w:val="auto"/>
        </w:rPr>
      </w:pPr>
    </w:p>
    <w:p>
      <w:pPr>
        <w:ind w:left="640" w:right="280" w:hanging="328"/>
        <w:spacing w:after="0" w:line="277"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also intend to continue our leadership in the Association for Cancer Immunotherapy, or CIMT, which provides us potential new sources of innovation and academic collaboration opportunities.</w:t>
      </w:r>
    </w:p>
    <w:p>
      <w:pPr>
        <w:spacing w:after="0" w:line="31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IV.</w:t>
        <w:tab/>
        <w:t>Immunotherapy in Cancer</w:t>
      </w:r>
    </w:p>
    <w:p>
      <w:pPr>
        <w:spacing w:after="0" w:line="12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immune system has evolved over hundreds of millions of years to identify and eradicate what is foreign to the body with a high level of efficiency. The immune system’s efficacy is attributable to approximately one trillion highly diversified immune cells that constantly travel throughout the body and interact in a coordinated manner. They are able to detect and eliminate diseased cells and pathogens with high precision by relying on a broad range of immune recognition receptors. Their powerful mechanisms both synergize and regulate each other.</w:t>
      </w:r>
    </w:p>
    <w:p>
      <w:pPr>
        <w:spacing w:after="0" w:line="17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goal of immunotherapy in the field of oncology is to harness the power of the immune system to recognize malignant cells as “foreign,” overcome immune evasion mechanisms employed by cancers, eradicate cancer cells and thereby eliminate tumors.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Immunotherapy approaches in cancer have a long history. Recent years have seen an acceleration of scientific advancements and clinical breakthroughs in this field. The introduction over the last decade of checkpoint inhibitors such as Yervoy, Opdivo and Keytruda, and CAR T therapies such as Yescarta and Kymriah has demonstrated that even leveraging one single mechanism to harness the immune system may result in unprecedented, significantly improved clinical outcomes for a subset of patients.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While these first-generation immunotherapies have ignited the paradigm shift toward immuno-oncology, they also have limitations. For example, less than 40% of patients respond to checkpoint inhibitors, while CAR T therapies have been primarily limited to blood cancers in subsets of patients, and have been hampered by toxicities.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Realizing the full potential of immunotherapy is the objective of the next generation of immuno-oncology drugs to be developed.</w:t>
      </w:r>
    </w:p>
    <w:p>
      <w:pPr>
        <w:spacing w:after="0" w:line="370"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Challenges and Opportunities of Cancer Therapies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Cancer results from an accumulation of abnormalities, known as somatic mutations, in the genome of cells over time leading to malignant transformation, combined with a failure by the immune system to detect and eradicate such transformed cells. Due to their random nature, the vast majority of these aberrations are unique to the individual patient.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consequence, heterogeneity is an intrinsic hallmark of cancer, posing a key challenge for cancer therapy:</w:t>
      </w:r>
    </w:p>
    <w:p>
      <w:pPr>
        <w:spacing w:after="0" w:line="127" w:lineRule="exact"/>
        <w:rPr>
          <w:sz w:val="20"/>
          <w:szCs w:val="20"/>
          <w:color w:val="auto"/>
        </w:rPr>
      </w:pPr>
    </w:p>
    <w:p>
      <w:pPr>
        <w:ind w:left="1180" w:right="40" w:hanging="436"/>
        <w:spacing w:after="0" w:line="266"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Interindividual tumor heterogeneity. </w:t>
      </w:r>
      <w:r>
        <w:rPr>
          <w:rFonts w:ascii="Arial" w:cs="Arial" w:eastAsia="Arial" w:hAnsi="Arial"/>
          <w:sz w:val="18"/>
          <w:szCs w:val="18"/>
          <w:color w:val="auto"/>
        </w:rPr>
        <w:t>Tumors, even within the same cancer type, differ at the molecular level. For example, two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type of cancer usually share less than five percent of their mutations. As a result, patients often respond very differently to the same drug.</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60"/>
          </w:cols>
          <w:pgMar w:left="24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80" w:hanging="436"/>
        <w:spacing w:after="0" w:line="289" w:lineRule="auto"/>
        <w:tabs>
          <w:tab w:leader="none" w:pos="1180" w:val="left"/>
        </w:tabs>
        <w:numPr>
          <w:ilvl w:val="0"/>
          <w:numId w:val="114"/>
        </w:numPr>
        <w:rPr>
          <w:rFonts w:ascii="Arial" w:cs="Arial" w:eastAsia="Arial" w:hAnsi="Arial"/>
          <w:sz w:val="17"/>
          <w:szCs w:val="17"/>
          <w:color w:val="auto"/>
        </w:rPr>
      </w:pPr>
      <w:r>
        <w:rPr>
          <w:rFonts w:ascii="Arial" w:cs="Arial" w:eastAsia="Arial" w:hAnsi="Arial"/>
          <w:sz w:val="17"/>
          <w:szCs w:val="17"/>
          <w:b w:val="1"/>
          <w:bCs w:val="1"/>
          <w:color w:val="auto"/>
        </w:rPr>
        <w:t xml:space="preserve">Intratumor heterogeneity. </w:t>
      </w:r>
      <w:r>
        <w:rPr>
          <w:rFonts w:ascii="Arial" w:cs="Arial" w:eastAsia="Arial" w:hAnsi="Arial"/>
          <w:sz w:val="17"/>
          <w:szCs w:val="17"/>
          <w:color w:val="auto"/>
        </w:rPr>
        <w:t>Within the same patient, cancer also evolves over time so that different tumor cell clones co-exist,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known as clonal evolution. As a result, a patient’s cancer may be intra-tumorally as well as inter-tumorally heterogeneous. Therapies might target only a subfraction of tumor cell clones. This can lead to immune escape and therapy failure.</w:t>
      </w:r>
    </w:p>
    <w:p>
      <w:pPr>
        <w:spacing w:after="0" w:line="63" w:lineRule="exact"/>
        <w:rPr>
          <w:rFonts w:ascii="Arial" w:cs="Arial" w:eastAsia="Arial" w:hAnsi="Arial"/>
          <w:sz w:val="17"/>
          <w:szCs w:val="17"/>
          <w:color w:val="auto"/>
        </w:rPr>
      </w:pPr>
    </w:p>
    <w:p>
      <w:pPr>
        <w:ind w:left="1180" w:right="460" w:hanging="436"/>
        <w:spacing w:after="0" w:line="266"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Cancer evolution and immune escape. </w:t>
      </w:r>
      <w:r>
        <w:rPr>
          <w:rFonts w:ascii="Arial" w:cs="Arial" w:eastAsia="Arial" w:hAnsi="Arial"/>
          <w:sz w:val="18"/>
          <w:szCs w:val="18"/>
          <w:color w:val="auto"/>
        </w:rPr>
        <w:t>Cancer cells can adapt to therapeutic pressure, which results in treatment resistance.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tumor cell clones may evolve that no longer express T cell recognized antigens or have defects in their antigen presentation machinery.</w:t>
      </w:r>
    </w:p>
    <w:p>
      <w:pPr>
        <w:spacing w:after="0" w:line="81" w:lineRule="exact"/>
        <w:rPr>
          <w:rFonts w:ascii="Arial" w:cs="Arial" w:eastAsia="Arial" w:hAnsi="Arial"/>
          <w:sz w:val="18"/>
          <w:szCs w:val="18"/>
          <w:color w:val="auto"/>
        </w:rPr>
      </w:pPr>
    </w:p>
    <w:p>
      <w:pPr>
        <w:ind w:left="1180" w:right="880" w:hanging="436"/>
        <w:spacing w:after="0" w:line="282"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Tumor microenvironment. </w:t>
      </w:r>
      <w:r>
        <w:rPr>
          <w:rFonts w:ascii="Arial" w:cs="Arial" w:eastAsia="Arial" w:hAnsi="Arial"/>
          <w:sz w:val="18"/>
          <w:szCs w:val="18"/>
          <w:color w:val="auto"/>
        </w:rPr>
        <w:t>Tumors induce various forms of immunosuppressive microenvironments that prevent T cells from</w:t>
      </w:r>
      <w:r>
        <w:rPr>
          <w:rFonts w:ascii="Arial" w:cs="Arial" w:eastAsia="Arial" w:hAnsi="Arial"/>
          <w:sz w:val="18"/>
          <w:szCs w:val="18"/>
          <w:b w:val="1"/>
          <w:bCs w:val="1"/>
          <w:color w:val="auto"/>
        </w:rPr>
        <w:t xml:space="preserve"> </w:t>
      </w:r>
      <w:r>
        <w:rPr>
          <w:rFonts w:ascii="Arial" w:cs="Arial" w:eastAsia="Arial" w:hAnsi="Arial"/>
          <w:sz w:val="18"/>
          <w:szCs w:val="18"/>
          <w:color w:val="auto"/>
        </w:rPr>
        <w:t>proliferating and executing their anti-tumor effector function.</w:t>
      </w:r>
    </w:p>
    <w:p>
      <w:pPr>
        <w:spacing w:after="0" w:line="67" w:lineRule="exact"/>
        <w:rPr>
          <w:rFonts w:ascii="Arial" w:cs="Arial" w:eastAsia="Arial" w:hAnsi="Arial"/>
          <w:sz w:val="18"/>
          <w:szCs w:val="18"/>
          <w:color w:val="auto"/>
        </w:rPr>
      </w:pPr>
    </w:p>
    <w:p>
      <w:pPr>
        <w:jc w:val="both"/>
        <w:ind w:left="1180" w:right="80" w:hanging="436"/>
        <w:spacing w:after="0" w:line="281" w:lineRule="auto"/>
        <w:tabs>
          <w:tab w:leader="none" w:pos="1180" w:val="left"/>
        </w:tabs>
        <w:numPr>
          <w:ilvl w:val="0"/>
          <w:numId w:val="114"/>
        </w:numPr>
        <w:rPr>
          <w:rFonts w:ascii="Arial" w:cs="Arial" w:eastAsia="Arial" w:hAnsi="Arial"/>
          <w:sz w:val="17"/>
          <w:szCs w:val="17"/>
          <w:color w:val="auto"/>
        </w:rPr>
      </w:pPr>
      <w:r>
        <w:rPr>
          <w:rFonts w:ascii="Arial" w:cs="Arial" w:eastAsia="Arial" w:hAnsi="Arial"/>
          <w:sz w:val="17"/>
          <w:szCs w:val="17"/>
          <w:b w:val="1"/>
          <w:bCs w:val="1"/>
          <w:color w:val="auto"/>
        </w:rPr>
        <w:t xml:space="preserve">Host, environment and immune system. </w:t>
      </w:r>
      <w:r>
        <w:rPr>
          <w:rFonts w:ascii="Arial" w:cs="Arial" w:eastAsia="Arial" w:hAnsi="Arial"/>
          <w:sz w:val="17"/>
          <w:szCs w:val="17"/>
          <w:color w:val="auto"/>
        </w:rPr>
        <w:t>The functional state of each patient’s immune system is dependent on the patient’s age, genetic</w:t>
      </w:r>
      <w:r>
        <w:rPr>
          <w:rFonts w:ascii="Arial" w:cs="Arial" w:eastAsia="Arial" w:hAnsi="Arial"/>
          <w:sz w:val="17"/>
          <w:szCs w:val="17"/>
          <w:b w:val="1"/>
          <w:bCs w:val="1"/>
          <w:color w:val="auto"/>
        </w:rPr>
        <w:t xml:space="preserve"> </w:t>
      </w:r>
      <w:r>
        <w:rPr>
          <w:rFonts w:ascii="Arial" w:cs="Arial" w:eastAsia="Arial" w:hAnsi="Arial"/>
          <w:sz w:val="17"/>
          <w:szCs w:val="17"/>
          <w:color w:val="auto"/>
        </w:rPr>
        <w:t>makeup and environmental exposures. For example, the HLA haplotype, or the genetic makeup that encodes the major histocompatibility complex, is highly individual and decisive for which epitopes of an antigen are presented to T cells. Whereas a given tumor antigen might be a good target in one patient, a second patient might not be able to respond to it at all.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graphic below depicts the interaction between three key factors influencing the patient unique tumor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152400</wp:posOffset>
            </wp:positionV>
            <wp:extent cx="5196840" cy="38760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9684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right="160"/>
        <w:spacing w:after="0" w:line="259" w:lineRule="auto"/>
        <w:rPr>
          <w:sz w:val="20"/>
          <w:szCs w:val="20"/>
          <w:color w:val="auto"/>
        </w:rPr>
      </w:pPr>
      <w:r>
        <w:rPr>
          <w:rFonts w:ascii="Arial" w:cs="Arial" w:eastAsia="Arial" w:hAnsi="Arial"/>
          <w:sz w:val="14"/>
          <w:szCs w:val="14"/>
          <w:b w:val="1"/>
          <w:bCs w:val="1"/>
          <w:color w:val="auto"/>
        </w:rPr>
        <w:t xml:space="preserve">Interindividual heterogeneity of patients. </w:t>
      </w:r>
      <w:r>
        <w:rPr>
          <w:rFonts w:ascii="Arial" w:cs="Arial" w:eastAsia="Arial" w:hAnsi="Arial"/>
          <w:sz w:val="14"/>
          <w:szCs w:val="14"/>
          <w:color w:val="auto"/>
        </w:rPr>
        <w:t>The interaction between cancer and immune system is shaped by various host, tumor and environmental factors. The complex interplay of these</w:t>
      </w:r>
      <w:r>
        <w:rPr>
          <w:rFonts w:ascii="Arial" w:cs="Arial" w:eastAsia="Arial" w:hAnsi="Arial"/>
          <w:sz w:val="14"/>
          <w:szCs w:val="14"/>
          <w:b w:val="1"/>
          <w:bCs w:val="1"/>
          <w:color w:val="auto"/>
        </w:rPr>
        <w:t xml:space="preserve"> </w:t>
      </w:r>
      <w:r>
        <w:rPr>
          <w:rFonts w:ascii="Arial" w:cs="Arial" w:eastAsia="Arial" w:hAnsi="Arial"/>
          <w:sz w:val="14"/>
          <w:szCs w:val="14"/>
          <w:color w:val="auto"/>
        </w:rPr>
        <w:t>sources of interpatient heterogeneity affects both the course of disease and the efficacy of immunotherapy.</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Together, these factors make cancer an extremely complex and heterogeneous disease. As a consequence, in the majority of cancer types, less than 40% of treated individuals benefit from highly potent approved therapies, and responses are often not durable. While these hallmarks of cancer are a challenge for cancer therapy, they also present opportunities for immunotherapy. These interconnected layers of complexity and variability require a deep understanding of an individual cancer and call for a patient-centric approach in order to find an optimal treatment.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Transformation of Cancer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believe the recent convergence of breakthrough technologies in life sciences has enabled innovative concepts to address the immunobiology of cancer at its core. One of these breakthroughs has been the establishment of cancer immunotherapy in the armamentarium of cancer treatments. Another has been the emerging progress towards individualized medicine. Technologies such as next-generation sequencing, or NGS, have confirmed beyond doubt the problematic diversity of tumors on the inter-patient level. At the same time, NGS enables fast, cost-efficient and precise high-resolution mapping of each patient’s individual disease. We believe the application of these breakthrough technologies has the potential to change drug development and profoundly alter the oncology treatment landscape.</w:t>
      </w:r>
    </w:p>
    <w:p>
      <w:pPr>
        <w:spacing w:after="0" w:line="178" w:lineRule="exact"/>
        <w:rPr>
          <w:sz w:val="20"/>
          <w:szCs w:val="20"/>
          <w:color w:val="auto"/>
        </w:rPr>
      </w:pPr>
    </w:p>
    <w:p>
      <w:pPr>
        <w:ind w:left="200" w:right="680" w:firstLine="441"/>
        <w:spacing w:after="0" w:line="286" w:lineRule="auto"/>
        <w:rPr>
          <w:sz w:val="20"/>
          <w:szCs w:val="20"/>
          <w:color w:val="auto"/>
        </w:rPr>
      </w:pPr>
      <w:r>
        <w:rPr>
          <w:rFonts w:ascii="Arial" w:cs="Arial" w:eastAsia="Arial" w:hAnsi="Arial"/>
          <w:sz w:val="17"/>
          <w:szCs w:val="17"/>
          <w:color w:val="auto"/>
        </w:rPr>
        <w:t>The ability to translate a comprehensive molecular map of an individual tumor into treatment decisions, and make individually tailored therapeutics available, have become the focus of the next generation of cancer therapy. The technology necessary for leapfrog advancements in oncology now exists, but to realize its potential, a radical paradigm shift is required in drug development.</w:t>
      </w:r>
    </w:p>
    <w:p>
      <w:pPr>
        <w:spacing w:after="0" w:line="31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The BioNTech Approach</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are focused on bringing cancer immunotherapy into the next generation. We believe that we can accomplish this by applying the following principles:</w:t>
      </w:r>
    </w:p>
    <w:p>
      <w:pPr>
        <w:spacing w:after="0" w:line="72" w:lineRule="exact"/>
        <w:rPr>
          <w:sz w:val="20"/>
          <w:szCs w:val="20"/>
          <w:color w:val="auto"/>
        </w:rPr>
      </w:pPr>
    </w:p>
    <w:p>
      <w:pPr>
        <w:jc w:val="both"/>
        <w:ind w:left="640" w:right="60" w:hanging="328"/>
        <w:spacing w:after="0" w:line="26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Exploiting the full potential of the immune system. </w:t>
      </w:r>
      <w:r>
        <w:rPr>
          <w:rFonts w:ascii="Arial" w:cs="Arial" w:eastAsia="Arial" w:hAnsi="Arial"/>
          <w:sz w:val="18"/>
          <w:szCs w:val="18"/>
          <w:color w:val="auto"/>
        </w:rPr>
        <w:t>Our broad pipeline includes mRNA-based immune activators, antigen-targeting T cells and</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and defined immunomodulators of various immune cell mechanisms. This portfolio is designed to mirror the evolution of the immune system to rely on multiple complementary pathways.</w:t>
      </w:r>
    </w:p>
    <w:p>
      <w:pPr>
        <w:spacing w:after="0" w:line="81" w:lineRule="exact"/>
        <w:rPr>
          <w:rFonts w:ascii="Arial" w:cs="Arial" w:eastAsia="Arial" w:hAnsi="Arial"/>
          <w:sz w:val="18"/>
          <w:szCs w:val="18"/>
          <w:color w:val="auto"/>
        </w:rPr>
      </w:pPr>
    </w:p>
    <w:p>
      <w:pPr>
        <w:ind w:left="640" w:right="160" w:hanging="328"/>
        <w:spacing w:after="0" w:line="261"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Broadening the universe of patients benefiting from cancer immunotherapy. </w:t>
      </w:r>
      <w:r>
        <w:rPr>
          <w:rFonts w:ascii="Arial" w:cs="Arial" w:eastAsia="Arial" w:hAnsi="Arial"/>
          <w:sz w:val="18"/>
          <w:szCs w:val="18"/>
          <w:color w:val="auto"/>
        </w:rPr>
        <w:t>We discover and exploit novel targets and target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aim is to extend the utility of immunotherapy to patient populations that are not currently amenable or do not benefit from the targets of current immunotherapies. One example are patients with low mutational load tumors, such as pancreatic and prostate cancer, which we address with tumor-associated antigens.</w:t>
      </w:r>
    </w:p>
    <w:p>
      <w:pPr>
        <w:spacing w:after="0" w:line="85" w:lineRule="exact"/>
        <w:rPr>
          <w:rFonts w:ascii="Arial" w:cs="Arial" w:eastAsia="Arial" w:hAnsi="Arial"/>
          <w:sz w:val="18"/>
          <w:szCs w:val="18"/>
          <w:color w:val="auto"/>
        </w:rPr>
      </w:pPr>
    </w:p>
    <w:p>
      <w:pPr>
        <w:ind w:left="640" w:hanging="328"/>
        <w:spacing w:after="0" w:line="26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Improving the success rate. </w:t>
      </w:r>
      <w:r>
        <w:rPr>
          <w:rFonts w:ascii="Arial" w:cs="Arial" w:eastAsia="Arial" w:hAnsi="Arial"/>
          <w:sz w:val="18"/>
          <w:szCs w:val="18"/>
          <w:color w:val="auto"/>
        </w:rPr>
        <w:t>We engineer and develop highly potent drug candidates designed to achieve precision for the specific target. We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augment activity and counteract resistance mechanisms by combining compounds with non-overlapping, synergistic mechanisms of action, such as combining our FixVac immunotherapy (CARVac) with our novel CAR T therapies.</w:t>
      </w:r>
    </w:p>
    <w:p>
      <w:pPr>
        <w:spacing w:after="0" w:line="81" w:lineRule="exact"/>
        <w:rPr>
          <w:rFonts w:ascii="Arial" w:cs="Arial" w:eastAsia="Arial" w:hAnsi="Arial"/>
          <w:sz w:val="18"/>
          <w:szCs w:val="18"/>
          <w:color w:val="auto"/>
        </w:rPr>
      </w:pPr>
    </w:p>
    <w:p>
      <w:pPr>
        <w:ind w:left="640" w:right="140" w:hanging="328"/>
        <w:spacing w:after="0" w:line="26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Focusing on curative approaches. </w:t>
      </w:r>
      <w:r>
        <w:rPr>
          <w:rFonts w:ascii="Arial" w:cs="Arial" w:eastAsia="Arial" w:hAnsi="Arial"/>
          <w:sz w:val="18"/>
          <w:szCs w:val="18"/>
          <w:color w:val="auto"/>
        </w:rPr>
        <w:t>The root cause of recurrence or for lack of tumor eradication is interindividual variability and cancer</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heterogeneity. Addressing this biological reality is one of the mandatory design aspects of the product candidates we develop. For example, each of our cancer immunotherapies incorporates multiple targets in order to account for this variability.</w:t>
      </w:r>
    </w:p>
    <w:p>
      <w:pPr>
        <w:spacing w:after="0" w:line="180"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We have applied these four guiding principles to a broad suite of therapeutic platforms optimized for a distinct mode of action, high precision targeting, high potency and efficacy. We expect each platform to yield a pipeline of drug candidates for further development.</w:t>
      </w:r>
    </w:p>
    <w:p>
      <w:pPr>
        <w:spacing w:after="0" w:line="14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believe this technology-agnostic range of platforms and product candidates positions us to remain at the forefront of the shift toward an individually tailored, patient-centric therapeutic approach in oncology.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Patient-Centric Model</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We believe the next generation of cancer immunotherapy will start from the perspective of the molecular changes that have occurred in an</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 xml:space="preserve">individual patient, and then will provide a specific therapy </w:t>
      </w:r>
      <w:r>
        <w:rPr>
          <w:rFonts w:ascii="Arial" w:cs="Arial" w:eastAsia="Arial" w:hAnsi="Arial"/>
          <w:sz w:val="16"/>
          <w:szCs w:val="16"/>
          <w:i w:val="1"/>
          <w:iCs w:val="1"/>
          <w:color w:val="auto"/>
        </w:rPr>
        <w:t>for that patient</w:t>
      </w:r>
      <w:r>
        <w:rPr>
          <w:rFonts w:ascii="Arial" w:cs="Arial" w:eastAsia="Arial" w:hAnsi="Arial"/>
          <w:sz w:val="16"/>
          <w:szCs w:val="16"/>
          <w:color w:val="auto"/>
        </w:rPr>
        <w:t>. We believe that BioNTech is ideally positioned to drive this transformation.</w:t>
      </w:r>
    </w:p>
    <w:p>
      <w:pPr>
        <w:spacing w:after="0" w:line="23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patient-centric model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very beginning onwards, we have been developing the novel technologies needed to match the identified targets to the optimal individualized treatment approach.</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patient-centric model is illustrated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4227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8585"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right="60"/>
        <w:spacing w:after="0" w:line="259" w:lineRule="auto"/>
        <w:rPr>
          <w:sz w:val="20"/>
          <w:szCs w:val="20"/>
          <w:color w:val="auto"/>
        </w:rPr>
      </w:pPr>
      <w:r>
        <w:rPr>
          <w:rFonts w:ascii="Arial" w:cs="Arial" w:eastAsia="Arial" w:hAnsi="Arial"/>
          <w:sz w:val="14"/>
          <w:szCs w:val="14"/>
          <w:b w:val="1"/>
          <w:bCs w:val="1"/>
          <w:color w:val="auto"/>
        </w:rPr>
        <w:t xml:space="preserve">Our patient-centric model. </w:t>
      </w:r>
      <w:r>
        <w:rPr>
          <w:rFonts w:ascii="Arial" w:cs="Arial" w:eastAsia="Arial" w:hAnsi="Arial"/>
          <w:sz w:val="14"/>
          <w:szCs w:val="14"/>
          <w:color w:val="auto"/>
        </w:rPr>
        <w:t>Utilizing patient profiling, diagnostics and bioinformatics, we select from our suite of drug classes to provide optimal individualized treatment. Our treatments</w:t>
      </w:r>
      <w:r>
        <w:rPr>
          <w:rFonts w:ascii="Arial" w:cs="Arial" w:eastAsia="Arial" w:hAnsi="Arial"/>
          <w:sz w:val="14"/>
          <w:szCs w:val="14"/>
          <w:b w:val="1"/>
          <w:bCs w:val="1"/>
          <w:color w:val="auto"/>
        </w:rPr>
        <w:t xml:space="preserve"> </w:t>
      </w:r>
      <w:r>
        <w:rPr>
          <w:rFonts w:ascii="Arial" w:cs="Arial" w:eastAsia="Arial" w:hAnsi="Arial"/>
          <w:sz w:val="14"/>
          <w:szCs w:val="14"/>
          <w:color w:val="auto"/>
        </w:rPr>
        <w:t>include off-the-shelf drugs as well as highly tailored immunotherapies that are produced on-demand for the individual patient.</w:t>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240" w:top="459" w:right="5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Utilizing this model:</w:t>
      </w:r>
    </w:p>
    <w:p>
      <w:pPr>
        <w:spacing w:after="0" w:line="131" w:lineRule="exact"/>
        <w:rPr>
          <w:sz w:val="20"/>
          <w:szCs w:val="20"/>
          <w:color w:val="auto"/>
        </w:rPr>
      </w:pPr>
    </w:p>
    <w:p>
      <w:pPr>
        <w:ind w:left="640" w:right="260" w:hanging="436"/>
        <w:spacing w:after="0" w:line="286"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develop and leverage our competencies in target discovery, biomarker science and computational medicine to thoroughly profile a patient’s tumor sample and immune cells for the selection of suitable targets and treatments. Combined with our deep domain expertise in immuno-oncology and product vision, we are able to use this data to develop next-generation product candidates.</w:t>
      </w:r>
    </w:p>
    <w:p>
      <w:pPr>
        <w:spacing w:after="0" w:line="70" w:lineRule="exact"/>
        <w:rPr>
          <w:rFonts w:ascii="Arial" w:cs="Arial" w:eastAsia="Arial" w:hAnsi="Arial"/>
          <w:sz w:val="17"/>
          <w:szCs w:val="17"/>
          <w:color w:val="auto"/>
        </w:rPr>
      </w:pPr>
    </w:p>
    <w:p>
      <w:pPr>
        <w:ind w:left="640" w:right="80" w:hanging="436"/>
        <w:spacing w:after="0" w:line="286"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have developed and are iteratively optimizing next-generation therapeutic platforms leveraging four drug classes. Each therapeutic platform bundles innovations designed to deliver a distinct mode of action with high-precision targeting, high potency and efficacy. Each platform is being developed to provide a pipeline of drug candidates with complementary and potentially synergistic modes of action.</w:t>
      </w:r>
    </w:p>
    <w:p>
      <w:pPr>
        <w:spacing w:after="0" w:line="70" w:lineRule="exact"/>
        <w:rPr>
          <w:rFonts w:ascii="Arial" w:cs="Arial" w:eastAsia="Arial" w:hAnsi="Arial"/>
          <w:sz w:val="17"/>
          <w:szCs w:val="17"/>
          <w:color w:val="auto"/>
        </w:rPr>
      </w:pPr>
    </w:p>
    <w:p>
      <w:pPr>
        <w:ind w:left="640" w:right="80" w:hanging="436"/>
        <w:spacing w:after="0" w:line="264"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drug platforms are highly versatile and support the fast development of scalable manufacturing processes. We develop and establish highly digitalized and automated manufacturing technologies and quality controlled processes enabling fast delivery of customized therapies comprising off-the-shelf drugs, on-demand immunotherapies, and combinations thereof.</w:t>
      </w:r>
    </w:p>
    <w:p>
      <w:pPr>
        <w:spacing w:after="0" w:line="18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We invest in innovation whenever we encounter technology barriers which may constrain clinical success. We are technology-agnostic and we seek to utilize the technology that is most suited for the respective purpose. By focusing on the three pillars discussed above over the last decade, we have integrated all of the building blocks of immunotherapy under one roof, enabling an approach with the potential to optimize patient outcomes.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 and Potentially Synergistic Suite of Platforms</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believe the depth and breadth of our understanding of immune system and cancer biology allows us to create an extensive pipeline of specific and potentially efficacious product candidates. We are exploiting a comprehensive repertoire of known and proprietary therapeutically relevant immuno-oncology targets and are developing a diverse spectrum of immunotherapeutic approaches,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05730" cy="19640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0573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believe that harnessing complementary, potentially synergistic modes of action increases the likelihood of therapeutic success, reduces the risk of emergence of secondary resistance mechanisms, and also unlocks a larger potential market. Critically, this approach allows us to pursue a technology agnostic approach, providing the most appropriate therapeutic platform or a combination thereof for the intended patient and purpose.</w:t>
      </w:r>
    </w:p>
    <w:p>
      <w:pPr>
        <w:spacing w:after="0" w:line="14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For example, we believe our neoantigen immunotherapies are particularly well-suited to treat high mutation load cancers in the adjuvant setting to prevent the tumor from spreading or recurring following initial treatment such as surgery. In this setting, tumor volumes tend to be low and there remains the potential for strong T cell responses since the patient’s immune system has not been weakened by prior lines of treatment, and checkpoint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inhibition alone often offers a poor risk-benefit profile or low response rate. Similarly, we believe our FixVac, CAR T and next-generation checkpoint immunomodulator platforms may have especially strong potential in lower mutation burden tumors such as ovarian or prostate cancers, which comprise a significant proportion of tumors and often also have a poor response to checkpoint inhibition. Likewise, we believe that monoclonal targeted cancer antibodies and CAR-T cell therapies are particularly well-suited for tumors that have defects in their antigen-presentation machinery.</w:t>
      </w:r>
    </w:p>
    <w:p>
      <w:pPr>
        <w:spacing w:after="0" w:line="154"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believe our technology breadth is greater than the sum of its parts in that it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131445</wp:posOffset>
            </wp:positionV>
            <wp:extent cx="5196840" cy="17240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968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Diversity of cancer patient populations, challenges and our therapeutic strategies. </w:t>
      </w:r>
      <w:r>
        <w:rPr>
          <w:rFonts w:ascii="Arial" w:cs="Arial" w:eastAsia="Arial" w:hAnsi="Arial"/>
          <w:sz w:val="13"/>
          <w:szCs w:val="13"/>
          <w:color w:val="auto"/>
        </w:rPr>
        <w:t>We believe our diversified portfolio allows us to potentially address a large share of cancer patients.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Abbreviations: TME, tumor microenvironment; B2M, beta-2 microglobulin, a component of MHC.</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VII. Selection of Therapeutic Targets and Therapies</w:t>
      </w:r>
    </w:p>
    <w:p>
      <w:pPr>
        <w:spacing w:after="0" w:line="229"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 xml:space="preserve">Immunotherapy targets can be categorized as </w:t>
      </w:r>
      <w:r>
        <w:rPr>
          <w:rFonts w:ascii="Arial" w:cs="Arial" w:eastAsia="Arial" w:hAnsi="Arial"/>
          <w:sz w:val="18"/>
          <w:szCs w:val="18"/>
          <w:i w:val="1"/>
          <w:iCs w:val="1"/>
          <w:color w:val="auto"/>
        </w:rPr>
        <w:t>antigens</w:t>
      </w:r>
      <w:r>
        <w:rPr>
          <w:rFonts w:ascii="Arial" w:cs="Arial" w:eastAsia="Arial" w:hAnsi="Arial"/>
          <w:sz w:val="18"/>
          <w:szCs w:val="18"/>
          <w:color w:val="auto"/>
        </w:rPr>
        <w:t xml:space="preserve"> for targeted immunotherapy with antibody- or T cell-based effector mechanisms and </w:t>
      </w:r>
      <w:r>
        <w:rPr>
          <w:rFonts w:ascii="Arial" w:cs="Arial" w:eastAsia="Arial" w:hAnsi="Arial"/>
          <w:sz w:val="18"/>
          <w:szCs w:val="18"/>
          <w:i w:val="1"/>
          <w:iCs w:val="1"/>
          <w:color w:val="auto"/>
        </w:rPr>
        <w:t xml:space="preserve">immunomodulatory targets </w:t>
      </w:r>
      <w:r>
        <w:rPr>
          <w:rFonts w:ascii="Arial" w:cs="Arial" w:eastAsia="Arial" w:hAnsi="Arial"/>
          <w:sz w:val="18"/>
          <w:szCs w:val="18"/>
          <w:color w:val="auto"/>
        </w:rPr>
        <w:t>to be exploited to improve the anti-tumoral function of immune cells.</w:t>
      </w:r>
    </w:p>
    <w:p>
      <w:pPr>
        <w:spacing w:after="0" w:line="315" w:lineRule="exact"/>
        <w:rPr>
          <w:sz w:val="20"/>
          <w:szCs w:val="20"/>
          <w:color w:val="auto"/>
        </w:rPr>
      </w:pPr>
    </w:p>
    <w:p>
      <w:pPr>
        <w:ind w:left="1180" w:hanging="544"/>
        <w:spacing w:after="0"/>
        <w:tabs>
          <w:tab w:leader="none" w:pos="11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Targeting Cancer Antigens</w:t>
      </w:r>
    </w:p>
    <w:p>
      <w:pPr>
        <w:spacing w:after="0" w:line="22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order to address the broadest possible number of patients, our therapeutically targeted cancer antigen library comprises tumor associated antigens, viral neoantigens and mutant neoantigens:</w:t>
      </w:r>
    </w:p>
    <w:p>
      <w:pPr>
        <w:spacing w:after="0" w:line="319" w:lineRule="exact"/>
        <w:rPr>
          <w:sz w:val="20"/>
          <w:szCs w:val="20"/>
          <w:color w:val="auto"/>
        </w:rPr>
      </w:pPr>
    </w:p>
    <w:p>
      <w:pPr>
        <w:ind w:left="1620" w:hanging="430"/>
        <w:spacing w:after="0"/>
        <w:tabs>
          <w:tab w:leader="none" w:pos="162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Tumor Associated Antigens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Tumor associated antigens, or TAAs, are cancer selective targets that typically have a highly restricted expression pattern in normal tissues but are frequently expressed in a wide range of human cancers. Over the last 15 years, we have built up a database of approximately 200 cancer-selective antigens, including proprietary disease targets that could be used as targets for immunotherapy-based approaches.</w:t>
      </w:r>
    </w:p>
    <w:p>
      <w:pPr>
        <w:spacing w:after="0" w:line="71" w:lineRule="exact"/>
        <w:rPr>
          <w:sz w:val="20"/>
          <w:szCs w:val="20"/>
          <w:color w:val="auto"/>
        </w:rPr>
      </w:pPr>
    </w:p>
    <w:p>
      <w:pPr>
        <w:ind w:left="640" w:right="20" w:hanging="328"/>
        <w:spacing w:after="0" w:line="286" w:lineRule="auto"/>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Cancer-Germline and Cancer-Embryo-Fetal Antigens, which are normally expressed during embryonal development and silenced after birth or restricted to germline cells. These antigens are aberrantly expressed in a variety of human malignancies and are generally not expressed in healthy tissue, making them particularly suitable for our FixVac-, antibody- and CAR-T cell-based therapeutic approaches.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328"/>
        <w:spacing w:after="0" w:line="264"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Differentiation antigens, which are normally expressed in a highly tissue-specific manner in normal tissues (</w:t>
      </w:r>
      <w:r>
        <w:rPr>
          <w:rFonts w:ascii="Arial" w:cs="Arial" w:eastAsia="Arial" w:hAnsi="Arial"/>
          <w:sz w:val="18"/>
          <w:szCs w:val="18"/>
          <w:i w:val="1"/>
          <w:iCs w:val="1"/>
          <w:color w:val="auto"/>
        </w:rPr>
        <w:t>e.g.</w:t>
      </w:r>
      <w:r>
        <w:rPr>
          <w:rFonts w:ascii="Arial" w:cs="Arial" w:eastAsia="Arial" w:hAnsi="Arial"/>
          <w:sz w:val="18"/>
          <w:szCs w:val="18"/>
          <w:color w:val="auto"/>
        </w:rPr>
        <w:t>, on melanocytes or on prostate cells) but are also present in a high proportion of tumors derived from these tissues, are well-suited for therapeutic targeting with FixVac and antibody approaches.</w:t>
      </w:r>
    </w:p>
    <w:p>
      <w:pPr>
        <w:spacing w:after="0" w:line="86" w:lineRule="exact"/>
        <w:rPr>
          <w:rFonts w:ascii="Arial" w:cs="Arial" w:eastAsia="Arial" w:hAnsi="Arial"/>
          <w:sz w:val="18"/>
          <w:szCs w:val="18"/>
          <w:color w:val="auto"/>
        </w:rPr>
      </w:pPr>
    </w:p>
    <w:p>
      <w:pPr>
        <w:ind w:left="640" w:right="880" w:hanging="328"/>
        <w:spacing w:after="0" w:line="277"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Tumor-associated carbohydrate antigens are carbohydrate-based cell surface tumor antigens generated by cancer cell-specific aberrant glycosylation that enable the development of antibody and CAR-T cell therapies.</w:t>
      </w:r>
    </w:p>
    <w:p>
      <w:pPr>
        <w:spacing w:after="0" w:line="319" w:lineRule="exact"/>
        <w:rPr>
          <w:sz w:val="20"/>
          <w:szCs w:val="20"/>
          <w:color w:val="auto"/>
        </w:rPr>
      </w:pPr>
    </w:p>
    <w:p>
      <w:pPr>
        <w:ind w:left="1620" w:hanging="430"/>
        <w:spacing w:after="0"/>
        <w:tabs>
          <w:tab w:leader="none" w:pos="162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Viral Neoantigens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Viral oncoproteins, or viral neoantigens, are virus-derived proteins that drive the oncogenic transformation of infected cells by viruses that can cause cancer. Examples are the E6 and E7 oncoproteins from human papilloma virus, or HPV. Viral oncoproteins are commonly acknowledged as safe and promising targets for immunotherapy as they are (i) absent from any non-infected tissue, (ii) highly immunogenic since they are not prone to central tolerance mechanisms and (iii) not subject to immune escape by gene silencing as they are crucial to maintaining the transformed state of the tumor cells. We leverage viral neoantigens as targets for our BNT113 FixVac program in HPV16+ head and neck cancer.</w:t>
      </w:r>
    </w:p>
    <w:p>
      <w:pPr>
        <w:spacing w:after="0" w:line="321" w:lineRule="exact"/>
        <w:rPr>
          <w:sz w:val="20"/>
          <w:szCs w:val="20"/>
          <w:color w:val="auto"/>
        </w:rPr>
      </w:pPr>
    </w:p>
    <w:p>
      <w:pPr>
        <w:ind w:left="1620" w:hanging="430"/>
        <w:spacing w:after="0"/>
        <w:tabs>
          <w:tab w:leader="none" w:pos="162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Mutant Neoantigens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Somatic mutations, or mutations of non-germline cells, are a hallmark of cancer. Driver mutations promote the oncogenic process, whereas passenger mutations are considered as functionally irrelevant. Both types of mutations, however, can alter the sequence of proteins and create new epitopes which are processed and presented on specialized major histocompatibility complex, or MHC, molecules. Mutated epitopes that are recognized by T cells are called neoepitopes and the sequence-altered proteins they are derived from are neoantigens. They are promising targets for cancer immunotherapy as (i) activation of the immune system against such antigens is highly specific (they are only expressed on cancer cells) and (ii) mutant neoantigens are exempt from central tolerance and thus T cell affinity for neoantigens may be significantly superior. We utilize individualized mutant neoantigens as targets for our iNeST product candidates.</w:t>
      </w:r>
    </w:p>
    <w:p>
      <w:pPr>
        <w:spacing w:after="0" w:line="322" w:lineRule="exact"/>
        <w:rPr>
          <w:sz w:val="20"/>
          <w:szCs w:val="20"/>
          <w:color w:val="auto"/>
        </w:rPr>
      </w:pPr>
    </w:p>
    <w:p>
      <w:pPr>
        <w:ind w:left="1180" w:hanging="544"/>
        <w:spacing w:after="0"/>
        <w:tabs>
          <w:tab w:leader="none" w:pos="11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Immunomodulatory Targets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activity of immune cells can be controlled or manipulated by the targeting of receptors that control key biological processes in these cells, known as immunomodulation. Immunomodulatory targeting strategies include:</w:t>
      </w:r>
    </w:p>
    <w:p>
      <w:pPr>
        <w:spacing w:after="0" w:line="319" w:lineRule="exact"/>
        <w:rPr>
          <w:sz w:val="20"/>
          <w:szCs w:val="20"/>
          <w:color w:val="auto"/>
        </w:rPr>
      </w:pPr>
    </w:p>
    <w:p>
      <w:pPr>
        <w:ind w:left="1620" w:hanging="430"/>
        <w:spacing w:after="0"/>
        <w:tabs>
          <w:tab w:leader="none" w:pos="162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Checkpoint Inhibition</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Checkpoint inhibition is a therapeutic approach by which T cell function is stimulated with mAbs that block their inhibitory receptors, which can be exploited by cancer cells to shut down T cell activity. Examples of checkpoint targets are PD-1, PD-L1, CTLA-4, TIGIT, LAG3 and many others. The concept is known as “releasing the brakes” and has been shown to be therapeutically effective in tumors with strong pre-existing immune cell infiltration. Our GEN1046 (BNT311) product candidate is a next-generation bispecific checkpoint immunomodulator, with one arm targeting PD-L1.</w:t>
      </w:r>
    </w:p>
    <w:p>
      <w:pPr>
        <w:spacing w:after="0" w:line="303" w:lineRule="exact"/>
        <w:rPr>
          <w:sz w:val="20"/>
          <w:szCs w:val="20"/>
          <w:color w:val="auto"/>
        </w:rPr>
      </w:pPr>
    </w:p>
    <w:p>
      <w:pPr>
        <w:ind w:left="1620" w:hanging="430"/>
        <w:spacing w:after="0"/>
        <w:tabs>
          <w:tab w:leader="none" w:pos="162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Immunostimulation</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Immunostimulatory approaches are directed against receptors known to directly activate immune cells. Examples of these targets include co-stimulatory molecules such as CD40 and 4-1BB or cytokine receptors such as IL-2R, IL-7R and IL-12R. Immunostimulatory approaches provide a powerful opportunity to enhance immune activation, even in types of cancer that are not responsive to checkpoint inhibition due to lack of immune cell infiltration. However, this approach is often limited by a narrow therapeutic window associated with dose-limiting toxicity.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both concepts can be combined in a potentially synergistic and safe fashion by developing precisely engineered molecules, such as our BNT151 RiboCytokine program or GEN1042 (BNT312), our next-generation bispecific checkpoint immunomodulator targeting both CD40 and 4-1BB.</w:t>
      </w:r>
    </w:p>
    <w:p>
      <w:pPr>
        <w:spacing w:after="0" w:line="326" w:lineRule="exact"/>
        <w:rPr>
          <w:sz w:val="20"/>
          <w:szCs w:val="20"/>
          <w:color w:val="auto"/>
        </w:rPr>
      </w:pPr>
    </w:p>
    <w:p>
      <w:pPr>
        <w:ind w:left="1180" w:hanging="544"/>
        <w:spacing w:after="0"/>
        <w:tabs>
          <w:tab w:leader="none" w:pos="1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Our Computational Approach to Individualized Immunotherapy</w:t>
      </w:r>
    </w:p>
    <w:p>
      <w:pPr>
        <w:spacing w:after="0" w:line="121" w:lineRule="exact"/>
        <w:rPr>
          <w:sz w:val="20"/>
          <w:szCs w:val="20"/>
          <w:color w:val="auto"/>
        </w:rPr>
      </w:pPr>
    </w:p>
    <w:p>
      <w:pPr>
        <w:jc w:val="both"/>
        <w:ind w:left="200" w:right="660" w:firstLine="441"/>
        <w:spacing w:after="0" w:line="342" w:lineRule="auto"/>
        <w:rPr>
          <w:sz w:val="20"/>
          <w:szCs w:val="20"/>
          <w:color w:val="auto"/>
        </w:rPr>
      </w:pPr>
      <w:r>
        <w:rPr>
          <w:rFonts w:ascii="Arial" w:cs="Arial" w:eastAsia="Arial" w:hAnsi="Arial"/>
          <w:sz w:val="16"/>
          <w:szCs w:val="16"/>
          <w:color w:val="auto"/>
        </w:rPr>
        <w:t>Bioinformatics are critical in the production of individualized therapies. We have accumulated a high level of experience in bioinformatic approaches to mutation detection, cancer genomics and immunotherapy through our ongoing research and preclinical studies and clinical trials.</w:t>
      </w:r>
    </w:p>
    <w:p>
      <w:pPr>
        <w:spacing w:after="0" w:line="12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Our validated patient-centric bioinformatic process, as illustrated below, allows the application of complex algorithms to the patient’s data in the context of drug manufacturing. Our bioinformatics processes are robust and scalable, incorporating our experience handling genomic data in a high-throughput environment, as we target making on-demand production of individualized immunotherapies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13985" cy="13550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From Patient to Analysis. </w:t>
      </w:r>
      <w:r>
        <w:rPr>
          <w:rFonts w:ascii="Arial" w:cs="Arial" w:eastAsia="Arial" w:hAnsi="Arial"/>
          <w:sz w:val="14"/>
          <w:szCs w:val="14"/>
          <w:color w:val="auto"/>
        </w:rPr>
        <w:t>Our bioinformatic process for the selection of neoepitopes.</w:t>
      </w:r>
    </w:p>
    <w:p>
      <w:pPr>
        <w:spacing w:after="0" w:line="361" w:lineRule="exact"/>
        <w:rPr>
          <w:sz w:val="20"/>
          <w:szCs w:val="20"/>
          <w:color w:val="auto"/>
        </w:rPr>
      </w:pPr>
    </w:p>
    <w:p>
      <w:pPr>
        <w:ind w:left="1620" w:hanging="430"/>
        <w:spacing w:after="0"/>
        <w:tabs>
          <w:tab w:leader="none" w:pos="162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Sequencing</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We sequence the patient’s tumor and healthy tissue samples using NGS technology. Comparison of the patient’s sequenced tumor and healthy samples provides us with the data from which we can identify targets for the design of individualized cancer immunotherapies. This is a multi-step process in which mutation detection and neoantigen prediction are particularly important.</w:t>
      </w:r>
    </w:p>
    <w:p>
      <w:pPr>
        <w:spacing w:after="0" w:line="330" w:lineRule="exact"/>
        <w:rPr>
          <w:sz w:val="20"/>
          <w:szCs w:val="20"/>
          <w:color w:val="auto"/>
        </w:rPr>
      </w:pPr>
    </w:p>
    <w:p>
      <w:pPr>
        <w:ind w:left="1620" w:hanging="430"/>
        <w:spacing w:after="0"/>
        <w:tabs>
          <w:tab w:leader="none" w:pos="162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Mutation Detection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Mutation detection, which defines which tumor-specific mutations are present in any cancer, is the starting point for defining targets for individualized immunotherapy. Determining mutations from NGS data with high precision and sensitivity is challenging because numerous factors can lead to false positives, which can mask mutations. Despite advances in the field, commonly used mutation detection algorithms still exhibit high false positive mutation detections. In order to address these challenges, we have exclusively licensed a technology from TRON that combines tumor modeling with mutation detection, called MyMUT. MyMUT is a next-generation mutation detection system, which we believe has the following key characteristics:</w:t>
      </w:r>
    </w:p>
    <w:p>
      <w:pPr>
        <w:spacing w:after="0" w:line="95" w:lineRule="exact"/>
        <w:rPr>
          <w:sz w:val="20"/>
          <w:szCs w:val="20"/>
          <w:color w:val="auto"/>
        </w:rPr>
      </w:pPr>
    </w:p>
    <w:p>
      <w:pPr>
        <w:ind w:left="640" w:right="40" w:hanging="328"/>
        <w:spacing w:after="0" w:line="277"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 xml:space="preserve">High specificity and robustness. </w:t>
      </w:r>
      <w:r>
        <w:rPr>
          <w:rFonts w:ascii="Arial" w:cs="Arial" w:eastAsia="Arial" w:hAnsi="Arial"/>
          <w:sz w:val="17"/>
          <w:szCs w:val="17"/>
          <w:color w:val="auto"/>
        </w:rPr>
        <w:t>By combining tumor modeling, sophisticated statistical and genomic filters, and replicate sampling, MyMUT</w:t>
      </w:r>
      <w:r>
        <w:rPr>
          <w:rFonts w:ascii="Arial" w:cs="Arial" w:eastAsia="Arial" w:hAnsi="Arial"/>
          <w:sz w:val="17"/>
          <w:szCs w:val="17"/>
          <w:b w:val="1"/>
          <w:bCs w:val="1"/>
          <w:color w:val="auto"/>
        </w:rPr>
        <w:t xml:space="preserve"> </w:t>
      </w:r>
      <w:r>
        <w:rPr>
          <w:rFonts w:ascii="Arial" w:cs="Arial" w:eastAsia="Arial" w:hAnsi="Arial"/>
          <w:sz w:val="17"/>
          <w:szCs w:val="17"/>
          <w:color w:val="auto"/>
        </w:rPr>
        <w:t>achieves clinical precision in detecting mutations with comparable sensitivity to state-of-the-art mutation detection systems. Higher specificity translates to potentially more effective immunotherapies, with faster and cheaper production. MyMUT is designed to deliver uniform performance for all patients regardless of tumor complexity, mutation burden or sample purity. MyMUT’s performance with low mutation tumors also allows us to offer individualized immunotherapies to patients with low tumor mutation burdens.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328"/>
        <w:spacing w:after="0" w:line="266" w:lineRule="auto"/>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Intratumor heterogeneity. </w:t>
      </w:r>
      <w:r>
        <w:rPr>
          <w:rFonts w:ascii="Arial" w:cs="Arial" w:eastAsia="Arial" w:hAnsi="Arial"/>
          <w:sz w:val="18"/>
          <w:szCs w:val="18"/>
          <w:color w:val="auto"/>
        </w:rPr>
        <w:t>By performing tumor modeling, MyMUT can also identify clonal and subclonal mutations with high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prioritize the former in neoantigen-directed immunotherapies and address intratumoral heterogeneity by targeting mutations that are common in a higher proportion of cancer cells within a tumor.</w:t>
      </w:r>
    </w:p>
    <w:p>
      <w:pPr>
        <w:spacing w:after="0" w:line="81" w:lineRule="exact"/>
        <w:rPr>
          <w:rFonts w:ascii="Arial" w:cs="Arial" w:eastAsia="Arial" w:hAnsi="Arial"/>
          <w:sz w:val="18"/>
          <w:szCs w:val="18"/>
          <w:color w:val="auto"/>
        </w:rPr>
      </w:pPr>
    </w:p>
    <w:p>
      <w:pPr>
        <w:ind w:left="640" w:right="120" w:hanging="328"/>
        <w:spacing w:after="0" w:line="282" w:lineRule="auto"/>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Quality control (QC). </w:t>
      </w:r>
      <w:r>
        <w:rPr>
          <w:rFonts w:ascii="Arial" w:cs="Arial" w:eastAsia="Arial" w:hAnsi="Arial"/>
          <w:sz w:val="18"/>
          <w:szCs w:val="18"/>
          <w:color w:val="auto"/>
        </w:rPr>
        <w:t>By analyzing the genomic properties of sequenced samples, MyMUT can detect errors that pass standard sequencing QC,</w:t>
      </w:r>
      <w:r>
        <w:rPr>
          <w:rFonts w:ascii="Arial" w:cs="Arial" w:eastAsia="Arial" w:hAnsi="Arial"/>
          <w:sz w:val="18"/>
          <w:szCs w:val="18"/>
          <w:b w:val="1"/>
          <w:bCs w:val="1"/>
          <w:color w:val="auto"/>
        </w:rPr>
        <w:t xml:space="preserve"> </w:t>
      </w:r>
      <w:r>
        <w:rPr>
          <w:rFonts w:ascii="Arial" w:cs="Arial" w:eastAsia="Arial" w:hAnsi="Arial"/>
          <w:sz w:val="18"/>
          <w:szCs w:val="18"/>
          <w:color w:val="auto"/>
        </w:rPr>
        <w:t>ensuring the quality and safety of individualized immunotherapies.</w:t>
      </w:r>
    </w:p>
    <w:p>
      <w:pPr>
        <w:spacing w:after="0" w:line="314" w:lineRule="exact"/>
        <w:rPr>
          <w:sz w:val="20"/>
          <w:szCs w:val="20"/>
          <w:color w:val="auto"/>
        </w:rPr>
      </w:pPr>
    </w:p>
    <w:p>
      <w:pPr>
        <w:ind w:left="1620" w:hanging="430"/>
        <w:spacing w:after="0"/>
        <w:tabs>
          <w:tab w:leader="none" w:pos="1620" w:val="left"/>
        </w:tabs>
        <w:numPr>
          <w:ilvl w:val="0"/>
          <w:numId w:val="1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Neoepitope Selection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Only a portion of mutated peptides (neoepitopes) are suitable for raising an immune response </w:t>
      </w:r>
      <w:r>
        <w:rPr>
          <w:rFonts w:ascii="Arial" w:cs="Arial" w:eastAsia="Arial" w:hAnsi="Arial"/>
          <w:sz w:val="17"/>
          <w:szCs w:val="17"/>
          <w:i w:val="1"/>
          <w:iCs w:val="1"/>
          <w:color w:val="auto"/>
        </w:rPr>
        <w:t>in vivo</w:t>
      </w:r>
      <w:r>
        <w:rPr>
          <w:rFonts w:ascii="Arial" w:cs="Arial" w:eastAsia="Arial" w:hAnsi="Arial"/>
          <w:sz w:val="17"/>
          <w:szCs w:val="17"/>
          <w:color w:val="auto"/>
        </w:rPr>
        <w:t>. Our approach focuses on evoking responses involving both CD8</w:t>
      </w:r>
      <w:r>
        <w:rPr>
          <w:rFonts w:ascii="Arial" w:cs="Arial" w:eastAsia="Arial" w:hAnsi="Arial"/>
          <w:sz w:val="14"/>
          <w:szCs w:val="14"/>
          <w:color w:val="auto"/>
        </w:rPr>
        <w:t>+</w:t>
      </w:r>
      <w:r>
        <w:rPr>
          <w:rFonts w:ascii="Arial" w:cs="Arial" w:eastAsia="Arial" w:hAnsi="Arial"/>
          <w:sz w:val="17"/>
          <w:szCs w:val="17"/>
          <w:color w:val="auto"/>
        </w:rPr>
        <w:t xml:space="preserve"> T cells and CD4</w:t>
      </w:r>
      <w:r>
        <w:rPr>
          <w:rFonts w:ascii="Arial" w:cs="Arial" w:eastAsia="Arial" w:hAnsi="Arial"/>
          <w:sz w:val="14"/>
          <w:szCs w:val="14"/>
          <w:color w:val="auto"/>
        </w:rPr>
        <w:t>+</w:t>
      </w:r>
      <w:r>
        <w:rPr>
          <w:rFonts w:ascii="Arial" w:cs="Arial" w:eastAsia="Arial" w:hAnsi="Arial"/>
          <w:sz w:val="17"/>
          <w:szCs w:val="17"/>
          <w:color w:val="auto"/>
        </w:rPr>
        <w:t xml:space="preserve"> T cells. We do this by discerning the likelihood of presentation of the neoepitope to the T cell receptor as an MHC peptide complex using data from mRNA expression levels and MHC binding affinity predictions, among other factors. For example, in our first individualized neoepitope immunotherapy clinical study, all 13 stage III and IV melanoma patients selected for treatment developed a CD4</w:t>
      </w:r>
      <w:r>
        <w:rPr>
          <w:rFonts w:ascii="Arial" w:cs="Arial" w:eastAsia="Arial" w:hAnsi="Arial"/>
          <w:sz w:val="14"/>
          <w:szCs w:val="14"/>
          <w:color w:val="auto"/>
        </w:rPr>
        <w:t>+</w:t>
      </w:r>
      <w:r>
        <w:rPr>
          <w:rFonts w:ascii="Arial" w:cs="Arial" w:eastAsia="Arial" w:hAnsi="Arial"/>
          <w:sz w:val="17"/>
          <w:szCs w:val="17"/>
          <w:color w:val="auto"/>
        </w:rPr>
        <w:t xml:space="preserve"> and/or CD8</w:t>
      </w:r>
      <w:r>
        <w:rPr>
          <w:rFonts w:ascii="Arial" w:cs="Arial" w:eastAsia="Arial" w:hAnsi="Arial"/>
          <w:sz w:val="14"/>
          <w:szCs w:val="14"/>
          <w:color w:val="auto"/>
        </w:rPr>
        <w:t>+</w:t>
      </w:r>
      <w:r>
        <w:rPr>
          <w:rFonts w:ascii="Arial" w:cs="Arial" w:eastAsia="Arial" w:hAnsi="Arial"/>
          <w:sz w:val="17"/>
          <w:szCs w:val="17"/>
          <w:color w:val="auto"/>
        </w:rPr>
        <w:t xml:space="preserve"> T cell response, achieving an overall 60% immune response rate to predicted neoepitopes.</w:t>
      </w:r>
    </w:p>
    <w:p>
      <w:pPr>
        <w:spacing w:after="0" w:line="17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Presentation of a neoepitope on an MHC molecule does not, however, guarantee recognition by T cells, and an integrated view combining several properties impacting immunogenicity is necessary. Our algorithms are continuously being improved and extended with data collections from various sources such as our past and current clinical studies as well as HLA data. By using machine learning approaches applied to these large datasets we aim to further improve prediction of overall presentation of neoepitopes tailored to patients’ specific HLA types.</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VIII. Our mRNA Drug Class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mRNA as a Therapeutic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31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1431925"/>
                    </a:xfrm>
                    <a:prstGeom prst="rect">
                      <a:avLst/>
                    </a:prstGeom>
                    <a:noFill/>
                  </pic:spPr>
                </pic:pic>
              </a:graphicData>
            </a:graphic>
          </wp:anchor>
        </w:drawing>
      </w:r>
    </w:p>
    <w:p>
      <w:pPr>
        <w:spacing w:after="0" w:line="111" w:lineRule="exact"/>
        <w:rPr>
          <w:sz w:val="20"/>
          <w:szCs w:val="20"/>
          <w:color w:val="auto"/>
        </w:rPr>
      </w:pPr>
    </w:p>
    <w:p>
      <w:pPr>
        <w:ind w:left="540" w:hanging="24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Natural molecule found universally within cells, with well-characterized properties.</w:t>
      </w:r>
    </w:p>
    <w:p>
      <w:pPr>
        <w:spacing w:after="0" w:line="130" w:lineRule="exact"/>
        <w:rPr>
          <w:rFonts w:ascii="Arial" w:cs="Arial" w:eastAsia="Arial" w:hAnsi="Arial"/>
          <w:sz w:val="18"/>
          <w:szCs w:val="18"/>
          <w:color w:val="auto"/>
        </w:rPr>
      </w:pPr>
    </w:p>
    <w:p>
      <w:pPr>
        <w:ind w:left="540" w:hanging="24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Suitable to encode for antibodies, antigens, cytokines and any other type of protein.</w:t>
      </w:r>
    </w:p>
    <w:p>
      <w:pPr>
        <w:spacing w:after="0" w:line="130" w:lineRule="exact"/>
        <w:rPr>
          <w:rFonts w:ascii="Arial" w:cs="Arial" w:eastAsia="Arial" w:hAnsi="Arial"/>
          <w:sz w:val="18"/>
          <w:szCs w:val="18"/>
          <w:color w:val="auto"/>
        </w:rPr>
      </w:pPr>
    </w:p>
    <w:p>
      <w:pPr>
        <w:ind w:left="560" w:right="360" w:hanging="266"/>
        <w:spacing w:after="0" w:line="277" w:lineRule="auto"/>
        <w:tabs>
          <w:tab w:leader="none" w:pos="54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Transient, with adaptable activity and half-life. Avoids genomic integration problems sometimes seen in gene therapy, potentially resulting in a better safety profile.</w:t>
      </w:r>
    </w:p>
    <w:p>
      <w:pPr>
        <w:spacing w:after="0" w:line="75" w:lineRule="exact"/>
        <w:rPr>
          <w:rFonts w:ascii="Arial" w:cs="Arial" w:eastAsia="Arial" w:hAnsi="Arial"/>
          <w:sz w:val="18"/>
          <w:szCs w:val="18"/>
          <w:color w:val="auto"/>
        </w:rPr>
      </w:pPr>
    </w:p>
    <w:p>
      <w:pPr>
        <w:ind w:left="540" w:hanging="24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Can be designed and optimized pharmacologically and immunologically, making it suitable for a broad range of applications.</w:t>
      </w:r>
    </w:p>
    <w:p>
      <w:pPr>
        <w:spacing w:after="0" w:line="130" w:lineRule="exact"/>
        <w:rPr>
          <w:rFonts w:ascii="Arial" w:cs="Arial" w:eastAsia="Arial" w:hAnsi="Arial"/>
          <w:sz w:val="18"/>
          <w:szCs w:val="18"/>
          <w:color w:val="auto"/>
        </w:rPr>
      </w:pPr>
    </w:p>
    <w:p>
      <w:pPr>
        <w:ind w:left="540" w:hanging="24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Fast manufacturability, making it an inexpensive and flexible therapeutic to produce.</w:t>
      </w:r>
    </w:p>
    <w:p>
      <w:pPr>
        <w:spacing w:after="0" w:line="36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Considering that all mRNA is generated with four different building blocks, but with unique sequence order, all therapeutic mRNAs have highly similar compositions, while having the capacity to encode a variety of different proteins. These characteristics allow for rapid development of mRNA therapeutics that are broadly applicable for treatment of many diseases, including cancer, infectious diseases and rare diseases. Our mRNA pipeline addresses all of these therapeutic areas.</w:t>
      </w:r>
    </w:p>
    <w:p>
      <w:pPr>
        <w:spacing w:after="0" w:line="331" w:lineRule="exact"/>
        <w:rPr>
          <w:sz w:val="20"/>
          <w:szCs w:val="20"/>
          <w:color w:val="auto"/>
        </w:rPr>
      </w:pPr>
    </w:p>
    <w:p>
      <w:pPr>
        <w:ind w:left="1180" w:hanging="544"/>
        <w:spacing w:after="0"/>
        <w:tabs>
          <w:tab w:leader="none" w:pos="1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Principles of mRNA Pharmacology</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drug, manufactured mRNA provides instructions to a target cell to produce a desired therapeutic protein. The mRNA drug will temporarily change the status of the target cell where these instructions 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translated into proteins. Based on the information encoded by the mRNA, the proteins will be either secreted or remain intracellular. The mRNA drug will eventually be degraded and eliminated from the body.</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mRNA drugs are synthesized from a DNA template. With the exception of the 5’ cap, the template determines all structural elements of the mRNA. The mRNA molecule comprises:</w:t>
      </w:r>
    </w:p>
    <w:p>
      <w:pPr>
        <w:spacing w:after="0" w:line="76" w:lineRule="exact"/>
        <w:rPr>
          <w:sz w:val="20"/>
          <w:szCs w:val="20"/>
          <w:color w:val="auto"/>
        </w:rPr>
      </w:pPr>
    </w:p>
    <w:p>
      <w:pPr>
        <w:ind w:left="640" w:hanging="32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open reading frame, or ORF, which encodes for the protein of interest;</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untranslated regions, or UTRs, which flank the ORF; and</w:t>
      </w:r>
    </w:p>
    <w:p>
      <w:pPr>
        <w:spacing w:after="0" w:line="130" w:lineRule="exact"/>
        <w:rPr>
          <w:rFonts w:ascii="Arial" w:cs="Arial" w:eastAsia="Arial" w:hAnsi="Arial"/>
          <w:sz w:val="18"/>
          <w:szCs w:val="18"/>
          <w:color w:val="auto"/>
        </w:rPr>
      </w:pPr>
    </w:p>
    <w:p>
      <w:pPr>
        <w:ind w:left="640" w:right="20" w:hanging="328"/>
        <w:spacing w:after="0" w:line="277"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cap and the poly(A) tail, which are the two terminal structures of the linear mRNA, and are responsible for increased stability and translational efficiency of mRNA.</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mRNA drug needs to be appropriately formulated in order to protect it from breakdown by extracellular RNAses. The formulation is selected based on the intended application and route of delivery. After uptake into the target cell, the mRNA molecules are loaded into ribosomes, where translation into protein takes place. Subsequently, the mRNA is degraded by cellular mechanisms. In case of an immunotherapy application, the protein is degraded into immunogenic epitopes. These are loaded onto specialized molecules, namely MHC I or MHC II. These molecules present the epitopes to immune cells to provoke the desired immune response. In the case of other mRNA applications, the mRNA encodes proteins that are secreted from the cells, such as antibodies, and function extracellularly.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148590</wp:posOffset>
            </wp:positionV>
            <wp:extent cx="5213985" cy="3370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General principles of mRNA pharmacology. </w:t>
      </w:r>
      <w:r>
        <w:rPr>
          <w:rFonts w:ascii="Arial" w:cs="Arial" w:eastAsia="Arial" w:hAnsi="Arial"/>
          <w:sz w:val="13"/>
          <w:szCs w:val="13"/>
          <w:color w:val="auto"/>
        </w:rPr>
        <w:t>Step 1: mRNA is either delivered in a buffered solution as naked molecules or formulated as nano-particles to protect degradation by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extracellular enzymes and is taken up by cells. Step 2: Subsequently, mRNA is released from endosomes into the cytoplasm. Step 3: mRNA is translated by the protein synthesis machinery of</w:t>
      </w:r>
    </w:p>
    <w:p>
      <w:pPr>
        <w:ind w:left="200"/>
        <w:spacing w:after="0"/>
        <w:rPr>
          <w:sz w:val="20"/>
          <w:szCs w:val="20"/>
          <w:color w:val="auto"/>
        </w:rPr>
      </w:pPr>
      <w:r>
        <w:rPr>
          <w:rFonts w:ascii="Arial" w:cs="Arial" w:eastAsia="Arial" w:hAnsi="Arial"/>
          <w:sz w:val="13"/>
          <w:szCs w:val="13"/>
          <w:color w:val="auto"/>
        </w:rPr>
        <w:t>host cells. Step 4: Termination of translation by degradation of mRNA. Step 5: The translated protein product acts in the cell in which it has been generated. Step 6: Alternatively, the protein</w:t>
      </w:r>
    </w:p>
    <w:p>
      <w:pPr>
        <w:ind w:left="200"/>
        <w:spacing w:after="0"/>
        <w:rPr>
          <w:sz w:val="20"/>
          <w:szCs w:val="20"/>
          <w:color w:val="auto"/>
        </w:rPr>
      </w:pPr>
      <w:r>
        <w:rPr>
          <w:rFonts w:ascii="Arial" w:cs="Arial" w:eastAsia="Arial" w:hAnsi="Arial"/>
          <w:sz w:val="12"/>
          <w:szCs w:val="12"/>
          <w:color w:val="auto"/>
        </w:rPr>
        <w:t>product is secreted and may act via autocrine, paracrine or systemic, body-wide mechanisms. Steps 7 and 8: For vaccine activity, mRNA encoded antigens are degraded into shorter fragments</w:t>
      </w:r>
    </w:p>
    <w:p>
      <w:pPr>
        <w:spacing w:after="0" w:line="11" w:lineRule="exact"/>
        <w:rPr>
          <w:sz w:val="20"/>
          <w:szCs w:val="20"/>
          <w:color w:val="auto"/>
        </w:rPr>
      </w:pPr>
    </w:p>
    <w:p>
      <w:pPr>
        <w:ind w:left="200" w:right="240"/>
        <w:spacing w:after="0" w:line="237" w:lineRule="auto"/>
        <w:rPr>
          <w:sz w:val="20"/>
          <w:szCs w:val="20"/>
          <w:color w:val="auto"/>
        </w:rPr>
      </w:pPr>
      <w:r>
        <w:rPr>
          <w:rFonts w:ascii="Arial" w:cs="Arial" w:eastAsia="Arial" w:hAnsi="Arial"/>
          <w:sz w:val="14"/>
          <w:szCs w:val="14"/>
          <w:color w:val="auto"/>
        </w:rPr>
        <w:t>and loaded onto MHC class I and class II molecules. Step 9: Protein-derived epitopes can then be presented on the cell surface by both MHC class I and MHC class II molecules, enabling stimulation of CD8</w:t>
      </w:r>
      <w:r>
        <w:rPr>
          <w:rFonts w:ascii="Arial" w:cs="Arial" w:eastAsia="Arial" w:hAnsi="Arial"/>
          <w:sz w:val="12"/>
          <w:szCs w:val="12"/>
          <w:color w:val="auto"/>
        </w:rPr>
        <w:t>+</w:t>
      </w:r>
      <w:r>
        <w:rPr>
          <w:rFonts w:ascii="Arial" w:cs="Arial" w:eastAsia="Arial" w:hAnsi="Arial"/>
          <w:sz w:val="14"/>
          <w:szCs w:val="14"/>
          <w:color w:val="auto"/>
        </w:rPr>
        <w:t xml:space="preserve"> and CD4</w:t>
      </w:r>
      <w:r>
        <w:rPr>
          <w:rFonts w:ascii="Arial" w:cs="Arial" w:eastAsia="Arial" w:hAnsi="Arial"/>
          <w:sz w:val="12"/>
          <w:szCs w:val="12"/>
          <w:color w:val="auto"/>
        </w:rPr>
        <w:t>+</w:t>
      </w:r>
      <w:r>
        <w:rPr>
          <w:rFonts w:ascii="Arial" w:cs="Arial" w:eastAsia="Arial" w:hAnsi="Arial"/>
          <w:sz w:val="14"/>
          <w:szCs w:val="14"/>
          <w:color w:val="auto"/>
        </w:rPr>
        <w:t xml:space="preserve"> T cells.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structural elements of the mRNA have an impact on its performance. This includes potential immunogenicity, efficacy of translation and stability of the molecule. We leverage our extensive experience to design, synthesize, manufacture and formulate our therapeutic mRNA, and adapt its composition to suit the desired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96840" cy="3207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9684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line="268" w:lineRule="auto"/>
        <w:rPr>
          <w:sz w:val="20"/>
          <w:szCs w:val="20"/>
          <w:color w:val="auto"/>
        </w:rPr>
      </w:pPr>
      <w:r>
        <w:rPr>
          <w:rFonts w:ascii="Arial" w:cs="Arial" w:eastAsia="Arial" w:hAnsi="Arial"/>
          <w:sz w:val="13"/>
          <w:szCs w:val="13"/>
          <w:b w:val="1"/>
          <w:bCs w:val="1"/>
          <w:color w:val="auto"/>
        </w:rPr>
        <w:t xml:space="preserve">Our strategy for optimizing mRNA potency. </w:t>
      </w:r>
      <w:r>
        <w:rPr>
          <w:rFonts w:ascii="Arial" w:cs="Arial" w:eastAsia="Arial" w:hAnsi="Arial"/>
          <w:sz w:val="13"/>
          <w:szCs w:val="13"/>
          <w:color w:val="auto"/>
        </w:rPr>
        <w:t>The pharmacological properties of mRNA can be improved by biochemical optimization of the molecule for either (i) increasing the half-life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mRNA, i.e., the mRNA is translated for a longer period of time before it is degraded, which results in sustained protein production after mRNA delivery, or for (ii) increasing the mRNA translation efficiency, i.e., the peak protein production is increased. Our optimization approach relies on combining both strategies in order to maximize the mRNA therapeutic effect.</w:t>
      </w:r>
    </w:p>
    <w:p>
      <w:pPr>
        <w:spacing w:after="0" w:line="1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240" w:top="459" w:right="5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544"/>
        <w:spacing w:after="0"/>
        <w:tabs>
          <w:tab w:leader="none" w:pos="11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Our mRNA Backbone Concepts and Technologies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mRNAs all contain basic structural elements, including the 5’ cap, the untranslated regions and the poly(A) tail, in addition to a coding sequence, that are all encoded by our DNA template.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80" w:hanging="436"/>
        <w:spacing w:after="0" w:line="264" w:lineRule="auto"/>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 This unique cap analogue is extremely useful for our immunotherapy approaches.</w:t>
      </w:r>
    </w:p>
    <w:p>
      <w:pPr>
        <w:spacing w:after="0" w:line="86"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composition and structure of the 5’ and 3’ untranslated regions of the mRNA molecule are important determinants of the intracellular stability of mRNA. As a result of rigorous screening of different mRNA sequences, we identified specific UTRs that promote increased protein translation for long duration.</w:t>
      </w:r>
    </w:p>
    <w:p>
      <w:pPr>
        <w:spacing w:after="0" w:line="86"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We have performed extensive research on the structure of the poly(A) tail and the translational performance of mRNA and customized our template design accordingly.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460"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translational performance of mRNA can be increased by removing contaminating double-stranded 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We believe these fine tunings of the respective molecules are essential for the purpose-adapted performance of our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148590</wp:posOffset>
            </wp:positionV>
            <wp:extent cx="4939665" cy="40474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39665" cy="404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right="360"/>
        <w:spacing w:after="0" w:line="259" w:lineRule="auto"/>
        <w:rPr>
          <w:sz w:val="20"/>
          <w:szCs w:val="20"/>
          <w:color w:val="auto"/>
        </w:rPr>
      </w:pPr>
      <w:r>
        <w:rPr>
          <w:rFonts w:ascii="Arial" w:cs="Arial" w:eastAsia="Arial" w:hAnsi="Arial"/>
          <w:sz w:val="14"/>
          <w:szCs w:val="14"/>
          <w:b w:val="1"/>
          <w:bCs w:val="1"/>
          <w:color w:val="auto"/>
        </w:rPr>
        <w:t xml:space="preserve">Our mRNA formats. </w:t>
      </w:r>
      <w:r>
        <w:rPr>
          <w:rFonts w:ascii="Arial" w:cs="Arial" w:eastAsia="Arial" w:hAnsi="Arial"/>
          <w:sz w:val="14"/>
          <w:szCs w:val="14"/>
          <w:color w:val="auto"/>
        </w:rPr>
        <w:t>As shown above, we have developed four mRNA formats, each optimized for different therapeutic applications. Abbreviations: y, 1-methylpseudouridine; UTR,</w:t>
      </w:r>
      <w:r>
        <w:rPr>
          <w:rFonts w:ascii="Arial" w:cs="Arial" w:eastAsia="Arial" w:hAnsi="Arial"/>
          <w:sz w:val="14"/>
          <w:szCs w:val="14"/>
          <w:b w:val="1"/>
          <w:bCs w:val="1"/>
          <w:color w:val="auto"/>
        </w:rPr>
        <w:t xml:space="preserve"> </w:t>
      </w:r>
      <w:r>
        <w:rPr>
          <w:rFonts w:ascii="Arial" w:cs="Arial" w:eastAsia="Arial" w:hAnsi="Arial"/>
          <w:sz w:val="14"/>
          <w:szCs w:val="14"/>
          <w:color w:val="auto"/>
        </w:rPr>
        <w:t>untranslated region.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mRNA formats include:</w:t>
      </w:r>
    </w:p>
    <w:p>
      <w:pPr>
        <w:spacing w:after="0" w:line="131" w:lineRule="exact"/>
        <w:rPr>
          <w:sz w:val="20"/>
          <w:szCs w:val="20"/>
          <w:color w:val="auto"/>
        </w:rPr>
      </w:pPr>
    </w:p>
    <w:p>
      <w:pPr>
        <w:ind w:left="1620" w:hanging="430"/>
        <w:spacing w:after="0"/>
        <w:tabs>
          <w:tab w:leader="none" w:pos="162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Optimized Uridine mRNA (uRNA)</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uridine mRNA makes it immunogenic by activating immune sensors. We have further optimized our uridine mRNA for immunogenicity (augmented antigen presentation on MHC I and MHC II) and pharmacological activity (enhanced stability and translational efficiency). Immunogenicity of the mRNA is an added benefit when mRNA is used for immunotherapy applications, by acting as an immunotherapy adjuvant. This makes our therapeutics for iNeST and FixVac even more potent.</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240" w:top="460"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Nucleoside-modified mRNA (modRNA)</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Immunogenic reaction against mRNA drugs needs to be avoided in applications where therapeutic proteins are produced, such as in our RiboMab and RiboCytokine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production of anti-drug antibodies and broaden the therapeutic application of these types of mRNA drugs. We believe this customization has resulted in therapeutic mRNA that is both potent and well tolerated.</w:t>
      </w:r>
    </w:p>
    <w:p>
      <w:pPr>
        <w:spacing w:after="0" w:line="342" w:lineRule="exact"/>
        <w:rPr>
          <w:sz w:val="20"/>
          <w:szCs w:val="20"/>
          <w:color w:val="auto"/>
        </w:rPr>
      </w:pPr>
    </w:p>
    <w:p>
      <w:pPr>
        <w:ind w:left="1620" w:hanging="430"/>
        <w:spacing w:after="0"/>
        <w:tabs>
          <w:tab w:leader="none" w:pos="162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Self-amplifying mRNA (saRNA)</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self-amplifying mRNA, or saRNA, drugs use the concept of viral replication, while not being an infectious, disease-causing agent itself. saRNA resembles conventional mRNA encoding the protein of interest, but also encoding a polymerase, called replicase, that multiplies part of the mRNA within the target cell. During self-amplification inside the cell, a double-stranded RNA intermediate is generated, which is recognized by intracellular immune sensors. This makes saRNA a very potent activator of the immune system and therefore an excellent category of immunotherapy. As we have demonstrated, our saRNA ensures high levels of sustained antigen production with a small amount of initial mRNA input. Our scientific team has designed this mRNA technology to act as a potent tool for prophylactic vaccination, with the potential application in infectious diseases with high medical needs.</w:t>
      </w:r>
    </w:p>
    <w:p>
      <w:pPr>
        <w:spacing w:after="0" w:line="338" w:lineRule="exact"/>
        <w:rPr>
          <w:sz w:val="20"/>
          <w:szCs w:val="20"/>
          <w:color w:val="auto"/>
        </w:rPr>
      </w:pPr>
    </w:p>
    <w:p>
      <w:pPr>
        <w:ind w:left="1620" w:hanging="430"/>
        <w:spacing w:after="0"/>
        <w:tabs>
          <w:tab w:leader="none" w:pos="162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Trans-amplifying mRNA (taRNA)</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have also expanded on our self-amplifying mRNA capabilities, developing a novel mRNA amplification technology by separating the target mRNA to be amplified and the replicase encoding mRNA. This advancement broadens the spectrum of applications by making the development of therapeutic mRNAs even more flexible, as the replicase can amplify mRNA encoding of not only one protein, but several different ones. In the case of vaccines, this allows us to produce the replicase in advance for use with different vaccines. Our trans-amplifying mRNA is a proprietary mRNA format that is particularly well-suited for prophylactic vaccines to prevent infectious diseases.</w:t>
      </w:r>
    </w:p>
    <w:p>
      <w:pPr>
        <w:spacing w:after="0" w:line="317" w:lineRule="exact"/>
        <w:rPr>
          <w:sz w:val="20"/>
          <w:szCs w:val="20"/>
          <w:color w:val="auto"/>
        </w:rPr>
      </w:pPr>
    </w:p>
    <w:p>
      <w:pPr>
        <w:ind w:left="1180" w:hanging="544"/>
        <w:spacing w:after="0"/>
        <w:tabs>
          <w:tab w:leader="none" w:pos="11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Our mRNA Delivery Formulation Technologies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have deep and broad expertise in the targeted delivery of mRNA therapeutics. We are convinced that our development of suitable delivery formulations in conjunction with our own therapeutic mRNAs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134620</wp:posOffset>
            </wp:positionV>
            <wp:extent cx="5076825" cy="17411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7682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mRNA delivery formulation technologies</w:t>
      </w:r>
      <w:r>
        <w:rPr>
          <w:rFonts w:ascii="Arial" w:cs="Arial" w:eastAsia="Arial" w:hAnsi="Arial"/>
          <w:sz w:val="14"/>
          <w:szCs w:val="14"/>
          <w:color w:val="auto"/>
        </w:rPr>
        <w:t>. We utilize a range of mRNA delivery formulations for different therapeutic needs.</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employ multiple mRNA delivery formulations, each designed for different functions and optimized for therapeutic product needs:</w:t>
      </w:r>
    </w:p>
    <w:p>
      <w:pPr>
        <w:spacing w:after="0" w:line="127" w:lineRule="exact"/>
        <w:rPr>
          <w:sz w:val="20"/>
          <w:szCs w:val="20"/>
          <w:color w:val="auto"/>
        </w:rPr>
      </w:pPr>
    </w:p>
    <w:p>
      <w:pPr>
        <w:ind w:left="640" w:right="120" w:hanging="328"/>
        <w:spacing w:after="0" w:line="266" w:lineRule="auto"/>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Lipoplex: </w:t>
      </w:r>
      <w:r>
        <w:rPr>
          <w:rFonts w:ascii="Arial" w:cs="Arial" w:eastAsia="Arial" w:hAnsi="Arial"/>
          <w:sz w:val="18"/>
          <w:szCs w:val="18"/>
          <w:color w:val="auto"/>
        </w:rPr>
        <w:t>Our lipoplex formulation, or LPX, embeds the mRNA between a lipid bilayer, which is used for our FixVac and iNeST platforms. We</w:t>
      </w:r>
      <w:r>
        <w:rPr>
          <w:rFonts w:ascii="Arial" w:cs="Arial" w:eastAsia="Arial" w:hAnsi="Arial"/>
          <w:sz w:val="18"/>
          <w:szCs w:val="18"/>
          <w:b w:val="1"/>
          <w:bCs w:val="1"/>
          <w:color w:val="auto"/>
        </w:rPr>
        <w:t xml:space="preserve"> </w:t>
      </w:r>
      <w:r>
        <w:rPr>
          <w:rFonts w:ascii="Arial" w:cs="Arial" w:eastAsia="Arial" w:hAnsi="Arial"/>
          <w:sz w:val="18"/>
          <w:szCs w:val="18"/>
          <w:color w:val="auto"/>
        </w:rPr>
        <w:t>use a proprietary size- and charge-based non-viral mRNA lipoplex that was developed to deliver mRNA to dendritic cells in lymphoid compartments such as the spleen for optimal antigen presentation and immune response activation.</w:t>
      </w:r>
    </w:p>
    <w:p>
      <w:pPr>
        <w:spacing w:after="0" w:line="81" w:lineRule="exact"/>
        <w:rPr>
          <w:rFonts w:ascii="Arial" w:cs="Arial" w:eastAsia="Arial" w:hAnsi="Arial"/>
          <w:sz w:val="18"/>
          <w:szCs w:val="18"/>
          <w:color w:val="auto"/>
        </w:rPr>
      </w:pPr>
    </w:p>
    <w:p>
      <w:pPr>
        <w:jc w:val="both"/>
        <w:ind w:left="640" w:right="480" w:hanging="328"/>
        <w:spacing w:after="0" w:line="289" w:lineRule="auto"/>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b w:val="1"/>
          <w:bCs w:val="1"/>
          <w:color w:val="auto"/>
        </w:rPr>
        <w:t xml:space="preserve">LNPs: </w:t>
      </w:r>
      <w:r>
        <w:rPr>
          <w:rFonts w:ascii="Arial" w:cs="Arial" w:eastAsia="Arial" w:hAnsi="Arial"/>
          <w:sz w:val="17"/>
          <w:szCs w:val="17"/>
          <w:color w:val="auto"/>
        </w:rPr>
        <w:t>For other applications, we encapsulate our mRNA in lipid nanoparticles, or LNPs. These formulations are suitable for our RiboMab,</w:t>
      </w:r>
      <w:r>
        <w:rPr>
          <w:rFonts w:ascii="Arial" w:cs="Arial" w:eastAsia="Arial" w:hAnsi="Arial"/>
          <w:sz w:val="17"/>
          <w:szCs w:val="17"/>
          <w:b w:val="1"/>
          <w:bCs w:val="1"/>
          <w:color w:val="auto"/>
        </w:rPr>
        <w:t xml:space="preserve"> </w:t>
      </w:r>
      <w:r>
        <w:rPr>
          <w:rFonts w:ascii="Arial" w:cs="Arial" w:eastAsia="Arial" w:hAnsi="Arial"/>
          <w:sz w:val="17"/>
          <w:szCs w:val="17"/>
          <w:color w:val="auto"/>
        </w:rPr>
        <w:t>RiboCytokine and rare disease protein replacement platforms. Our LNP formulations can be adjusted according to our needs for delivery to particular target tissues, such as the liver in the case of our rare disease protein replacement platform.</w:t>
      </w:r>
    </w:p>
    <w:p>
      <w:pPr>
        <w:spacing w:after="0" w:line="63" w:lineRule="exact"/>
        <w:rPr>
          <w:rFonts w:ascii="Arial" w:cs="Arial" w:eastAsia="Arial" w:hAnsi="Arial"/>
          <w:sz w:val="17"/>
          <w:szCs w:val="17"/>
          <w:color w:val="auto"/>
        </w:rPr>
      </w:pPr>
    </w:p>
    <w:p>
      <w:pPr>
        <w:ind w:left="640" w:right="40" w:hanging="328"/>
        <w:spacing w:after="0" w:line="282" w:lineRule="auto"/>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Polyplexes: </w:t>
      </w:r>
      <w:r>
        <w:rPr>
          <w:rFonts w:ascii="Arial" w:cs="Arial" w:eastAsia="Arial" w:hAnsi="Arial"/>
          <w:sz w:val="18"/>
          <w:szCs w:val="18"/>
          <w:color w:val="auto"/>
        </w:rPr>
        <w:t>Our portfolio also comprises polyplexes, which are being utilized in certain of our discovery programs, in which the mRNA is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to a polymer and then forms nanoparticles.</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shown in the graphic below, our mRNA platforms utilize our wide range of mRNA formats, mRNA delivery formulations and mRNA delivery routes to optimize and tailor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3198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0573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280"/>
        <w:spacing w:after="0" w:line="259" w:lineRule="auto"/>
        <w:rPr>
          <w:sz w:val="20"/>
          <w:szCs w:val="20"/>
          <w:color w:val="auto"/>
        </w:rPr>
      </w:pPr>
      <w:r>
        <w:rPr>
          <w:rFonts w:ascii="Arial" w:cs="Arial" w:eastAsia="Arial" w:hAnsi="Arial"/>
          <w:sz w:val="14"/>
          <w:szCs w:val="14"/>
          <w:b w:val="1"/>
          <w:bCs w:val="1"/>
          <w:color w:val="auto"/>
        </w:rPr>
        <w:t xml:space="preserve">Our therapeutic mRNA technology toolbox. </w:t>
      </w:r>
      <w:r>
        <w:rPr>
          <w:rFonts w:ascii="Arial" w:cs="Arial" w:eastAsia="Arial" w:hAnsi="Arial"/>
          <w:sz w:val="14"/>
          <w:szCs w:val="14"/>
          <w:color w:val="auto"/>
        </w:rPr>
        <w:t>Our product candidates utilize multiple mRNA formats, a broad spectrum of delivery formulations and applications using various delivery</w:t>
      </w:r>
      <w:r>
        <w:rPr>
          <w:rFonts w:ascii="Arial" w:cs="Arial" w:eastAsia="Arial" w:hAnsi="Arial"/>
          <w:sz w:val="14"/>
          <w:szCs w:val="14"/>
          <w:b w:val="1"/>
          <w:bCs w:val="1"/>
          <w:color w:val="auto"/>
        </w:rPr>
        <w:t xml:space="preserve"> </w:t>
      </w:r>
      <w:r>
        <w:rPr>
          <w:rFonts w:ascii="Arial" w:cs="Arial" w:eastAsia="Arial" w:hAnsi="Arial"/>
          <w:sz w:val="14"/>
          <w:szCs w:val="14"/>
          <w:color w:val="auto"/>
        </w:rPr>
        <w:t>routes.</w:t>
      </w:r>
    </w:p>
    <w:p>
      <w:pPr>
        <w:spacing w:after="0" w:line="197" w:lineRule="exact"/>
        <w:rPr>
          <w:sz w:val="20"/>
          <w:szCs w:val="20"/>
          <w:color w:val="auto"/>
        </w:rPr>
      </w:pPr>
    </w:p>
    <w:p>
      <w:pPr>
        <w:ind w:left="1180" w:hanging="544"/>
        <w:spacing w:after="0"/>
        <w:tabs>
          <w:tab w:leader="none" w:pos="1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Our mRNA Platforms</w:t>
      </w:r>
    </w:p>
    <w:p>
      <w:pPr>
        <w:spacing w:after="0" w:line="229"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are developing multiple mRNA-based therapeutic platforms. These include FixVac, iNeST, mRNA-based intratumoral immunotherapy, RiboMabs and RiboCytokines in the oncology space. In addition, we have implemented mRNA platforms for the development of infectious disease vaccines and protein replacement therapies for rare diseases.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169545</wp:posOffset>
            </wp:positionV>
            <wp:extent cx="4836795" cy="24009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3679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60"/>
        <w:spacing w:after="0" w:line="259" w:lineRule="auto"/>
        <w:rPr>
          <w:sz w:val="20"/>
          <w:szCs w:val="20"/>
          <w:color w:val="auto"/>
        </w:rPr>
      </w:pPr>
      <w:r>
        <w:rPr>
          <w:rFonts w:ascii="Arial" w:cs="Arial" w:eastAsia="Arial" w:hAnsi="Arial"/>
          <w:sz w:val="14"/>
          <w:szCs w:val="14"/>
          <w:b w:val="1"/>
          <w:bCs w:val="1"/>
          <w:color w:val="auto"/>
        </w:rPr>
        <w:t xml:space="preserve">Our mRNA Platforms. </w:t>
      </w:r>
      <w:r>
        <w:rPr>
          <w:rFonts w:ascii="Arial" w:cs="Arial" w:eastAsia="Arial" w:hAnsi="Arial"/>
          <w:sz w:val="14"/>
          <w:szCs w:val="14"/>
          <w:color w:val="auto"/>
        </w:rPr>
        <w:t>We have multiple mRNA-based platforms utilizing different mRNA formats and delivery formulations, directed at a range of biological targets in oncology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infectious and rare diseases.</w:t>
      </w:r>
    </w:p>
    <w:p>
      <w:pPr>
        <w:spacing w:after="0" w:line="201" w:lineRule="exact"/>
        <w:rPr>
          <w:sz w:val="20"/>
          <w:szCs w:val="20"/>
          <w:color w:val="auto"/>
        </w:rPr>
      </w:pPr>
    </w:p>
    <w:p>
      <w:pPr>
        <w:ind w:left="1620" w:hanging="430"/>
        <w:spacing w:after="0"/>
        <w:tabs>
          <w:tab w:leader="none" w:pos="162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Cancer Immunotherapies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goal is to develop safe, potent, efficacious and cost-effective cancer immunotherapies which stimulate and potently expand tumor cell specific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cells in cancer patients. Our cancer immunotherapy development integrates our competencies in mRNA backbone optimization, formulation development and immunological research.</w:t>
      </w:r>
    </w:p>
    <w:p>
      <w:pPr>
        <w:spacing w:after="0" w:line="18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have developed novel immunotherapy approaches to replicate the highly potent and effective natural activation of the immune system in response to a viral infection. Our first generation mRNA cancer immunotherapies were delivered as naked mRNA by ultrasound guided injection into a patient’s lymph node and induced T cell responses and antitumoral activity when targeting mutant neoantigens in advanced melanoma patients. To further improve this potency and antigen specificity we have developed a nano-particulate mRNA lipoplex immunotherapy for intravenous delivery.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RNA-LPX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2049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2049780"/>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RNA-LPX Cancer Immunotherapy Technology</w:t>
      </w:r>
    </w:p>
    <w:p>
      <w:pPr>
        <w:spacing w:after="0" w:line="131" w:lineRule="exact"/>
        <w:rPr>
          <w:sz w:val="20"/>
          <w:szCs w:val="20"/>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Potential first-in-class clinical intravenous nano-particulate mRNA immunotherapy, allowing systemic delivery.</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Strong potency by systemic targeting to dendritic cells in lymphoid tissues.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Universally applicable for all cancer antigens.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Opportunity to deliver multiple antigens in parallel, enabling the induction of poly-specific T cell responses.</w:t>
      </w:r>
    </w:p>
    <w:p>
      <w:pPr>
        <w:spacing w:after="0" w:line="130" w:lineRule="exact"/>
        <w:rPr>
          <w:rFonts w:ascii="Arial" w:cs="Arial" w:eastAsia="Arial" w:hAnsi="Arial"/>
          <w:sz w:val="18"/>
          <w:szCs w:val="18"/>
          <w:color w:val="auto"/>
        </w:rPr>
      </w:pPr>
    </w:p>
    <w:p>
      <w:pPr>
        <w:ind w:left="740" w:right="540" w:hanging="320"/>
        <w:spacing w:after="0" w:line="277" w:lineRule="auto"/>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Synchronized adjuvant effect mediated by toll-like receptor 7 (TLR7)-triggering and type-I interferon-driven innate and adaptive immune stimulation.</w:t>
      </w:r>
    </w:p>
    <w:p>
      <w:pPr>
        <w:spacing w:after="0" w:line="75"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Preclinical anti-tumoral activity demonstrated against multiple tumors.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Unprecedented clinical immune responses against shared TAAs.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Beneficial clinical activity demonstrated in advanced melanoma patients.</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To advance from local to systemic dendritic cell, or DC, targeting, we developed an innovative liposome-based RNA-lipoplex formulation, RNA-LPX, that allows for intravenous administration of our mRNA cancer immunotherapies. We have demonstrated in the clinic that systemic DC targeting by mRNA cancer immunotherapies can result in potent activity at very low doses. Consequently, less material is required for treating high patient numbers, making manufacturing more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96840" cy="3387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9684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RNA-LPX technology. </w:t>
      </w:r>
      <w:r>
        <w:rPr>
          <w:rFonts w:ascii="Arial" w:cs="Arial" w:eastAsia="Arial" w:hAnsi="Arial"/>
          <w:sz w:val="14"/>
          <w:szCs w:val="14"/>
          <w:color w:val="auto"/>
        </w:rPr>
        <w:t>Our proprietary RNA-LPX formulation is designed to deliver vaccine mRNA precisely into DCs and macrophages in the spleen and other lymphoid</w:t>
      </w:r>
      <w:r>
        <w:rPr>
          <w:rFonts w:ascii="Arial" w:cs="Arial" w:eastAsia="Arial" w:hAnsi="Arial"/>
          <w:sz w:val="14"/>
          <w:szCs w:val="14"/>
          <w:b w:val="1"/>
          <w:bCs w:val="1"/>
          <w:color w:val="auto"/>
        </w:rPr>
        <w:t xml:space="preserve"> </w:t>
      </w:r>
      <w:r>
        <w:rPr>
          <w:rFonts w:ascii="Arial" w:cs="Arial" w:eastAsia="Arial" w:hAnsi="Arial"/>
          <w:sz w:val="14"/>
          <w:szCs w:val="14"/>
          <w:color w:val="auto"/>
        </w:rPr>
        <w:t>compartments. The RNA-LPX has an inherent adjuvant function stimulating the release of cytokines such as IFN-α thereby promoting the activation of DCs and the induction of strong T cell responses. Abbreviations: BM, bone marrow; LN, lymph node; DC, dendritic cell; pDC, plasmacytoid dendritic cell; Mø, macrophage; IFN-α, interferon alpha.</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RNA-LPX protects mRNA from degradation outside of the cell and mediates its efficient uptake and expression of encoded antigens in various dendritic cell populations.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RNA-LPX technology is designed to target a wide variety of antigens and address cancer patients with all possible HLA haplotypes. Utilizing RNA-LPX, we can target fixed groups of known shared antigens with our FixVac platform and a whole new class of patient-specific neoantigen targets with our iNeST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218440</wp:posOffset>
            </wp:positionV>
            <wp:extent cx="5205730" cy="42710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05730"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80" w:hanging="545"/>
        <w:spacing w:after="0"/>
        <w:tabs>
          <w:tab w:leader="none" w:pos="218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7583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1758315"/>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FixVac Platform</w:t>
      </w:r>
    </w:p>
    <w:p>
      <w:pPr>
        <w:spacing w:after="0" w:line="127" w:lineRule="exact"/>
        <w:rPr>
          <w:sz w:val="20"/>
          <w:szCs w:val="20"/>
          <w:color w:val="auto"/>
        </w:rPr>
      </w:pPr>
    </w:p>
    <w:p>
      <w:pPr>
        <w:ind w:left="740" w:right="220" w:hanging="320"/>
        <w:spacing w:after="0" w:line="282" w:lineRule="auto"/>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Cancer immunotherapies targeting shared antigens that we have identified to be frequently expressed across patients with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cancer type.</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BNT111 for metastatic melanoma.</w:t>
      </w:r>
    </w:p>
    <w:p>
      <w:pPr>
        <w:spacing w:after="0" w:line="130" w:lineRule="exact"/>
        <w:rPr>
          <w:rFonts w:ascii="Arial" w:cs="Arial" w:eastAsia="Arial" w:hAnsi="Arial"/>
          <w:sz w:val="18"/>
          <w:szCs w:val="18"/>
          <w:color w:val="auto"/>
        </w:rPr>
      </w:pPr>
    </w:p>
    <w:p>
      <w:pPr>
        <w:ind w:left="740" w:right="520" w:hanging="320"/>
        <w:spacing w:after="0" w:line="282" w:lineRule="auto"/>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Four partial responses and seven stable diseases in 25 patients with metastatic lesions at enrollment, following BNT111</w:t>
      </w:r>
      <w:r>
        <w:rPr>
          <w:rFonts w:ascii="Arial" w:cs="Arial" w:eastAsia="Arial" w:hAnsi="Arial"/>
          <w:sz w:val="18"/>
          <w:szCs w:val="18"/>
          <w:b w:val="1"/>
          <w:bCs w:val="1"/>
          <w:color w:val="auto"/>
        </w:rPr>
        <w:t xml:space="preserve"> </w:t>
      </w:r>
      <w:r>
        <w:rPr>
          <w:rFonts w:ascii="Arial" w:cs="Arial" w:eastAsia="Arial" w:hAnsi="Arial"/>
          <w:sz w:val="18"/>
          <w:szCs w:val="18"/>
          <w:color w:val="auto"/>
        </w:rPr>
        <w:t>monotherapy.</w:t>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FixVac approach involves off-the-shelf mRNA immunotherapies targeting cancer cell-specific shared tumor associated antigens for selected patient populations. Our FixVac product candidates target TAAs which are commonly expressed by a significant portion of patients in a given cancer type. We have developed a sophisticated target selection process which enables us to produce poly-specific FixVac immunotherapies that cover up to 95% of patients with a given cancer type. The use of off-the-shelf FixVac immunotherapies allows for large-batch manufacturing and prompt supply to patients with ready-to-use medication, ensuring a straight-forward cost- and time-efficient manufacturing process with favorable logistics.</w:t>
      </w:r>
    </w:p>
    <w:p>
      <w:pPr>
        <w:spacing w:after="0" w:line="15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Besides targeting commonly expressed TAAs, our target selection strategy facilitates the identification of suitable viral oncoproteins for the treatment of virus-induced cancers like HPV+ head and neck cancer. Patient stratification, if needed, can easily be performed at the clinical site or a central lab using standard biotechnological methods, thereby reducing treatment costs. As the viral genome is comparatively small, encoding only for a few proteins, we believe our FixVac approach is ideally suited for the treatment of virus-induced cancers.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FixVac Development Plan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currently have seven FixVac programs in development, with three in human trials: our ongoing Phase 1 trial in advanced melanoma, a Phase 1 trial in HPV+ head and neck cancer and a Phase 1 trial in triple negative breast cancer. We expect to progress our advanced melanoma program into Phase 2 clinical trials in the first half of 2020, and into Phase 3 in the second half of 2020. We expect to initiate a Phase 1 trial in prostate cancer in the second half of 2019. In addition, we are planning to initiate a Phase 2 study for FixVac in HPV+ cancers in the second half of 2020.</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Antigens</w:t>
            </w: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BNT111</w:t>
            </w:r>
          </w:p>
        </w:tc>
        <w:tc>
          <w:tcPr>
            <w:tcW w:w="2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rPr>
              <w:t>Melanoma-specific antigens:</w:t>
            </w:r>
          </w:p>
        </w:tc>
        <w:tc>
          <w:tcPr>
            <w:tcW w:w="220" w:type="dxa"/>
            <w:vAlign w:val="bottom"/>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Phase 1: Advanced melanoma</w:t>
            </w:r>
          </w:p>
        </w:tc>
        <w:tc>
          <w:tcPr>
            <w:tcW w:w="16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w w:val="97"/>
              </w:rPr>
              <w:t>Report Phase 1 data and</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w w:val="97"/>
              </w:rPr>
              <w:t>NY-ESO-1, tyrosinase, MAGE-A3</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96"/>
              </w:rPr>
              <w:t>initiate Phase 2 trial in 1H</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and TPTE</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94"/>
              </w:rPr>
              <w:t>2020; initiate Phase 3 trial</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in 2H 2020</w:t>
            </w:r>
          </w:p>
        </w:tc>
      </w:tr>
    </w:tbl>
    <w:p>
      <w:pPr>
        <w:spacing w:after="0" w:line="94" w:lineRule="exact"/>
        <w:rPr>
          <w:sz w:val="20"/>
          <w:szCs w:val="20"/>
          <w:color w:val="auto"/>
        </w:rPr>
      </w:pPr>
    </w:p>
    <w:p>
      <w:pPr>
        <w:sectPr>
          <w:pgSz w:w="11900" w:h="16838" w:orient="portrait"/>
          <w:cols w:equalWidth="0" w:num="1">
            <w:col w:w="11240"/>
          </w:cols>
          <w:pgMar w:left="240" w:top="460" w:right="419" w:bottom="1440" w:gutter="0" w:footer="0" w:header="0"/>
        </w:sectPr>
      </w:pPr>
    </w:p>
    <w:p>
      <w:pPr>
        <w:ind w:left="3600" w:right="1320" w:hanging="3399"/>
        <w:spacing w:after="0" w:line="258" w:lineRule="auto"/>
        <w:tabs>
          <w:tab w:leader="none" w:pos="3580" w:val="left"/>
        </w:tabs>
        <w:rPr>
          <w:sz w:val="20"/>
          <w:szCs w:val="20"/>
          <w:color w:val="auto"/>
        </w:rPr>
      </w:pPr>
      <w:r>
        <w:rPr>
          <w:rFonts w:ascii="Arial" w:cs="Arial" w:eastAsia="Arial" w:hAnsi="Arial"/>
          <w:sz w:val="18"/>
          <w:szCs w:val="18"/>
          <w:color w:val="auto"/>
        </w:rPr>
        <w:t>BNT112</w:t>
      </w:r>
      <w:r>
        <w:rPr>
          <w:sz w:val="20"/>
          <w:szCs w:val="20"/>
          <w:color w:val="auto"/>
        </w:rPr>
        <w:tab/>
      </w:r>
      <w:r>
        <w:rPr>
          <w:rFonts w:ascii="Arial" w:cs="Arial" w:eastAsia="Arial" w:hAnsi="Arial"/>
          <w:sz w:val="18"/>
          <w:szCs w:val="18"/>
          <w:color w:val="auto"/>
        </w:rPr>
        <w:t>Five prostate cancer-specific Preclinical antigens, including PAP and three</w:t>
      </w:r>
    </w:p>
    <w:p>
      <w:pPr>
        <w:spacing w:after="0" w:line="1"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internally identified antigens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Initiate Phase 1/2 trial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2H 2019</w:t>
      </w:r>
    </w:p>
    <w:p>
      <w:pPr>
        <w:spacing w:after="0" w:line="319" w:lineRule="exact"/>
        <w:rPr>
          <w:sz w:val="20"/>
          <w:szCs w:val="20"/>
          <w:color w:val="auto"/>
        </w:rPr>
      </w:pPr>
    </w:p>
    <w:p>
      <w:pPr>
        <w:sectPr>
          <w:pgSz w:w="11900" w:h="16838" w:orient="portrait"/>
          <w:cols w:equalWidth="0" w:num="2">
            <w:col w:w="8540" w:space="720"/>
            <w:col w:w="1980"/>
          </w:cols>
          <w:pgMar w:left="240" w:top="460" w:right="41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BNT113</w:t>
            </w:r>
          </w:p>
        </w:tc>
        <w:tc>
          <w:tcPr>
            <w:tcW w:w="2860" w:type="dxa"/>
            <w:vAlign w:val="bottom"/>
          </w:tcPr>
          <w:p>
            <w:pPr>
              <w:ind w:left="300"/>
              <w:spacing w:after="0"/>
              <w:rPr>
                <w:sz w:val="20"/>
                <w:szCs w:val="20"/>
                <w:color w:val="auto"/>
              </w:rPr>
            </w:pPr>
            <w:r>
              <w:rPr>
                <w:rFonts w:ascii="Arial" w:cs="Arial" w:eastAsia="Arial" w:hAnsi="Arial"/>
                <w:sz w:val="18"/>
                <w:szCs w:val="18"/>
                <w:color w:val="auto"/>
              </w:rPr>
              <w:t>HPV E6 and E7 oncoproteins</w:t>
            </w:r>
          </w:p>
        </w:tc>
        <w:tc>
          <w:tcPr>
            <w:tcW w:w="2780" w:type="dxa"/>
            <w:vAlign w:val="bottom"/>
          </w:tcPr>
          <w:p>
            <w:pPr>
              <w:ind w:left="300"/>
              <w:spacing w:after="0"/>
              <w:rPr>
                <w:sz w:val="20"/>
                <w:szCs w:val="20"/>
                <w:color w:val="auto"/>
              </w:rPr>
            </w:pPr>
            <w:r>
              <w:rPr>
                <w:rFonts w:ascii="Arial" w:cs="Arial" w:eastAsia="Arial" w:hAnsi="Arial"/>
                <w:sz w:val="18"/>
                <w:szCs w:val="18"/>
                <w:color w:val="auto"/>
                <w:w w:val="99"/>
              </w:rPr>
              <w:t>Phase 1: HPV+ head and neck</w:t>
            </w:r>
          </w:p>
        </w:tc>
        <w:tc>
          <w:tcPr>
            <w:tcW w:w="2200" w:type="dxa"/>
            <w:vAlign w:val="bottom"/>
          </w:tcPr>
          <w:p>
            <w:pPr>
              <w:ind w:left="320"/>
              <w:spacing w:after="0"/>
              <w:rPr>
                <w:sz w:val="20"/>
                <w:szCs w:val="20"/>
                <w:color w:val="auto"/>
              </w:rPr>
            </w:pPr>
            <w:r>
              <w:rPr>
                <w:rFonts w:ascii="Arial" w:cs="Arial" w:eastAsia="Arial" w:hAnsi="Arial"/>
                <w:sz w:val="18"/>
                <w:szCs w:val="18"/>
                <w:color w:val="auto"/>
                <w:w w:val="90"/>
              </w:rPr>
              <w:t>Initiate Phase 2 trial in 2H</w:t>
            </w:r>
          </w:p>
        </w:tc>
      </w:tr>
      <w:tr>
        <w:trPr>
          <w:trHeight w:val="230"/>
        </w:trPr>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cancer (IST)</w:t>
            </w:r>
          </w:p>
        </w:tc>
        <w:tc>
          <w:tcPr>
            <w:tcW w:w="2200" w:type="dxa"/>
            <w:vAlign w:val="bottom"/>
          </w:tcPr>
          <w:p>
            <w:pPr>
              <w:ind w:left="320"/>
              <w:spacing w:after="0"/>
              <w:rPr>
                <w:sz w:val="20"/>
                <w:szCs w:val="20"/>
                <w:color w:val="auto"/>
              </w:rPr>
            </w:pPr>
            <w:r>
              <w:rPr>
                <w:rFonts w:ascii="Arial" w:cs="Arial" w:eastAsia="Arial" w:hAnsi="Arial"/>
                <w:sz w:val="18"/>
                <w:szCs w:val="18"/>
                <w:color w:val="auto"/>
              </w:rPr>
              <w:t>2020</w:t>
            </w: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BNT114</w:t>
            </w:r>
          </w:p>
        </w:tc>
        <w:tc>
          <w:tcPr>
            <w:tcW w:w="2860" w:type="dxa"/>
            <w:vAlign w:val="bottom"/>
          </w:tcPr>
          <w:p>
            <w:pPr>
              <w:ind w:left="300"/>
              <w:spacing w:after="0"/>
              <w:rPr>
                <w:sz w:val="20"/>
                <w:szCs w:val="20"/>
                <w:color w:val="auto"/>
              </w:rPr>
            </w:pPr>
            <w:r>
              <w:rPr>
                <w:rFonts w:ascii="Arial" w:cs="Arial" w:eastAsia="Arial" w:hAnsi="Arial"/>
                <w:sz w:val="18"/>
                <w:szCs w:val="18"/>
                <w:color w:val="auto"/>
              </w:rPr>
              <w:t>Selected breast cancer-specific</w:t>
            </w:r>
          </w:p>
        </w:tc>
        <w:tc>
          <w:tcPr>
            <w:tcW w:w="2780" w:type="dxa"/>
            <w:vAlign w:val="bottom"/>
          </w:tcPr>
          <w:p>
            <w:pPr>
              <w:ind w:left="300"/>
              <w:spacing w:after="0"/>
              <w:rPr>
                <w:sz w:val="20"/>
                <w:szCs w:val="20"/>
                <w:color w:val="auto"/>
              </w:rPr>
            </w:pPr>
            <w:r>
              <w:rPr>
                <w:rFonts w:ascii="Arial" w:cs="Arial" w:eastAsia="Arial" w:hAnsi="Arial"/>
                <w:sz w:val="18"/>
                <w:szCs w:val="18"/>
                <w:color w:val="auto"/>
              </w:rPr>
              <w:t>Phase 1: TNBC</w:t>
            </w:r>
          </w:p>
        </w:tc>
        <w:tc>
          <w:tcPr>
            <w:tcW w:w="2200" w:type="dxa"/>
            <w:vAlign w:val="bottom"/>
          </w:tcPr>
          <w:p>
            <w:pPr>
              <w:ind w:left="320"/>
              <w:spacing w:after="0"/>
              <w:rPr>
                <w:sz w:val="20"/>
                <w:szCs w:val="20"/>
                <w:color w:val="auto"/>
              </w:rPr>
            </w:pPr>
            <w:r>
              <w:rPr>
                <w:rFonts w:ascii="Arial" w:cs="Arial" w:eastAsia="Arial" w:hAnsi="Arial"/>
                <w:sz w:val="18"/>
                <w:szCs w:val="18"/>
                <w:color w:val="auto"/>
                <w:w w:val="92"/>
              </w:rPr>
              <w:t>Report data update in 1H</w:t>
            </w:r>
          </w:p>
        </w:tc>
      </w:tr>
      <w:tr>
        <w:trPr>
          <w:trHeight w:val="216"/>
        </w:trPr>
        <w:tc>
          <w:tcPr>
            <w:tcW w:w="3100" w:type="dxa"/>
            <w:vAlign w:val="bottom"/>
          </w:tcPr>
          <w:p>
            <w:pPr>
              <w:spacing w:after="0"/>
              <w:rPr>
                <w:sz w:val="18"/>
                <w:szCs w:val="18"/>
                <w:color w:val="auto"/>
              </w:rPr>
            </w:pPr>
          </w:p>
        </w:tc>
        <w:tc>
          <w:tcPr>
            <w:tcW w:w="2860" w:type="dxa"/>
            <w:vAlign w:val="bottom"/>
          </w:tcPr>
          <w:p>
            <w:pPr>
              <w:ind w:left="300"/>
              <w:spacing w:after="0"/>
              <w:rPr>
                <w:sz w:val="20"/>
                <w:szCs w:val="20"/>
                <w:color w:val="auto"/>
              </w:rPr>
            </w:pPr>
            <w:r>
              <w:rPr>
                <w:rFonts w:ascii="Arial" w:cs="Arial" w:eastAsia="Arial" w:hAnsi="Arial"/>
                <w:sz w:val="18"/>
                <w:szCs w:val="18"/>
                <w:color w:val="auto"/>
              </w:rPr>
              <w:t>antigens</w:t>
            </w:r>
          </w:p>
        </w:tc>
        <w:tc>
          <w:tcPr>
            <w:tcW w:w="2780" w:type="dxa"/>
            <w:vAlign w:val="bottom"/>
          </w:tcPr>
          <w:p>
            <w:pPr>
              <w:spacing w:after="0"/>
              <w:rPr>
                <w:sz w:val="18"/>
                <w:szCs w:val="18"/>
                <w:color w:val="auto"/>
              </w:rPr>
            </w:pPr>
          </w:p>
        </w:tc>
        <w:tc>
          <w:tcPr>
            <w:tcW w:w="2200" w:type="dxa"/>
            <w:vAlign w:val="bottom"/>
          </w:tcPr>
          <w:p>
            <w:pPr>
              <w:ind w:left="320"/>
              <w:spacing w:after="0"/>
              <w:rPr>
                <w:sz w:val="20"/>
                <w:szCs w:val="20"/>
                <w:color w:val="auto"/>
              </w:rPr>
            </w:pPr>
            <w:r>
              <w:rPr>
                <w:rFonts w:ascii="Arial" w:cs="Arial" w:eastAsia="Arial" w:hAnsi="Arial"/>
                <w:sz w:val="18"/>
                <w:szCs w:val="18"/>
                <w:color w:val="auto"/>
                <w:w w:val="92"/>
              </w:rPr>
              <w:t>2020 and assess antigen</w:t>
            </w:r>
          </w:p>
        </w:tc>
      </w:tr>
      <w:tr>
        <w:trPr>
          <w:trHeight w:val="230"/>
        </w:trPr>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0" w:type="dxa"/>
            <w:vAlign w:val="bottom"/>
          </w:tcPr>
          <w:p>
            <w:pPr>
              <w:ind w:left="320"/>
              <w:spacing w:after="0"/>
              <w:rPr>
                <w:sz w:val="20"/>
                <w:szCs w:val="20"/>
                <w:color w:val="auto"/>
              </w:rPr>
            </w:pPr>
            <w:r>
              <w:rPr>
                <w:rFonts w:ascii="Arial" w:cs="Arial" w:eastAsia="Arial" w:hAnsi="Arial"/>
                <w:sz w:val="18"/>
                <w:szCs w:val="18"/>
                <w:color w:val="auto"/>
              </w:rPr>
              <w:t>immunogenicity</w:t>
            </w: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Multiple trials or ISTs; ovarian cancer,</w:t>
            </w:r>
          </w:p>
        </w:tc>
        <w:tc>
          <w:tcPr>
            <w:tcW w:w="2860" w:type="dxa"/>
            <w:vAlign w:val="bottom"/>
          </w:tcPr>
          <w:p>
            <w:pPr>
              <w:ind w:left="300"/>
              <w:spacing w:after="0"/>
              <w:rPr>
                <w:sz w:val="20"/>
                <w:szCs w:val="20"/>
                <w:color w:val="auto"/>
              </w:rPr>
            </w:pPr>
            <w:r>
              <w:rPr>
                <w:rFonts w:ascii="Arial" w:cs="Arial" w:eastAsia="Arial" w:hAnsi="Arial"/>
                <w:sz w:val="18"/>
                <w:szCs w:val="18"/>
                <w:color w:val="auto"/>
              </w:rPr>
              <w:t>Multiple</w:t>
            </w:r>
          </w:p>
        </w:tc>
        <w:tc>
          <w:tcPr>
            <w:tcW w:w="2780" w:type="dxa"/>
            <w:vAlign w:val="bottom"/>
          </w:tcPr>
          <w:p>
            <w:pPr>
              <w:ind w:left="300"/>
              <w:spacing w:after="0"/>
              <w:rPr>
                <w:sz w:val="20"/>
                <w:szCs w:val="20"/>
                <w:color w:val="auto"/>
              </w:rPr>
            </w:pPr>
            <w:r>
              <w:rPr>
                <w:rFonts w:ascii="Arial" w:cs="Arial" w:eastAsia="Arial" w:hAnsi="Arial"/>
                <w:sz w:val="18"/>
                <w:szCs w:val="18"/>
                <w:color w:val="auto"/>
              </w:rPr>
              <w:t>Preclinical</w:t>
            </w:r>
          </w:p>
        </w:tc>
        <w:tc>
          <w:tcPr>
            <w:tcW w:w="22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small cell lung cancer</w:t>
            </w:r>
          </w:p>
        </w:tc>
        <w:tc>
          <w:tcPr>
            <w:tcW w:w="2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65"/>
        </w:trPr>
        <w:tc>
          <w:tcPr>
            <w:tcW w:w="3100" w:type="dxa"/>
            <w:vAlign w:val="bottom"/>
          </w:tcPr>
          <w:p>
            <w:pPr>
              <w:spacing w:after="0"/>
              <w:rPr>
                <w:sz w:val="24"/>
                <w:szCs w:val="24"/>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157</w:t>
            </w:r>
          </w:p>
        </w:tc>
        <w:tc>
          <w:tcPr>
            <w:tcW w:w="27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80" w:hanging="545"/>
        <w:spacing w:after="0"/>
        <w:tabs>
          <w:tab w:leader="none" w:pos="218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90170</wp:posOffset>
            </wp:positionV>
            <wp:extent cx="7002145" cy="1839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02145" cy="1839595"/>
                    </a:xfrm>
                    <a:prstGeom prst="rect">
                      <a:avLst/>
                    </a:prstGeom>
                    <a:noFill/>
                  </pic:spPr>
                </pic:pic>
              </a:graphicData>
            </a:graphic>
          </wp:anchor>
        </w:drawing>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iNeST Platform</w:t>
      </w:r>
    </w:p>
    <w:p>
      <w:pPr>
        <w:spacing w:after="0" w:line="127" w:lineRule="exact"/>
        <w:rPr>
          <w:sz w:val="20"/>
          <w:szCs w:val="20"/>
          <w:color w:val="auto"/>
        </w:rPr>
      </w:pPr>
    </w:p>
    <w:p>
      <w:pPr>
        <w:ind w:left="640" w:hanging="315"/>
        <w:spacing w:after="0"/>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Concept: </w:t>
      </w:r>
      <w:r>
        <w:rPr>
          <w:rFonts w:ascii="Arial" w:cs="Arial" w:eastAsia="Arial" w:hAnsi="Arial"/>
          <w:sz w:val="16"/>
          <w:szCs w:val="16"/>
          <w:color w:val="auto"/>
        </w:rPr>
        <w:t>Individualized cancer immunotherapy targeting neoantigens identified on a patient by patient basis and selected for immunogenicity.</w:t>
      </w:r>
    </w:p>
    <w:p>
      <w:pPr>
        <w:spacing w:after="0" w:line="153" w:lineRule="exact"/>
        <w:rPr>
          <w:rFonts w:ascii="Arial" w:cs="Arial" w:eastAsia="Arial" w:hAnsi="Arial"/>
          <w:sz w:val="16"/>
          <w:szCs w:val="16"/>
          <w:color w:val="auto"/>
        </w:rPr>
      </w:pPr>
    </w:p>
    <w:p>
      <w:pPr>
        <w:ind w:left="640" w:hanging="315"/>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27" w:lineRule="exact"/>
        <w:rPr>
          <w:rFonts w:ascii="Arial" w:cs="Arial" w:eastAsia="Arial" w:hAnsi="Arial"/>
          <w:sz w:val="18"/>
          <w:szCs w:val="18"/>
          <w:color w:val="auto"/>
        </w:rPr>
      </w:pPr>
    </w:p>
    <w:p>
      <w:pPr>
        <w:ind w:left="640" w:hanging="315"/>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share with Genentech.</w:t>
      </w:r>
    </w:p>
    <w:p>
      <w:pPr>
        <w:spacing w:after="0" w:line="130" w:lineRule="exact"/>
        <w:rPr>
          <w:rFonts w:ascii="Arial" w:cs="Arial" w:eastAsia="Arial" w:hAnsi="Arial"/>
          <w:sz w:val="18"/>
          <w:szCs w:val="18"/>
          <w:color w:val="auto"/>
        </w:rPr>
      </w:pPr>
    </w:p>
    <w:p>
      <w:pPr>
        <w:ind w:left="640" w:hanging="315"/>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Lead Indication: </w:t>
      </w:r>
      <w:r>
        <w:rPr>
          <w:rFonts w:ascii="Arial" w:cs="Arial" w:eastAsia="Arial" w:hAnsi="Arial"/>
          <w:sz w:val="18"/>
          <w:szCs w:val="18"/>
          <w:color w:val="auto"/>
        </w:rPr>
        <w:t>RO7198457 (BNT122) as a first-line melanoma therapy in combination with pembrolizumab.</w:t>
      </w:r>
    </w:p>
    <w:p>
      <w:pPr>
        <w:spacing w:after="0" w:line="130" w:lineRule="exact"/>
        <w:rPr>
          <w:rFonts w:ascii="Arial" w:cs="Arial" w:eastAsia="Arial" w:hAnsi="Arial"/>
          <w:sz w:val="18"/>
          <w:szCs w:val="18"/>
          <w:color w:val="auto"/>
        </w:rPr>
      </w:pPr>
    </w:p>
    <w:p>
      <w:pPr>
        <w:ind w:left="640" w:right="20" w:hanging="315"/>
        <w:spacing w:after="0" w:line="261" w:lineRule="auto"/>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In a previous Phase 1 trial of BNT121, we observed first-in-human data in 13 patients with metastatic melanoma demonstrating</w:t>
      </w:r>
      <w:r>
        <w:rPr>
          <w:rFonts w:ascii="Arial" w:cs="Arial" w:eastAsia="Arial" w:hAnsi="Arial"/>
          <w:sz w:val="18"/>
          <w:szCs w:val="18"/>
          <w:b w:val="1"/>
          <w:bCs w:val="1"/>
          <w:color w:val="auto"/>
        </w:rPr>
        <w:t xml:space="preserve"> </w:t>
      </w:r>
      <w:r>
        <w:rPr>
          <w:rFonts w:ascii="Arial" w:cs="Arial" w:eastAsia="Arial" w:hAnsi="Arial"/>
          <w:sz w:val="18"/>
          <w:szCs w:val="18"/>
          <w:color w:val="auto"/>
        </w:rPr>
        <w:t>stable progression-free survival in nine patients for up to 41 months, and additional objective responses in three of five patients with metastatic disease at time of treatment with iNeST, including one patient receiving combination therapy. We also observed a significant decrease in the cumulative recurrence rate post-treatment as compared to pre-treatment.</w:t>
      </w:r>
    </w:p>
    <w:p>
      <w:pPr>
        <w:spacing w:after="0" w:line="252"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are a pioneer and global leader in developing fully individualized cancer immunotherapies. We have developed a first of its kind, on-demand manufacturing process to treat each individual patient based on the mutation profile of the patient’s tumor. We are investigating this treatment approach in the clinic in collaboration with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-12700</wp:posOffset>
            </wp:positionV>
            <wp:extent cx="4793615" cy="13290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936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iNeST process. </w:t>
      </w:r>
      <w:r>
        <w:rPr>
          <w:rFonts w:ascii="Arial" w:cs="Arial" w:eastAsia="Arial" w:hAnsi="Arial"/>
          <w:sz w:val="14"/>
          <w:szCs w:val="14"/>
          <w:color w:val="auto"/>
        </w:rPr>
        <w:t>The figure above depicts our iNeST process for the on-demand production of individualized mRNA cancer immunotherapies.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iNeST process is summarized below:</w:t>
      </w:r>
    </w:p>
    <w:p>
      <w:pPr>
        <w:spacing w:after="0" w:line="131" w:lineRule="exact"/>
        <w:rPr>
          <w:sz w:val="20"/>
          <w:szCs w:val="20"/>
          <w:color w:val="auto"/>
        </w:rPr>
      </w:pPr>
    </w:p>
    <w:p>
      <w:pPr>
        <w:ind w:left="1180" w:right="100" w:hanging="436"/>
        <w:spacing w:after="0" w:line="264" w:lineRule="auto"/>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blood sample and tumor biopsy is taken from the patient to obtain healthy cells and tumor tissue. We extract healthy cells from the patient’s blood sample and tumor cells from the tumor sample. We use NGS to analyze genetic material (DNA and RNA) of these cells to identify which mutations are present in the cancer cells compared to healthy cells.</w:t>
      </w:r>
    </w:p>
    <w:p>
      <w:pPr>
        <w:spacing w:after="0" w:line="86"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We apply proprietary bioinformatic algorithms to identify tumor-specific mutations. The mutations within a cancer cell differ widely from patient to patient and form a unique signature for each tumor. This genomic information can be further utilized to analyze tumor heterogeneity and microenvironment as well as individual aspects of the immune system like the HLA type.</w:t>
      </w:r>
    </w:p>
    <w:p>
      <w:pPr>
        <w:spacing w:after="0" w:line="86" w:lineRule="exact"/>
        <w:rPr>
          <w:rFonts w:ascii="Arial" w:cs="Arial" w:eastAsia="Arial" w:hAnsi="Arial"/>
          <w:sz w:val="18"/>
          <w:szCs w:val="18"/>
          <w:color w:val="auto"/>
        </w:rPr>
      </w:pPr>
    </w:p>
    <w:p>
      <w:pPr>
        <w:ind w:left="1180" w:hanging="436"/>
        <w:spacing w:after="0" w:line="312" w:lineRule="auto"/>
        <w:tabs>
          <w:tab w:leader="none" w:pos="11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these bioinformatic algorithms, we then select mutations that are the most promising therapeutic targets. The specific traits of the patient’s immune system, including HLA type, are key to the selection of the most appropriate targets. Picking multiple mutations increases the chance to induce potent T cell responses and reduces the risk that the tumor evades T cell attack over time. We account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0"/>
        <w:spacing w:after="0" w:line="277" w:lineRule="auto"/>
        <w:rPr>
          <w:sz w:val="20"/>
          <w:szCs w:val="20"/>
          <w:color w:val="auto"/>
        </w:rPr>
      </w:pPr>
      <w:r>
        <w:rPr>
          <w:rFonts w:ascii="Arial" w:cs="Arial" w:eastAsia="Arial" w:hAnsi="Arial"/>
          <w:sz w:val="18"/>
          <w:szCs w:val="18"/>
          <w:color w:val="auto"/>
        </w:rPr>
        <w:t>for heterogeneity of each tumor by preferentially selecting mutations that are expressed on all tumor cells. Importantly, the selected mutations are intended to ensure both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 induction.</w:t>
      </w:r>
    </w:p>
    <w:p>
      <w:pPr>
        <w:spacing w:after="0" w:line="76" w:lineRule="exact"/>
        <w:rPr>
          <w:sz w:val="20"/>
          <w:szCs w:val="20"/>
          <w:color w:val="auto"/>
        </w:rPr>
      </w:pPr>
    </w:p>
    <w:p>
      <w:pPr>
        <w:ind w:left="1180" w:right="180" w:hanging="436"/>
        <w:spacing w:after="0" w:line="264" w:lineRule="auto"/>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Following mutation selection, we design the structure for the iNeST product. The chosen mutations have to be arranged in a certain order and the DNA sequence of the mutations has to be optimized. This is important to ensure a robust production of the starting material, or DNA matrix, for the GMP manufacturing of the iNeST product.</w:t>
      </w:r>
    </w:p>
    <w:p>
      <w:pPr>
        <w:spacing w:after="0" w:line="86"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Next we produce the patient-specific iNeST product under GMP conditions and the iNeST product undergoes numerous different quality control tests.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iNeST product is transferred to the hospital and injected into the same patient by the physician.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This process has been designed for the on-demand delivery of our iNeST products, and currently takes approximately six weeks.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iNeST Development Plan</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are currently developing iNeST therapeutics for the treatment of metastatic melanoma and multiple solid tumors. We are conducting two clinical trials of iNeST in collaboration with Genentech, including one randomized Phase 2 trial in first-line melanoma in combination with pembrolizumab and a Phase 1a/1b trial in patients with locally advanced or metastatic tumors (including in melanoma, non-small cell lung cancer, bladder cancer and other solid tumors) as a monotherapy and in combination with atezolizumab. We expect to announce a topline data update from the first-line melanoma trial in the second half of 2020 and a data update from the Phase 1a/1b trial in solid tumors in 2020. We and Genetech are considering a number of additional Phase 2 investments, which could start as early as 2020.</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Antigens</w:t>
            </w: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RO7198457 (BNT122)</w:t>
            </w:r>
          </w:p>
        </w:tc>
        <w:tc>
          <w:tcPr>
            <w:tcW w:w="2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w w:val="91"/>
              </w:rPr>
              <w:t>Up to 20 neoantigens selected on a</w:t>
            </w:r>
          </w:p>
        </w:tc>
        <w:tc>
          <w:tcPr>
            <w:tcW w:w="220" w:type="dxa"/>
            <w:vAlign w:val="bottom"/>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Phase 2: first-line melanoma in</w:t>
            </w:r>
          </w:p>
        </w:tc>
        <w:tc>
          <w:tcPr>
            <w:tcW w:w="16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w w:val="92"/>
              </w:rPr>
              <w:t>Report topline data update</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patient by patient basis</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w w:val="99"/>
              </w:rPr>
              <w:t>combination with pembrolizumab</w:t>
            </w: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in 2H 2020</w:t>
            </w:r>
            <w:r>
              <w:rPr>
                <w:rFonts w:ascii="Arial" w:cs="Arial" w:eastAsia="Arial" w:hAnsi="Arial"/>
                <w:sz w:val="15"/>
                <w:szCs w:val="15"/>
                <w:color w:val="auto"/>
              </w:rPr>
              <w:t>2</w:t>
            </w:r>
          </w:p>
        </w:tc>
      </w:tr>
      <w:tr>
        <w:trPr>
          <w:trHeight w:val="32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w w:val="95"/>
              </w:rPr>
              <w:t>Phase 1a/1b: multiple solid tumors</w:t>
            </w: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89"/>
              </w:rPr>
              <w:t>Report data update in 2020</w:t>
            </w:r>
          </w:p>
        </w:tc>
      </w:tr>
    </w:tbl>
    <w:p>
      <w:pPr>
        <w:spacing w:after="0" w:line="346" w:lineRule="exact"/>
        <w:rPr>
          <w:sz w:val="20"/>
          <w:szCs w:val="20"/>
          <w:color w:val="auto"/>
        </w:rPr>
      </w:pPr>
    </w:p>
    <w:p>
      <w:pPr>
        <w:ind w:left="2180" w:hanging="545"/>
        <w:spacing w:after="0"/>
        <w:tabs>
          <w:tab w:leader="none" w:pos="21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Intratumoral mRNA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406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1406525"/>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Intratumoral mRNA Platform</w:t>
      </w:r>
    </w:p>
    <w:p>
      <w:pPr>
        <w:spacing w:after="0" w:line="127" w:lineRule="exact"/>
        <w:rPr>
          <w:sz w:val="20"/>
          <w:szCs w:val="20"/>
          <w:color w:val="auto"/>
        </w:rPr>
      </w:pPr>
    </w:p>
    <w:p>
      <w:pPr>
        <w:ind w:left="740" w:hanging="320"/>
        <w:spacing w:after="0"/>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Immunomodulator-encoding mRNA injected directly into the tumor in order to avoid off-target toxicities.</w:t>
      </w:r>
    </w:p>
    <w:p>
      <w:pPr>
        <w:spacing w:after="0" w:line="130" w:lineRule="exact"/>
        <w:rPr>
          <w:rFonts w:ascii="Arial" w:cs="Arial" w:eastAsia="Arial" w:hAnsi="Arial"/>
          <w:sz w:val="18"/>
          <w:szCs w:val="18"/>
          <w:color w:val="auto"/>
        </w:rPr>
      </w:pPr>
    </w:p>
    <w:p>
      <w:pPr>
        <w:ind w:left="740" w:right="40" w:hanging="320"/>
        <w:spacing w:after="0" w:line="282" w:lineRule="auto"/>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formulations, delivered by intratumoral injection.</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Co-development and co-commercialization, at our option, in collaboration with Sanofi.</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SAR441000 (BNT131) for advanced solid tumors as a monotherapy and in combination with cemiplimab.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137795</wp:posOffset>
            </wp:positionV>
            <wp:extent cx="7632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36" w:lineRule="exact"/>
        <w:rPr>
          <w:sz w:val="20"/>
          <w:szCs w:val="20"/>
          <w:color w:val="auto"/>
        </w:rPr>
      </w:pPr>
    </w:p>
    <w:p>
      <w:pPr>
        <w:ind w:left="420" w:right="60" w:hanging="216"/>
        <w:spacing w:after="0" w:line="277" w:lineRule="auto"/>
        <w:tabs>
          <w:tab w:leader="none" w:pos="420" w:val="left"/>
        </w:tabs>
        <w:numPr>
          <w:ilvl w:val="0"/>
          <w:numId w:val="154"/>
        </w:numPr>
        <w:rPr>
          <w:rFonts w:ascii="Arial" w:cs="Arial" w:eastAsia="Arial" w:hAnsi="Arial"/>
          <w:sz w:val="15"/>
          <w:szCs w:val="15"/>
          <w:color w:val="auto"/>
        </w:rPr>
      </w:pPr>
      <w:r>
        <w:rPr>
          <w:rFonts w:ascii="Arial" w:cs="Arial" w:eastAsia="Arial" w:hAnsi="Arial"/>
          <w:sz w:val="18"/>
          <w:szCs w:val="18"/>
          <w:color w:val="auto"/>
        </w:rPr>
        <w:t>We expect this topline data update to include an update on the ongoing study, including patient enrollment numbers, with full efficacy and safety data for an interim update expected in the second half of 2021.</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collaboration with Sanofi, we are leveraging our mRNA technology to develop intratumoral immunotherapies for the treatment of solid tumors. Intratumoral immunotherapy is designed to promote innate and adaptive immune responses against tumors, without toxicities related to systemic administration. Our intratumoral immunotherapy involves injection of cytokine-encoding mRNA directly into a tumor in order to alter the tumor microenvironment and promote greater T cell activity. This approach has been found in preclinical studies to boost cancer-specific immune responses locally, while also producing tumor responses in remote parts of the body due to the circulation of properly activated anti-tumor immune cells, known as an abscopal effect.</w:t>
      </w:r>
    </w:p>
    <w:p>
      <w:pPr>
        <w:spacing w:after="0" w:line="193"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The first intratumoral immunotherapy product candidate arising from our collaboration, SAR441000 (BNT131), includes modified mRNA that encodes for the IL-15sushi, IL-12sc, GM-CSF and IFN-α cytokines. In preclinical studies, SAR441000 (BNT131) promoted increased levels of local cytokine expression within the tumor microenvironment and activated innate and adaptive immune responses against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131445</wp:posOffset>
            </wp:positionV>
            <wp:extent cx="4305300" cy="36449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0530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Therapeutic mode of action of intratumoral mRNA immunotherapy</w:t>
      </w:r>
      <w:r>
        <w:rPr>
          <w:rFonts w:ascii="Arial" w:cs="Arial" w:eastAsia="Arial" w:hAnsi="Arial"/>
          <w:sz w:val="13"/>
          <w:szCs w:val="13"/>
          <w:color w:val="auto"/>
        </w:rPr>
        <w:t>. The figure above demonstrates how SAR441000 (BNT131) promotes cytokine expression within the tumor itself.</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Intratumoral Development Plan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lead intratumoral mRNA collaboration product candidate from our collaboration is being investigated in a Phase 1 clinical trial sponsored by Sanofi. This trial is expected to enroll approximately 264 patients with certain advanced solid tumors, as a monotherapy and in combination with cemiplimab. This trial is currently being run at four sites in Europe. A data update from this trial may be reported in the second half of 2020. As the trial is sponsored and conducted by Sanofi, the timing of data updates is not under our control, and is subject to change by Sanofi.</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Candidate</w:t>
            </w:r>
          </w:p>
        </w:tc>
        <w:tc>
          <w:tcPr>
            <w:tcW w:w="240" w:type="dxa"/>
            <w:vAlign w:val="bottom"/>
          </w:tcPr>
          <w:p>
            <w:pPr>
              <w:spacing w:after="0"/>
              <w:rPr>
                <w:sz w:val="16"/>
                <w:szCs w:val="16"/>
                <w:color w:val="auto"/>
              </w:rPr>
            </w:pPr>
          </w:p>
        </w:tc>
        <w:tc>
          <w:tcPr>
            <w:tcW w:w="25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Encoded Cytokines</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Development Phase</w:t>
            </w:r>
          </w:p>
        </w:tc>
        <w:tc>
          <w:tcPr>
            <w:tcW w:w="220" w:type="dxa"/>
            <w:vAlign w:val="bottom"/>
          </w:tcPr>
          <w:p>
            <w:pPr>
              <w:spacing w:after="0"/>
              <w:rPr>
                <w:sz w:val="16"/>
                <w:szCs w:val="16"/>
                <w:color w:val="auto"/>
              </w:rPr>
            </w:pPr>
          </w:p>
        </w:tc>
        <w:tc>
          <w:tcPr>
            <w:tcW w:w="2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Next Steps</w:t>
            </w:r>
          </w:p>
        </w:tc>
      </w:tr>
      <w:tr>
        <w:trPr>
          <w:trHeight w:val="195"/>
        </w:trPr>
        <w:tc>
          <w:tcPr>
            <w:tcW w:w="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SAR441000 (BNT131)</w:t>
            </w:r>
          </w:p>
        </w:tc>
        <w:tc>
          <w:tcPr>
            <w:tcW w:w="24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w w:val="93"/>
              </w:rPr>
              <w:t>IL-15sushi, IL-12sc, GM-CSF and</w:t>
            </w:r>
          </w:p>
        </w:tc>
        <w:tc>
          <w:tcPr>
            <w:tcW w:w="220" w:type="dxa"/>
            <w:vAlign w:val="bottom"/>
          </w:tcPr>
          <w:p>
            <w:pPr>
              <w:spacing w:after="0"/>
              <w:rPr>
                <w:sz w:val="16"/>
                <w:szCs w:val="16"/>
                <w:color w:val="auto"/>
              </w:rPr>
            </w:pPr>
          </w:p>
        </w:tc>
        <w:tc>
          <w:tcPr>
            <w:tcW w:w="2520" w:type="dxa"/>
            <w:vAlign w:val="bottom"/>
          </w:tcPr>
          <w:p>
            <w:pPr>
              <w:spacing w:after="0" w:line="195" w:lineRule="exact"/>
              <w:rPr>
                <w:sz w:val="20"/>
                <w:szCs w:val="20"/>
                <w:color w:val="auto"/>
              </w:rPr>
            </w:pPr>
            <w:r>
              <w:rPr>
                <w:rFonts w:ascii="Arial" w:cs="Arial" w:eastAsia="Arial" w:hAnsi="Arial"/>
                <w:sz w:val="18"/>
                <w:szCs w:val="18"/>
                <w:color w:val="auto"/>
                <w:w w:val="88"/>
              </w:rPr>
              <w:t>Phase 1: Advanced solid tumors as</w:t>
            </w:r>
          </w:p>
        </w:tc>
        <w:tc>
          <w:tcPr>
            <w:tcW w:w="220" w:type="dxa"/>
            <w:vAlign w:val="bottom"/>
          </w:tcPr>
          <w:p>
            <w:pPr>
              <w:spacing w:after="0"/>
              <w:rPr>
                <w:sz w:val="16"/>
                <w:szCs w:val="16"/>
                <w:color w:val="auto"/>
              </w:rPr>
            </w:pPr>
          </w:p>
        </w:tc>
        <w:tc>
          <w:tcPr>
            <w:tcW w:w="2420" w:type="dxa"/>
            <w:vAlign w:val="bottom"/>
          </w:tcPr>
          <w:p>
            <w:pPr>
              <w:spacing w:after="0" w:line="195" w:lineRule="exact"/>
              <w:rPr>
                <w:sz w:val="20"/>
                <w:szCs w:val="20"/>
                <w:color w:val="auto"/>
              </w:rPr>
            </w:pPr>
            <w:r>
              <w:rPr>
                <w:rFonts w:ascii="Arial" w:cs="Arial" w:eastAsia="Arial" w:hAnsi="Arial"/>
                <w:sz w:val="18"/>
                <w:szCs w:val="18"/>
                <w:color w:val="auto"/>
              </w:rPr>
              <w:t>Data update in 2H 2020*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rPr>
              <w:t>IFN-α</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w w:val="91"/>
              </w:rPr>
              <w:t>a monotherapy and in combination</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with cemiplimab</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As the trial is sponsored and conducted by Sanofi, the timing of data updates is not under our control, and is subject to change by Sanofi.</w:t>
      </w:r>
    </w:p>
    <w:p>
      <w:pPr>
        <w:spacing w:after="0" w:line="385" w:lineRule="exact"/>
        <w:rPr>
          <w:sz w:val="20"/>
          <w:szCs w:val="20"/>
          <w:color w:val="auto"/>
        </w:rPr>
      </w:pPr>
    </w:p>
    <w:p>
      <w:pPr>
        <w:ind w:left="1620" w:hanging="430"/>
        <w:spacing w:after="0"/>
        <w:tabs>
          <w:tab w:leader="none" w:pos="162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2693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12693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40" w:hanging="320"/>
        <w:spacing w:after="0"/>
        <w:tabs>
          <w:tab w:leader="none" w:pos="7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mRNA-based vaccines targeting infectious disease pathogens.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Self-amplifying mRNA providing high immunogenicity with smaller amounts of mRNA.</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LNPs.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Collaboration with Pfizer and exclusive option arrangement with Penn.</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Influenza vaccine.</w:t>
      </w:r>
    </w:p>
    <w:p>
      <w:pPr>
        <w:spacing w:after="0" w:line="283"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Expanding beyond our research in oncology, we are leveraging our mRNA technologies to direct the immune system more effectively against infectious diseases. Our infectious disease vaccine candidates contain self-replicating or trans-replicating, modified mRNA-encoding antigens specific to a target pathogen, delivered in various LNP formulations in order to activate and direct T cells and B cells to fight the pathogen.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Influenza Vaccine</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collaborating with Pfizer to develop an influenza vaccine using our mRNA-based immunotherapy technology. Current influenza vaccines consist of antigens from inactivated influenza viruses, recombinant influenza haemagglutinin, or HA, proteins or live attenuated influenza viruses and are available as trivalent (containing two influenza A strains and one influenza B strain) or quadrivalent (containing two influenza A strains and two influenza B strains) vaccines. Currently available influenza vaccines are produced in chicken eggs or cell culture and take about five to six months to produce. This requires the composition of the coming season’s vaccine to be selected by the World Health Organization, or WHO, far in advance for the vaccine to be available on time, which reduces the reliability of that prediction.</w:t>
      </w:r>
    </w:p>
    <w:p>
      <w:pPr>
        <w:spacing w:after="0" w:line="17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anticipate that our mRNA-based vaccine can be manufactured within three months from the time the recommendation is published, including cloning and production and therefore the WHO’s review of the vaccine components can occur closer to the influenza season to obtain a more reliable prediction. In addition, the mRNA manufacturing process is designed to produce an HA vaccine antigen that matches the HA of circulating influenza strains, in contrast to egg- or cell-based processes which can introduce mutations in the HA amino acid sequence. The flexibility of the mRNA vaccine platform could allow for generation of vaccines against genetically drifted seasonal viruses or pandemic strains. We currently expect to initiate a first clinical trial for one of our influenza vaccine mRNA formulations by the end of 2020.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October 2018, we entered into a research collaboration with Penn, under which we have the exclusive option to develop and commercialize prophylactic mRNA immunotherapies for the treatment of up to 10 infectious disease indications. We expect to report our first product candidates under this collaboration, and advance our first product candidate into the clinic, in the first half of 2021.</w:t>
      </w:r>
    </w:p>
    <w:p>
      <w:pPr>
        <w:spacing w:after="0" w:line="181" w:lineRule="exact"/>
        <w:rPr>
          <w:sz w:val="20"/>
          <w:szCs w:val="20"/>
          <w:color w:val="auto"/>
        </w:rPr>
      </w:pPr>
    </w:p>
    <w:p>
      <w:pPr>
        <w:ind w:left="200" w:right="740" w:firstLine="441"/>
        <w:spacing w:after="0" w:line="342" w:lineRule="auto"/>
        <w:rPr>
          <w:sz w:val="20"/>
          <w:szCs w:val="20"/>
          <w:color w:val="auto"/>
        </w:rPr>
      </w:pPr>
      <w:r>
        <w:rPr>
          <w:rFonts w:ascii="Arial" w:cs="Arial" w:eastAsia="Arial" w:hAnsi="Arial"/>
          <w:sz w:val="16"/>
          <w:szCs w:val="16"/>
          <w:color w:val="auto"/>
        </w:rPr>
        <w:t>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3. mRNA-based Protein Replacement Platform for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1918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1191895"/>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Protein Replacement Platform for Rare Diseases</w:t>
      </w:r>
    </w:p>
    <w:p>
      <w:pPr>
        <w:spacing w:after="0" w:line="127" w:lineRule="exact"/>
        <w:rPr>
          <w:sz w:val="20"/>
          <w:szCs w:val="20"/>
          <w:color w:val="auto"/>
        </w:rPr>
      </w:pPr>
    </w:p>
    <w:p>
      <w:pPr>
        <w:ind w:left="740" w:hanging="320"/>
        <w:spacing w:after="0"/>
        <w:tabs>
          <w:tab w:leader="none" w:pos="74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Therapeutic proteins encoded by mRNA and produced in the patient as an alternative to recombinant protein replacement.</w:t>
      </w:r>
    </w:p>
    <w:p>
      <w:pPr>
        <w:spacing w:after="0" w:line="142" w:lineRule="exact"/>
        <w:rPr>
          <w:rFonts w:ascii="Arial" w:cs="Arial" w:eastAsia="Arial" w:hAnsi="Arial"/>
          <w:sz w:val="17"/>
          <w:szCs w:val="17"/>
          <w:color w:val="auto"/>
        </w:rPr>
      </w:pPr>
    </w:p>
    <w:p>
      <w:pPr>
        <w:ind w:left="740" w:right="360" w:hanging="320"/>
        <w:spacing w:after="0" w:line="282" w:lineRule="auto"/>
        <w:tabs>
          <w:tab w:leader="none" w:pos="7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deimmunized to avoid immune activation in order to allow for translation of the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protein in the cells.</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Liver-targeting LNPs.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Genevant.</w:t>
      </w:r>
    </w:p>
    <w:p>
      <w:pPr>
        <w:spacing w:after="0" w:line="28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 xml:space="preserve">By incorporating modified nucleosides into our mRNA, we are able to reduce the immunogenicity of our product candidates, thereby allowing their use for therapeutic protein production. In addition, we utilize advanced mRNA delivery methods to protect the mRNA cargo </w:t>
      </w:r>
      <w:r>
        <w:rPr>
          <w:rFonts w:ascii="Arial" w:cs="Arial" w:eastAsia="Arial" w:hAnsi="Arial"/>
          <w:sz w:val="16"/>
          <w:szCs w:val="16"/>
          <w:i w:val="1"/>
          <w:iCs w:val="1"/>
          <w:color w:val="auto"/>
        </w:rPr>
        <w:t>en route</w:t>
      </w:r>
      <w:r>
        <w:rPr>
          <w:rFonts w:ascii="Arial" w:cs="Arial" w:eastAsia="Arial" w:hAnsi="Arial"/>
          <w:sz w:val="16"/>
          <w:szCs w:val="16"/>
          <w:color w:val="auto"/>
        </w:rPr>
        <w:t xml:space="preserve"> to its target and promote its uptake into liver cells. Current protein-based replacement therapies were developed to treat rare diseases by administering recombinant proteins. Such therapies are limited to diseases where the missing protein function is extracellular. However, mRNA-based protein replacement therapy also has the potential to treat illnesses with intracellular protein defects, as long as the mRNA can be delivered into the affected cells.</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60"/>
          </w:cols>
          <w:pgMar w:left="240" w:top="460"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mRNA-based protein replacement therapy features:</w:t>
      </w:r>
    </w:p>
    <w:p>
      <w:pPr>
        <w:spacing w:after="0" w:line="127" w:lineRule="exact"/>
        <w:rPr>
          <w:sz w:val="20"/>
          <w:szCs w:val="20"/>
          <w:color w:val="auto"/>
        </w:rPr>
      </w:pPr>
    </w:p>
    <w:p>
      <w:pPr>
        <w:ind w:left="640" w:right="200" w:hanging="328"/>
        <w:spacing w:after="0" w:line="282" w:lineRule="auto"/>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Nucleoside-modified mRNA. </w:t>
      </w:r>
      <w:r>
        <w:rPr>
          <w:rFonts w:ascii="Arial" w:cs="Arial" w:eastAsia="Arial" w:hAnsi="Arial"/>
          <w:sz w:val="18"/>
          <w:szCs w:val="18"/>
          <w:color w:val="auto"/>
        </w:rPr>
        <w:t>Replacing uridines in mRNA with modified analogues is important to avoid immune activation that can provoke</w:t>
      </w:r>
      <w:r>
        <w:rPr>
          <w:rFonts w:ascii="Arial" w:cs="Arial" w:eastAsia="Arial" w:hAnsi="Arial"/>
          <w:sz w:val="18"/>
          <w:szCs w:val="18"/>
          <w:b w:val="1"/>
          <w:bCs w:val="1"/>
          <w:color w:val="auto"/>
        </w:rPr>
        <w:t xml:space="preserve"> </w:t>
      </w:r>
      <w:r>
        <w:rPr>
          <w:rFonts w:ascii="Arial" w:cs="Arial" w:eastAsia="Arial" w:hAnsi="Arial"/>
          <w:sz w:val="18"/>
          <w:szCs w:val="18"/>
          <w:color w:val="auto"/>
        </w:rPr>
        <w:t>anti-drug antibody production and would limit efficacy of the treatment.</w:t>
      </w:r>
    </w:p>
    <w:p>
      <w:pPr>
        <w:spacing w:after="0" w:line="67" w:lineRule="exact"/>
        <w:rPr>
          <w:rFonts w:ascii="Arial" w:cs="Arial" w:eastAsia="Arial" w:hAnsi="Arial"/>
          <w:sz w:val="18"/>
          <w:szCs w:val="18"/>
          <w:color w:val="auto"/>
        </w:rPr>
      </w:pPr>
    </w:p>
    <w:p>
      <w:pPr>
        <w:ind w:left="640" w:hanging="328"/>
        <w:spacing w:after="0" w:line="266" w:lineRule="auto"/>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mRNA encoding therapeutic proteins are formulated into LNPs using in-licensed clinically-validated LNP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owned by Genevant. The mRNA-loaded LNPs are less than 100nm in size. When injected intravenously, these particles are selectively taken up by hepatocytes, the major cell component of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140335</wp:posOffset>
            </wp:positionV>
            <wp:extent cx="5093970" cy="3721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9397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mRNA-based protein replacement technology. </w:t>
      </w:r>
      <w:r>
        <w:rPr>
          <w:rFonts w:ascii="Arial" w:cs="Arial" w:eastAsia="Arial" w:hAnsi="Arial"/>
          <w:sz w:val="14"/>
          <w:szCs w:val="14"/>
          <w:color w:val="auto"/>
        </w:rPr>
        <w:t>The illustration above depicts our mRNA-based protein replacement process for the treatment of rare diseases.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protein replacement technology is designed for the treatment of:</w:t>
      </w:r>
    </w:p>
    <w:p>
      <w:pPr>
        <w:spacing w:after="0" w:line="131" w:lineRule="exact"/>
        <w:rPr>
          <w:sz w:val="20"/>
          <w:szCs w:val="20"/>
          <w:color w:val="auto"/>
        </w:rPr>
      </w:pPr>
    </w:p>
    <w:p>
      <w:pPr>
        <w:ind w:left="1180" w:hanging="436"/>
        <w:spacing w:after="0"/>
        <w:tabs>
          <w:tab w:leader="none" w:pos="11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Genetic disorders that manifest due to a missing or defective protein, where mRNA would need to be administered regularly for a lifetime.</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Acute diseases caused by transient depletion of a protein, such as a hormone, where treatment of such diseases with a single or a few doses of the encoding mRNA could be curative.</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Therapeutic proteins encoded by the mRNA can either act intracellularly or be secreted and act extracellularly, in order to produce the desired therapeutic effect.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24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mRNA-based protein replacement technology has several advantages over recombinant proteins:</w:t>
      </w:r>
    </w:p>
    <w:p>
      <w:pPr>
        <w:spacing w:after="0" w:line="127" w:lineRule="exact"/>
        <w:rPr>
          <w:sz w:val="20"/>
          <w:szCs w:val="20"/>
          <w:color w:val="auto"/>
        </w:rPr>
      </w:pPr>
    </w:p>
    <w:p>
      <w:pPr>
        <w:ind w:left="1180" w:right="100" w:hanging="436"/>
        <w:spacing w:after="0" w:line="289" w:lineRule="auto"/>
        <w:tabs>
          <w:tab w:leader="none" w:pos="118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No need to develop a procedure for protein purification. </w:t>
      </w:r>
      <w:r>
        <w:rPr>
          <w:rFonts w:ascii="Arial" w:cs="Arial" w:eastAsia="Arial" w:hAnsi="Arial"/>
          <w:sz w:val="17"/>
          <w:szCs w:val="17"/>
          <w:color w:val="auto"/>
        </w:rPr>
        <w:t>The development of recombinant proteins is a laborious and expensive</w:t>
      </w:r>
      <w:r>
        <w:rPr>
          <w:rFonts w:ascii="Arial" w:cs="Arial" w:eastAsia="Arial" w:hAnsi="Arial"/>
          <w:sz w:val="17"/>
          <w:szCs w:val="17"/>
          <w:b w:val="1"/>
          <w:bCs w:val="1"/>
          <w:color w:val="auto"/>
        </w:rPr>
        <w:t xml:space="preserve"> </w:t>
      </w:r>
      <w:r>
        <w:rPr>
          <w:rFonts w:ascii="Arial" w:cs="Arial" w:eastAsia="Arial" w:hAnsi="Arial"/>
          <w:sz w:val="17"/>
          <w:szCs w:val="17"/>
          <w:color w:val="auto"/>
        </w:rPr>
        <w:t>procedure due to the requirement for a unique purification protocol for each protein. During mRNA-based protein replacement the protein is produced by the patient, which we believe avoids the need for purification and also accelerates drug development.</w:t>
      </w:r>
    </w:p>
    <w:p>
      <w:pPr>
        <w:spacing w:after="0" w:line="63" w:lineRule="exact"/>
        <w:rPr>
          <w:rFonts w:ascii="Arial" w:cs="Arial" w:eastAsia="Arial" w:hAnsi="Arial"/>
          <w:sz w:val="17"/>
          <w:szCs w:val="17"/>
          <w:color w:val="auto"/>
        </w:rPr>
      </w:pPr>
    </w:p>
    <w:p>
      <w:pPr>
        <w:ind w:left="1180" w:right="420" w:hanging="436"/>
        <w:spacing w:after="0" w:line="266" w:lineRule="auto"/>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The protein has proper post-translational modification. </w:t>
      </w:r>
      <w:r>
        <w:rPr>
          <w:rFonts w:ascii="Arial" w:cs="Arial" w:eastAsia="Arial" w:hAnsi="Arial"/>
          <w:sz w:val="18"/>
          <w:szCs w:val="18"/>
          <w:color w:val="auto"/>
        </w:rPr>
        <w:t>To function properly, most recombinant proteins need to be modified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synthesis. Proteins produced in patients from mRNA are more likely to obtain the correct modifications than recombinant proteins produced in cultured bacterial or mammalian cells.</w:t>
      </w:r>
    </w:p>
    <w:p>
      <w:pPr>
        <w:spacing w:after="0" w:line="81" w:lineRule="exact"/>
        <w:rPr>
          <w:rFonts w:ascii="Arial" w:cs="Arial" w:eastAsia="Arial" w:hAnsi="Arial"/>
          <w:sz w:val="18"/>
          <w:szCs w:val="18"/>
          <w:color w:val="auto"/>
        </w:rPr>
      </w:pPr>
    </w:p>
    <w:p>
      <w:pPr>
        <w:ind w:left="1180" w:hanging="436"/>
        <w:spacing w:after="0" w:line="266" w:lineRule="auto"/>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Continuous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supply of encoded protein. </w:t>
      </w:r>
      <w:r>
        <w:rPr>
          <w:rFonts w:ascii="Arial" w:cs="Arial" w:eastAsia="Arial" w:hAnsi="Arial"/>
          <w:sz w:val="18"/>
          <w:szCs w:val="18"/>
          <w:color w:val="auto"/>
        </w:rPr>
        <w:t>Recombinant proteins, especially those with short half-lives, can be cleared from the body</w:t>
      </w:r>
      <w:r>
        <w:rPr>
          <w:rFonts w:ascii="Arial" w:cs="Arial" w:eastAsia="Arial" w:hAnsi="Arial"/>
          <w:sz w:val="18"/>
          <w:szCs w:val="18"/>
          <w:b w:val="1"/>
          <w:bCs w:val="1"/>
          <w:color w:val="auto"/>
        </w:rPr>
        <w:t xml:space="preserve"> </w:t>
      </w:r>
      <w:r>
        <w:rPr>
          <w:rFonts w:ascii="Arial" w:cs="Arial" w:eastAsia="Arial" w:hAnsi="Arial"/>
          <w:sz w:val="18"/>
          <w:szCs w:val="18"/>
          <w:color w:val="auto"/>
        </w:rPr>
        <w:t>very quickly, thereby limiting therapeutic effect. During mRNA-based therapy, the encoded therapeutic protein is produced for a longer duration (</w:t>
      </w:r>
      <w:r>
        <w:rPr>
          <w:rFonts w:ascii="Arial" w:cs="Arial" w:eastAsia="Arial" w:hAnsi="Arial"/>
          <w:sz w:val="18"/>
          <w:szCs w:val="18"/>
          <w:i w:val="1"/>
          <w:iCs w:val="1"/>
          <w:color w:val="auto"/>
        </w:rPr>
        <w:t>e.g</w:t>
      </w:r>
      <w:r>
        <w:rPr>
          <w:rFonts w:ascii="Arial" w:cs="Arial" w:eastAsia="Arial" w:hAnsi="Arial"/>
          <w:sz w:val="18"/>
          <w:szCs w:val="18"/>
          <w:color w:val="auto"/>
        </w:rPr>
        <w:t>., 10-14 days).</w:t>
      </w:r>
    </w:p>
    <w:p>
      <w:pPr>
        <w:spacing w:after="0" w:line="81" w:lineRule="exact"/>
        <w:rPr>
          <w:rFonts w:ascii="Arial" w:cs="Arial" w:eastAsia="Arial" w:hAnsi="Arial"/>
          <w:sz w:val="18"/>
          <w:szCs w:val="18"/>
          <w:color w:val="auto"/>
        </w:rPr>
      </w:pPr>
    </w:p>
    <w:p>
      <w:pPr>
        <w:ind w:left="1180" w:right="20" w:hanging="436"/>
        <w:spacing w:after="0" w:line="266" w:lineRule="auto"/>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Production of intracellular proteins. </w:t>
      </w:r>
      <w:r>
        <w:rPr>
          <w:rFonts w:ascii="Arial" w:cs="Arial" w:eastAsia="Arial" w:hAnsi="Arial"/>
          <w:sz w:val="18"/>
          <w:szCs w:val="18"/>
          <w:color w:val="auto"/>
        </w:rPr>
        <w:t>Recombinant proteins have limited intracellular therapeutic effects. In contrast, proteins encoded by</w:t>
      </w:r>
      <w:r>
        <w:rPr>
          <w:rFonts w:ascii="Arial" w:cs="Arial" w:eastAsia="Arial" w:hAnsi="Arial"/>
          <w:sz w:val="18"/>
          <w:szCs w:val="18"/>
          <w:b w:val="1"/>
          <w:bCs w:val="1"/>
          <w:color w:val="auto"/>
        </w:rPr>
        <w:t xml:space="preserve"> </w:t>
      </w:r>
      <w:r>
        <w:rPr>
          <w:rFonts w:ascii="Arial" w:cs="Arial" w:eastAsia="Arial" w:hAnsi="Arial"/>
          <w:sz w:val="18"/>
          <w:szCs w:val="18"/>
          <w:color w:val="auto"/>
        </w:rPr>
        <w:t>mRNA can reach any cellular compartment and potentially help to cure diseases where the therapeutic protein needs to function in different subcellular locations, including the mitochondria, nucleus or cell membrane.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Protein Replacement Development Plan in Rare Diseases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our first rare disease clinical trial in the second half of 2020.</w:t>
      </w:r>
    </w:p>
    <w:p>
      <w:pPr>
        <w:spacing w:after="0" w:line="374" w:lineRule="exact"/>
        <w:rPr>
          <w:sz w:val="20"/>
          <w:szCs w:val="20"/>
          <w:color w:val="auto"/>
        </w:rPr>
      </w:pPr>
    </w:p>
    <w:p>
      <w:pPr>
        <w:ind w:left="1620" w:hanging="430"/>
        <w:spacing w:after="0"/>
        <w:tabs>
          <w:tab w:leader="none" w:pos="162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543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15436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40" w:hanging="320"/>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Antibodies encoded by mRNA and produced in the patient as an alternative to recombinant antibodies.</w:t>
      </w:r>
    </w:p>
    <w:p>
      <w:pPr>
        <w:spacing w:after="0" w:line="130" w:lineRule="exact"/>
        <w:rPr>
          <w:rFonts w:ascii="Arial" w:cs="Arial" w:eastAsia="Arial" w:hAnsi="Arial"/>
          <w:sz w:val="18"/>
          <w:szCs w:val="18"/>
          <w:color w:val="auto"/>
        </w:rPr>
      </w:pPr>
    </w:p>
    <w:p>
      <w:pPr>
        <w:ind w:left="740" w:right="20" w:hanging="320"/>
        <w:spacing w:after="0" w:line="282"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antibodies to occur within the cells.</w:t>
      </w:r>
    </w:p>
    <w:p>
      <w:pPr>
        <w:spacing w:after="0" w:line="67" w:lineRule="exact"/>
        <w:rPr>
          <w:rFonts w:ascii="Arial" w:cs="Arial" w:eastAsia="Arial" w:hAnsi="Arial"/>
          <w:sz w:val="18"/>
          <w:szCs w:val="18"/>
          <w:color w:val="auto"/>
        </w:rPr>
      </w:pPr>
    </w:p>
    <w:p>
      <w:pPr>
        <w:ind w:left="740" w:right="20" w:hanging="320"/>
        <w:spacing w:after="0" w:line="282"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antibody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BNT141 in multiple solid tumors.</w:t>
      </w:r>
    </w:p>
    <w:p>
      <w:pPr>
        <w:spacing w:after="0" w:line="28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 xml:space="preserve">Our RiboMab product candidates are designed to encode secreted antibodies for expression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by the patient’s cells. We believe our RiboMab technology represents the next generation of antibody-based drugs. Antibody drugs are a leading class of biologics for the treatment of various diseases, but have a number of limitations. The development of antibodies is currently challenged by demanding and costly procedures of production, purification and formulation of a recombinant protein, which we believe hampers the rapid development and clinical testing of new drugs in this class. Recombinant protein antibodies require development of a cell line, establishment and adaptation of processes for production, purification and analytical testing. The whole process typically takes 18 to 30 months to optimize, scale-up and produce first clinical batches. Some of these antibodies are produced in low yields making them unsuitable for therapeutic application.</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By contrast, mRNA not only involves a simpler and less expensive manufacturing process, but also is effective in much lower volumes than are required to produce similar effects using recombinant proteins. RiboMabs provide an antibody’s mRNA sequence, and the body does the production work itself. This simplicity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is designed to allow for both shorter development times and a greater diversity of druggable targets. For efficient RiboMab production, the encoding mRNA is encapsulated in LNPs that deliver the mRNA to the liver cells. For cancer treatment, we focus on tumor-associated antigens to keep adverse effects for the patients as low as possible. We believe we can integrate any antibody sequence in our RiboMab-encoding mRNA.</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have demonstrated the feasibility of our RiboMab technology for a variety of antibody formats, such as full immunoglobulins (Ig), primarily IgG, or different bispecific antibody variants, all of which engage the patient’s own immune cells to eradicate antigen-positive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104775</wp:posOffset>
            </wp:positionV>
            <wp:extent cx="5257165" cy="37477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5716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line="232" w:lineRule="auto"/>
        <w:rPr>
          <w:sz w:val="20"/>
          <w:szCs w:val="20"/>
          <w:color w:val="auto"/>
        </w:rPr>
      </w:pPr>
      <w:r>
        <w:rPr>
          <w:rFonts w:ascii="Arial" w:cs="Arial" w:eastAsia="Arial" w:hAnsi="Arial"/>
          <w:sz w:val="14"/>
          <w:szCs w:val="14"/>
          <w:b w:val="1"/>
          <w:bCs w:val="1"/>
          <w:color w:val="auto"/>
        </w:rPr>
        <w:t xml:space="preserve">Our RiboMab technology. </w:t>
      </w:r>
      <w:r>
        <w:rPr>
          <w:rFonts w:ascii="Arial" w:cs="Arial" w:eastAsia="Arial" w:hAnsi="Arial"/>
          <w:sz w:val="14"/>
          <w:szCs w:val="14"/>
          <w:color w:val="auto"/>
        </w:rPr>
        <w:t>The figure above depicts the structure of</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transcribed (IVT) IgG and bi-(scFv)2 RiboMabs. IVT-mRNA encoding the therapeutic antibody is encapsulated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 LNPs and injected intravenously into patients. The mRNA is delivered to the liver where it is translated into antibodies and secreted into the blood stream. Abbreviations: A100, poly adenosine tail; bi-(scFv)2, bispecific single chain variable fragment; C, C-terminus; CH, constant heavy domain; CL, constant light domain; IgG, immunoglobulin G; IVT,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transcribed; L, linker; LNP, lipid nanoparticles; m1y, 1-methylpseudouridine; N, N-terminus; TAA, tumor-associated antigen; VH, variable heavy domain; VL, variable light domain; UTR, untranslated region.</w:t>
      </w:r>
    </w:p>
    <w:p>
      <w:pPr>
        <w:spacing w:after="0" w:line="18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our broad portfolio of antibody formats will enable us to produce mRNAs encoding the appropriate antibody format for the individual patient’s medical need and the desired treatment regimen (</w:t>
      </w:r>
      <w:r>
        <w:rPr>
          <w:rFonts w:ascii="Arial" w:cs="Arial" w:eastAsia="Arial" w:hAnsi="Arial"/>
          <w:sz w:val="18"/>
          <w:szCs w:val="18"/>
          <w:i w:val="1"/>
          <w:iCs w:val="1"/>
          <w:color w:val="auto"/>
        </w:rPr>
        <w:t>e.g.,</w:t>
      </w:r>
      <w:r>
        <w:rPr>
          <w:rFonts w:ascii="Arial" w:cs="Arial" w:eastAsia="Arial" w:hAnsi="Arial"/>
          <w:sz w:val="18"/>
          <w:szCs w:val="18"/>
          <w:color w:val="auto"/>
        </w:rPr>
        <w:t xml:space="preserve"> monotherapy or combination therapy).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RiboMab Development Plan</w:t>
      </w:r>
    </w:p>
    <w:p>
      <w:pPr>
        <w:spacing w:after="0" w:line="11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Our first development candidate, BNT141, is an IgG antibody, which we expect to enter the clinic in the second half of 2020 in a basket trial targeting multiple solid tumor types. We are also currently evaluating multiple additional RiboMab development candidates in the preclinical setting, including RiboMabs encoding bispecific antibodies, one of which, BNT142, we expect to enter the clinic in the second half of 2020.</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3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6"/>
                <w:szCs w:val="16"/>
                <w:color w:val="auto"/>
              </w:rPr>
            </w:pPr>
          </w:p>
        </w:tc>
        <w:tc>
          <w:tcPr>
            <w:tcW w:w="23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308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0" w:type="dxa"/>
            <w:vAlign w:val="bottom"/>
          </w:tcPr>
          <w:p>
            <w:pPr>
              <w:spacing w:after="0"/>
              <w:rPr>
                <w:sz w:val="16"/>
                <w:szCs w:val="16"/>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color w:val="auto"/>
              </w:rPr>
              <w:t>BNT141 (monospecific)</w:t>
            </w:r>
          </w:p>
        </w:tc>
        <w:tc>
          <w:tcPr>
            <w:tcW w:w="2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Undisclosed</w:t>
            </w:r>
          </w:p>
        </w:tc>
        <w:tc>
          <w:tcPr>
            <w:tcW w:w="20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6"/>
                <w:szCs w:val="16"/>
                <w:color w:val="auto"/>
              </w:rPr>
            </w:pPr>
          </w:p>
        </w:tc>
        <w:tc>
          <w:tcPr>
            <w:tcW w:w="3080" w:type="dxa"/>
            <w:vAlign w:val="bottom"/>
          </w:tcPr>
          <w:p>
            <w:pPr>
              <w:jc w:val="right"/>
              <w:ind w:right="719"/>
              <w:spacing w:after="0" w:line="195" w:lineRule="exact"/>
              <w:rPr>
                <w:sz w:val="20"/>
                <w:szCs w:val="20"/>
                <w:color w:val="auto"/>
              </w:rPr>
            </w:pPr>
            <w:r>
              <w:rPr>
                <w:rFonts w:ascii="Arial" w:cs="Arial" w:eastAsia="Arial" w:hAnsi="Arial"/>
                <w:sz w:val="18"/>
                <w:szCs w:val="18"/>
                <w:color w:val="auto"/>
                <w:w w:val="90"/>
              </w:rPr>
              <w:t>Initiate Phase 1 trial in 2H 2020</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BNT142 (bispecific)</w:t>
            </w:r>
          </w:p>
        </w:tc>
        <w:tc>
          <w:tcPr>
            <w:tcW w:w="2540" w:type="dxa"/>
            <w:vAlign w:val="bottom"/>
            <w:gridSpan w:val="2"/>
          </w:tcPr>
          <w:p>
            <w:pPr>
              <w:ind w:left="220"/>
              <w:spacing w:after="0"/>
              <w:rPr>
                <w:sz w:val="20"/>
                <w:szCs w:val="20"/>
                <w:color w:val="auto"/>
              </w:rPr>
            </w:pPr>
            <w:r>
              <w:rPr>
                <w:rFonts w:ascii="Arial" w:cs="Arial" w:eastAsia="Arial" w:hAnsi="Arial"/>
                <w:sz w:val="18"/>
                <w:szCs w:val="18"/>
                <w:color w:val="auto"/>
              </w:rPr>
              <w:t>CD3xCLDN6</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Preclinical</w:t>
            </w:r>
          </w:p>
        </w:tc>
        <w:tc>
          <w:tcPr>
            <w:tcW w:w="3220" w:type="dxa"/>
            <w:vAlign w:val="bottom"/>
            <w:gridSpan w:val="2"/>
          </w:tcPr>
          <w:p>
            <w:pPr>
              <w:jc w:val="right"/>
              <w:ind w:right="719"/>
              <w:spacing w:after="0"/>
              <w:rPr>
                <w:sz w:val="20"/>
                <w:szCs w:val="20"/>
                <w:color w:val="auto"/>
              </w:rPr>
            </w:pPr>
            <w:r>
              <w:rPr>
                <w:rFonts w:ascii="Arial" w:cs="Arial" w:eastAsia="Arial" w:hAnsi="Arial"/>
                <w:sz w:val="18"/>
                <w:szCs w:val="18"/>
                <w:color w:val="auto"/>
                <w:w w:val="95"/>
              </w:rPr>
              <w:t>Initiate Phase 1 trial in 2H 2020</w:t>
            </w:r>
          </w:p>
        </w:tc>
      </w:tr>
    </w:tbl>
    <w:p>
      <w:pPr>
        <w:spacing w:after="0" w:line="350" w:lineRule="exact"/>
        <w:rPr>
          <w:sz w:val="20"/>
          <w:szCs w:val="20"/>
          <w:color w:val="auto"/>
        </w:rPr>
      </w:pPr>
    </w:p>
    <w:p>
      <w:pPr>
        <w:ind w:left="1620" w:hanging="430"/>
        <w:spacing w:after="0"/>
        <w:tabs>
          <w:tab w:leader="none" w:pos="162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543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7700" cy="1543685"/>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RiboCytokine Platform</w:t>
      </w:r>
    </w:p>
    <w:p>
      <w:pPr>
        <w:spacing w:after="0" w:line="127" w:lineRule="exact"/>
        <w:rPr>
          <w:sz w:val="20"/>
          <w:szCs w:val="20"/>
          <w:color w:val="auto"/>
        </w:rPr>
      </w:pPr>
    </w:p>
    <w:p>
      <w:pPr>
        <w:ind w:left="740" w:hanging="320"/>
        <w:spacing w:after="0"/>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Cytokines encoded by mRNA and produced in the patient as an alternative to recombinant cytokines.</w:t>
      </w:r>
    </w:p>
    <w:p>
      <w:pPr>
        <w:spacing w:after="0" w:line="130" w:lineRule="exact"/>
        <w:rPr>
          <w:rFonts w:ascii="Arial" w:cs="Arial" w:eastAsia="Arial" w:hAnsi="Arial"/>
          <w:sz w:val="18"/>
          <w:szCs w:val="18"/>
          <w:color w:val="auto"/>
        </w:rPr>
      </w:pPr>
    </w:p>
    <w:p>
      <w:pPr>
        <w:ind w:left="740" w:right="40" w:hanging="320"/>
        <w:spacing w:after="0" w:line="282" w:lineRule="auto"/>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740" w:right="40" w:hanging="320"/>
        <w:spacing w:after="0" w:line="282" w:lineRule="auto"/>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cytokine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BNT151 in multiple advanced malignancies.</w:t>
      </w:r>
    </w:p>
    <w:p>
      <w:pPr>
        <w:spacing w:after="0" w:line="28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Cytokines represent a large group of relatively small proteins (&lt;30 kDa) that regulate a variety of biological functions as they elicit signaling for immune and non-immune cells. In particular, cytokines play a pivotal role in orchestrating the initiation, execution and extinction of innate and adaptive immunity against pathogens as well as malignant cells. Due to their natural role as immunomodulators, recombinant cytokines are currently used for the treatment of a number of infectious, inflammatory, autoimmune and malignant diseases. One of the major challenges associated with the therapeutic use of cytokines relates to their short serum half-life and low bioavailability. This impedes therapeutic efficacy as it necessitates high and frequent dosing, which often results in dose-limiting toxicities.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have developed a wholly-owned, novel mRNA-based platform technology called RiboCytokines, designed to address the limitations of recombinantly expressed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134620</wp:posOffset>
            </wp:positionV>
            <wp:extent cx="5222875" cy="3456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2287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b w:val="1"/>
          <w:bCs w:val="1"/>
          <w:color w:val="auto"/>
        </w:rPr>
        <w:t xml:space="preserve">Concept of our RiboCytokine technology. </w:t>
      </w:r>
      <w:r>
        <w:rPr>
          <w:rFonts w:ascii="Arial" w:cs="Arial" w:eastAsia="Arial" w:hAnsi="Arial"/>
          <w:sz w:val="14"/>
          <w:szCs w:val="14"/>
          <w:color w:val="auto"/>
        </w:rPr>
        <w:t>The graphic above depicts our RiboCytokine technology, including mRNA formulated in LNPs and administered by injection, having a beneficial</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pharmacokinetic profile.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RiboCytokine platform allows for sustained delivery of the encoded cytokines with prolonged half-life, including through:</w:t>
      </w:r>
    </w:p>
    <w:p>
      <w:pPr>
        <w:spacing w:after="0" w:line="127" w:lineRule="exact"/>
        <w:rPr>
          <w:sz w:val="20"/>
          <w:szCs w:val="20"/>
          <w:color w:val="auto"/>
        </w:rPr>
      </w:pPr>
    </w:p>
    <w:p>
      <w:pPr>
        <w:ind w:left="1180" w:right="380" w:hanging="436"/>
        <w:spacing w:after="0" w:line="282" w:lineRule="auto"/>
        <w:tabs>
          <w:tab w:leader="none" w:pos="11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Usage of N1-methylpseudouridine modified mRNA. </w:t>
      </w:r>
      <w:r>
        <w:rPr>
          <w:rFonts w:ascii="Arial" w:cs="Arial" w:eastAsia="Arial" w:hAnsi="Arial"/>
          <w:sz w:val="18"/>
          <w:szCs w:val="18"/>
          <w:color w:val="auto"/>
        </w:rPr>
        <w:t>N1-methylpseudouridine as a nucleoside analogue prevents the recognition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mRNA by TLRs, avoiding immune attack against the RiboCytokines.</w:t>
      </w:r>
    </w:p>
    <w:p>
      <w:pPr>
        <w:spacing w:after="0" w:line="67" w:lineRule="exact"/>
        <w:rPr>
          <w:rFonts w:ascii="Arial" w:cs="Arial" w:eastAsia="Arial" w:hAnsi="Arial"/>
          <w:sz w:val="18"/>
          <w:szCs w:val="18"/>
          <w:color w:val="auto"/>
        </w:rPr>
      </w:pPr>
    </w:p>
    <w:p>
      <w:pPr>
        <w:ind w:left="1180" w:right="80" w:hanging="436"/>
        <w:spacing w:after="0" w:line="282" w:lineRule="auto"/>
        <w:tabs>
          <w:tab w:leader="none" w:pos="11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RiboCytokines are formulated using clinically validated LNP delivery technology owned by Genevant. LNPs</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selectively target the liver resulting in high-level expression.</w:t>
      </w:r>
    </w:p>
    <w:p>
      <w:pPr>
        <w:spacing w:after="0" w:line="166"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believe that apart from a beneficial pharmacokinetic profile, our mRNA-based RiboCytokine technology has a number of additional advantages over other types of cytokine therapies:</w:t>
      </w:r>
    </w:p>
    <w:p>
      <w:pPr>
        <w:spacing w:after="0" w:line="72" w:lineRule="exact"/>
        <w:rPr>
          <w:sz w:val="20"/>
          <w:szCs w:val="20"/>
          <w:color w:val="auto"/>
        </w:rPr>
      </w:pPr>
    </w:p>
    <w:p>
      <w:pPr>
        <w:ind w:left="1180" w:right="20" w:hanging="436"/>
        <w:spacing w:after="0" w:line="266" w:lineRule="auto"/>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Less immunogenic than recombinant cytokines. </w:t>
      </w:r>
      <w:r>
        <w:rPr>
          <w:rFonts w:ascii="Arial" w:cs="Arial" w:eastAsia="Arial" w:hAnsi="Arial"/>
          <w:sz w:val="18"/>
          <w:szCs w:val="18"/>
          <w:color w:val="auto"/>
        </w:rPr>
        <w:t>Expression of self and foreign antigens in the liver is associated with immune tolerance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unique anti-inflammatory microenvironment. We expect RiboCytokines to be less likely to trigger an immune response when compared to their recombinant counterparts.</w:t>
      </w:r>
    </w:p>
    <w:p>
      <w:pPr>
        <w:spacing w:after="0" w:line="81" w:lineRule="exact"/>
        <w:rPr>
          <w:rFonts w:ascii="Arial" w:cs="Arial" w:eastAsia="Arial" w:hAnsi="Arial"/>
          <w:sz w:val="18"/>
          <w:szCs w:val="18"/>
          <w:color w:val="auto"/>
        </w:rPr>
      </w:pPr>
    </w:p>
    <w:p>
      <w:pPr>
        <w:ind w:left="1180" w:right="200" w:hanging="436"/>
        <w:spacing w:after="0" w:line="266" w:lineRule="auto"/>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Shorter development times and greater diversity. </w:t>
      </w:r>
      <w:r>
        <w:rPr>
          <w:rFonts w:ascii="Arial" w:cs="Arial" w:eastAsia="Arial" w:hAnsi="Arial"/>
          <w:sz w:val="18"/>
          <w:szCs w:val="18"/>
          <w:color w:val="auto"/>
        </w:rPr>
        <w:t>The development of recombinant cytokines is a challenge due to demanding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costly CMC procedures of production, purification and formulation. The simplicity of our mRNA manufacturing allows for both shorter development times and a greater diversity of druggable targets.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believe that our RiboCytokine technology is particularly well-suited to identify candidates for combination treatment with our proprietary CAR-T cell and cancer immunotherapies platforms.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RiboCytokine Development Plan</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expect our first two RiboCytokine product candidates, BNT151 and BNT152, to enter the clinic in the first half and second halves of 2020, respectively, in basket trials targeting multiple advanced malignancies.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Candidate</w:t>
            </w:r>
          </w:p>
        </w:tc>
        <w:tc>
          <w:tcPr>
            <w:tcW w:w="1900" w:type="dxa"/>
            <w:vAlign w:val="bottom"/>
          </w:tcPr>
          <w:p>
            <w:pPr>
              <w:spacing w:after="0"/>
              <w:rPr>
                <w:sz w:val="16"/>
                <w:szCs w:val="16"/>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Cytokines</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Development Phase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w w:val="96"/>
              </w:rPr>
              <w:t>BNT151</w:t>
            </w:r>
          </w:p>
        </w:tc>
        <w:tc>
          <w:tcPr>
            <w:tcW w:w="1900" w:type="dxa"/>
            <w:vAlign w:val="bottom"/>
          </w:tcPr>
          <w:p>
            <w:pPr>
              <w:spacing w:after="0"/>
              <w:rPr>
                <w:sz w:val="16"/>
                <w:szCs w:val="16"/>
                <w:color w:val="auto"/>
              </w:rPr>
            </w:pP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Optimized IL-2</w:t>
            </w:r>
          </w:p>
        </w:tc>
        <w:tc>
          <w:tcPr>
            <w:tcW w:w="120" w:type="dxa"/>
            <w:vAlign w:val="bottom"/>
          </w:tcPr>
          <w:p>
            <w:pPr>
              <w:spacing w:after="0"/>
              <w:rPr>
                <w:sz w:val="16"/>
                <w:szCs w:val="16"/>
                <w:color w:val="auto"/>
              </w:rPr>
            </w:pPr>
          </w:p>
        </w:tc>
        <w:tc>
          <w:tcPr>
            <w:tcW w:w="1640" w:type="dxa"/>
            <w:vAlign w:val="bottom"/>
          </w:tcPr>
          <w:p>
            <w:pPr>
              <w:jc w:val="right"/>
              <w:ind w:right="799"/>
              <w:spacing w:after="0" w:line="189" w:lineRule="exact"/>
              <w:rPr>
                <w:sz w:val="20"/>
                <w:szCs w:val="20"/>
                <w:color w:val="auto"/>
              </w:rPr>
            </w:pPr>
            <w:r>
              <w:rPr>
                <w:rFonts w:ascii="Arial" w:cs="Arial" w:eastAsia="Arial" w:hAnsi="Arial"/>
                <w:sz w:val="18"/>
                <w:szCs w:val="18"/>
                <w:color w:val="auto"/>
                <w:w w:val="90"/>
              </w:rPr>
              <w:t>Preclinical</w:t>
            </w:r>
          </w:p>
        </w:tc>
        <w:tc>
          <w:tcPr>
            <w:tcW w:w="100" w:type="dxa"/>
            <w:vAlign w:val="bottom"/>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rPr>
              <w:t>Initiate Phase 1 trial in 1H 2020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6"/>
              </w:rPr>
              <w:t>BNT152</w:t>
            </w:r>
          </w:p>
        </w:tc>
        <w:tc>
          <w:tcPr>
            <w:tcW w:w="3440" w:type="dxa"/>
            <w:vAlign w:val="bottom"/>
            <w:gridSpan w:val="2"/>
          </w:tcPr>
          <w:p>
            <w:pPr>
              <w:ind w:left="1900"/>
              <w:spacing w:after="0"/>
              <w:rPr>
                <w:sz w:val="20"/>
                <w:szCs w:val="20"/>
                <w:color w:val="auto"/>
              </w:rPr>
            </w:pPr>
            <w:r>
              <w:rPr>
                <w:rFonts w:ascii="Arial" w:cs="Arial" w:eastAsia="Arial" w:hAnsi="Arial"/>
                <w:sz w:val="18"/>
                <w:szCs w:val="18"/>
                <w:color w:val="auto"/>
              </w:rPr>
              <w:t>IL-7</w:t>
            </w:r>
          </w:p>
        </w:tc>
        <w:tc>
          <w:tcPr>
            <w:tcW w:w="1760" w:type="dxa"/>
            <w:vAlign w:val="bottom"/>
            <w:gridSpan w:val="2"/>
          </w:tcPr>
          <w:p>
            <w:pPr>
              <w:jc w:val="right"/>
              <w:ind w:right="799"/>
              <w:spacing w:after="0"/>
              <w:rPr>
                <w:sz w:val="20"/>
                <w:szCs w:val="20"/>
                <w:color w:val="auto"/>
              </w:rPr>
            </w:pPr>
            <w:r>
              <w:rPr>
                <w:rFonts w:ascii="Arial" w:cs="Arial" w:eastAsia="Arial" w:hAnsi="Arial"/>
                <w:sz w:val="18"/>
                <w:szCs w:val="18"/>
                <w:color w:val="auto"/>
              </w:rPr>
              <w:t>Preclinical</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Initiate Phase 1 trial in 2H 2020</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w w:val="96"/>
              </w:rPr>
              <w:t>BNT153</w:t>
            </w:r>
          </w:p>
        </w:tc>
        <w:tc>
          <w:tcPr>
            <w:tcW w:w="3440" w:type="dxa"/>
            <w:vAlign w:val="bottom"/>
            <w:gridSpan w:val="2"/>
          </w:tcPr>
          <w:p>
            <w:pPr>
              <w:ind w:left="1900"/>
              <w:spacing w:after="0"/>
              <w:rPr>
                <w:sz w:val="20"/>
                <w:szCs w:val="20"/>
                <w:color w:val="auto"/>
              </w:rPr>
            </w:pPr>
            <w:r>
              <w:rPr>
                <w:rFonts w:ascii="Arial" w:cs="Arial" w:eastAsia="Arial" w:hAnsi="Arial"/>
                <w:sz w:val="18"/>
                <w:szCs w:val="18"/>
                <w:color w:val="auto"/>
              </w:rPr>
              <w:t>IL-2</w:t>
            </w:r>
          </w:p>
        </w:tc>
        <w:tc>
          <w:tcPr>
            <w:tcW w:w="1760" w:type="dxa"/>
            <w:vAlign w:val="bottom"/>
            <w:gridSpan w:val="2"/>
          </w:tcPr>
          <w:p>
            <w:pPr>
              <w:jc w:val="right"/>
              <w:ind w:right="799"/>
              <w:spacing w:after="0"/>
              <w:rPr>
                <w:sz w:val="20"/>
                <w:szCs w:val="20"/>
                <w:color w:val="auto"/>
              </w:rPr>
            </w:pPr>
            <w:r>
              <w:rPr>
                <w:rFonts w:ascii="Arial" w:cs="Arial" w:eastAsia="Arial" w:hAnsi="Arial"/>
                <w:sz w:val="18"/>
                <w:szCs w:val="18"/>
                <w:color w:val="auto"/>
              </w:rPr>
              <w:t>Preclinical</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6"/>
          <w:szCs w:val="16"/>
          <w:b w:val="1"/>
          <w:bCs w:val="1"/>
          <w:color w:val="auto"/>
        </w:rPr>
        <w:t>Our Engineered Cell Therapies Drug Class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tailored reprogramming of autologous T cells from cancer patients to recognize and attack their tumors has become a disruptive medical innovation. Retargeting of T cells can be achieved via introduction of tumor-specific receptors into patient-derived T cells. For that purpose, T cells are mostly engineered by retroviral gene transfer to express either T cell receptors, or TCRs, or chimeric antigen receptors, or CARs. Recently, CAR expressing T cells, or CAR-T cells, became the first engineered T cell therapy to obtain FDA approval for some B cell derived hematological malignancies.</w:t>
      </w:r>
    </w:p>
    <w:p>
      <w:pPr>
        <w:spacing w:after="0" w:line="333" w:lineRule="exact"/>
        <w:rPr>
          <w:sz w:val="20"/>
          <w:szCs w:val="20"/>
          <w:color w:val="auto"/>
        </w:rPr>
      </w:pPr>
    </w:p>
    <w:p>
      <w:pPr>
        <w:ind w:left="1180" w:hanging="544"/>
        <w:spacing w:after="0"/>
        <w:tabs>
          <w:tab w:leader="none" w:pos="11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3290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1329055"/>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CAR T Platform</w:t>
      </w:r>
    </w:p>
    <w:p>
      <w:pPr>
        <w:spacing w:after="0" w:line="127" w:lineRule="exact"/>
        <w:rPr>
          <w:sz w:val="20"/>
          <w:szCs w:val="20"/>
          <w:color w:val="auto"/>
        </w:rPr>
      </w:pPr>
    </w:p>
    <w:p>
      <w:pPr>
        <w:ind w:left="740" w:hanging="320"/>
        <w:spacing w:after="0"/>
        <w:tabs>
          <w:tab w:leader="none" w:pos="7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Second-generation CAR T therapy designed to overcome the shortcomings of CAR T therapy in solid tumors.</w:t>
      </w:r>
    </w:p>
    <w:p>
      <w:pPr>
        <w:spacing w:after="0" w:line="130" w:lineRule="exact"/>
        <w:rPr>
          <w:rFonts w:ascii="Arial" w:cs="Arial" w:eastAsia="Arial" w:hAnsi="Arial"/>
          <w:sz w:val="18"/>
          <w:szCs w:val="18"/>
          <w:color w:val="auto"/>
        </w:rPr>
      </w:pPr>
    </w:p>
    <w:p>
      <w:pPr>
        <w:ind w:left="740" w:right="340" w:hanging="320"/>
        <w:spacing w:after="0" w:line="266" w:lineRule="auto"/>
        <w:tabs>
          <w:tab w:leader="none" w:pos="7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Mechanism: </w:t>
      </w:r>
      <w:r>
        <w:rPr>
          <w:rFonts w:ascii="Arial" w:cs="Arial" w:eastAsia="Arial" w:hAnsi="Arial"/>
          <w:sz w:val="18"/>
          <w:szCs w:val="18"/>
          <w:color w:val="auto"/>
        </w:rPr>
        <w:t>T cells with CARs engineered to target cancer-specific antigens, including novel antigens selected from our proprietary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and administered with an mRNA-based immune booster, which we refer to as CARVac, to enhance CAR-T cell expansion and persistence.</w:t>
      </w:r>
    </w:p>
    <w:p>
      <w:pPr>
        <w:spacing w:after="0" w:line="81" w:lineRule="exact"/>
        <w:rPr>
          <w:rFonts w:ascii="Arial" w:cs="Arial" w:eastAsia="Arial" w:hAnsi="Arial"/>
          <w:sz w:val="18"/>
          <w:szCs w:val="18"/>
          <w:color w:val="auto"/>
        </w:rPr>
      </w:pPr>
    </w:p>
    <w:p>
      <w:pPr>
        <w:ind w:left="740" w:hanging="320"/>
        <w:spacing w:after="0"/>
        <w:tabs>
          <w:tab w:leader="none" w:pos="7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BNT211 for multiple solid tumors.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CARs are artificial receptors that consist of an antigen recognition domain derived from a tumor-specific antibody linked to intracellular T cell signaling domains. CARs redirect T cells to eradicate tumors through specific recognition of native surface proteins expressed on tumor cells in a non-MHC-restricted manner. Therefore, CAR-T cells can be used for the treatment of all individuals whose tumor expresses the respective target, independent of the individual’s HLA genotype. CARs can be used for redirection of both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135255</wp:posOffset>
            </wp:positionV>
            <wp:extent cx="3738880" cy="31388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3888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Second-generation CAR. </w:t>
      </w:r>
      <w:r>
        <w:rPr>
          <w:rFonts w:ascii="Arial" w:cs="Arial" w:eastAsia="Arial" w:hAnsi="Arial"/>
          <w:sz w:val="13"/>
          <w:szCs w:val="13"/>
          <w:color w:val="auto"/>
        </w:rPr>
        <w:t>The figure above illustrates the basic structure of a second-generation CAR, such as those included in our BNT211 and BNT212 product candidates.</w:t>
      </w:r>
    </w:p>
    <w:p>
      <w:pPr>
        <w:spacing w:after="0" w:line="2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While CAR T therapy has shown potent anti-tumor responses in patients with B cell malignancies, clinical efficacy in solid tumors so far is limited. The main hurdles for application of CAR T therapies in solid tumors are:</w:t>
      </w:r>
    </w:p>
    <w:p>
      <w:pPr>
        <w:spacing w:after="0" w:line="76" w:lineRule="exact"/>
        <w:rPr>
          <w:sz w:val="20"/>
          <w:szCs w:val="20"/>
          <w:color w:val="auto"/>
        </w:rPr>
      </w:pPr>
    </w:p>
    <w:p>
      <w:pPr>
        <w:ind w:left="1180" w:hanging="436"/>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Lack of highly tumor-selective targets, which are needed for safe and effective tumor targeting;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Low anti-tumoral activity due to insufficient expansion of engineered T cells.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20"/>
          </w:cols>
          <w:pgMar w:left="240" w:top="460" w:right="7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the next generation of engineered T cell therapies that:</w:t>
      </w:r>
    </w:p>
    <w:p>
      <w:pPr>
        <w:spacing w:after="0" w:line="131" w:lineRule="exact"/>
        <w:rPr>
          <w:sz w:val="20"/>
          <w:szCs w:val="20"/>
          <w:color w:val="auto"/>
        </w:rPr>
      </w:pPr>
    </w:p>
    <w:p>
      <w:pPr>
        <w:ind w:left="1180" w:right="540" w:hanging="436"/>
        <w:spacing w:after="0" w:line="277" w:lineRule="auto"/>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target novel and known tumor-specific antigens, including mutant neoantigens, and a broad spectrum of tumor-associated antigens expressed in a wide range of cancers;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leverage our proprietary CARVac technology for controlled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stimulation, activation and expansion of engineered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176530</wp:posOffset>
            </wp:positionV>
            <wp:extent cx="3679190" cy="22637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7919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b w:val="1"/>
          <w:bCs w:val="1"/>
          <w:color w:val="auto"/>
        </w:rPr>
        <w:t xml:space="preserve">Our platforms for development of next-generation engineered T cell therapies. </w:t>
      </w:r>
      <w:r>
        <w:rPr>
          <w:rFonts w:ascii="Arial" w:cs="Arial" w:eastAsia="Arial" w:hAnsi="Arial"/>
          <w:sz w:val="14"/>
          <w:szCs w:val="14"/>
          <w:color w:val="auto"/>
        </w:rPr>
        <w:t>Our engineered cell therapies combine our antigen selection capabilities with our FixVac immunotherapy</w:t>
      </w:r>
      <w:r>
        <w:rPr>
          <w:rFonts w:ascii="Arial" w:cs="Arial" w:eastAsia="Arial" w:hAnsi="Arial"/>
          <w:sz w:val="14"/>
          <w:szCs w:val="14"/>
          <w:b w:val="1"/>
          <w:bCs w:val="1"/>
          <w:color w:val="auto"/>
        </w:rPr>
        <w:t xml:space="preserve"> </w:t>
      </w:r>
      <w:r>
        <w:rPr>
          <w:rFonts w:ascii="Arial" w:cs="Arial" w:eastAsia="Arial" w:hAnsi="Arial"/>
          <w:sz w:val="14"/>
          <w:szCs w:val="14"/>
          <w:color w:val="auto"/>
        </w:rPr>
        <w:t>to enhance T cell activation and expansion.</w:t>
      </w:r>
    </w:p>
    <w:p>
      <w:pPr>
        <w:spacing w:after="0" w:line="174"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powerful characteristics of CAR-T cells, including their potential to eradicate targeted tumor cells in combination with their potentially life-long persistence in the host, require careful target selection. We believe the essential features of an ideal antigen for T cell-based immunotherapy are:</w:t>
      </w:r>
    </w:p>
    <w:p>
      <w:pPr>
        <w:spacing w:after="0" w:line="29" w:lineRule="exact"/>
        <w:rPr>
          <w:sz w:val="20"/>
          <w:szCs w:val="20"/>
          <w:color w:val="auto"/>
        </w:rPr>
      </w:pPr>
    </w:p>
    <w:p>
      <w:pPr>
        <w:ind w:left="1180" w:hanging="436"/>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Absence of expression from any toxicity-relevant non-malignant tissue, to prevent off-tumor/on-target toxicity;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Expression on the cell surface of tumor cells at sufficient levels to allow for recognition and lysis by CAR-T cells.</w:t>
      </w:r>
    </w:p>
    <w:p>
      <w:pPr>
        <w:spacing w:after="0" w:line="225"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are developing CAR T programs targeting two different members of the Claudin family, namely CLDN6 and CLDN18.2. Claudins, or CLDNs, are central components of tight junctions that regulate epithelial-cell barrier function and polarity. Most of the CLDNs are broadly expressed, while CLDN6 and CLDN18.2 are exclusively expressed in different high medical need cancers. Disturbance and dysregulation of tight junction molecules is a frequent hallmark of cancer cells and often associated with malignant transformation and metastasis and, hence, disease progression.</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CLDN6 is an oncofetal cell surface antigen expressed in embryonic stem cells during fetal development. The gene encoding CLDN6 is strictly silenced and not expressed in healthy adult tissues but re-activated in different cancers with a high medical need including ovarian, endometrial, testicular and lung cancers.</w:t>
      </w:r>
    </w:p>
    <w:p>
      <w:pPr>
        <w:spacing w:after="0" w:line="181"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In contrast to CLDN6, CLDN18.2 is a tissue restricted marker that is exclusively expressed in short-lived differentiated cells of the gastric mucosa. CLDN18.2 is observed in a large fraction of gastric cancers. In addition, CLDN18.2 is aberrantly activated in a variety of tumor entities, including esophageal cancer, pancreatic adenocarcinoma and cholangiocarcinoma.</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240" w:top="460"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In-vivo </w:t>
      </w:r>
      <w:r>
        <w:rPr>
          <w:rFonts w:ascii="Arial" w:cs="Arial" w:eastAsia="Arial" w:hAnsi="Arial"/>
          <w:sz w:val="18"/>
          <w:szCs w:val="18"/>
          <w:b w:val="1"/>
          <w:bCs w:val="1"/>
          <w:i w:val="1"/>
          <w:iCs w:val="1"/>
          <w:color w:val="auto"/>
        </w:rPr>
        <w:t>expansion of engineered T cells using liposomally formulated mRNA</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Besides targeting an ideal tumor-specific antigen, the frequency and the persistence of CAR-T cells in the respective patient is a critical factor determining antitumor efficacy. A positive correlation between clinical outcome and CAR-T cell engraftment and persistence has been shown in several CD19-targeting CAR T trials. Both tend to be much more limited in the solid tumor setting, likely due to the lack of circulating antigen-presenting cells, or APCs, such as dendritic cells expressing the target CAR antigen.</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To address this critical factor, we developed an approach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of CAR-T cells that relies on our proprietary FixVac technology for systemic mRNA delivery in combination with our CAR T product candidates. Intravenous administration of a FixVac encoding for the tumor antigen induces expression of the desired target on antigen-presenting cells in secondary lymphoid tissues. FixVac treatment facilitates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CAR-T cells in a dose-dependent manner. Moreover repetitive administration of FixVac results in an improved CAR-T cell persistence as well as increased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96840" cy="36620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9684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Our CAR-T cell immunotherapies combined with CARVac-mediated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expansion. </w:t>
      </w:r>
      <w:r>
        <w:rPr>
          <w:rFonts w:ascii="Arial" w:cs="Arial" w:eastAsia="Arial" w:hAnsi="Arial"/>
          <w:sz w:val="13"/>
          <w:szCs w:val="13"/>
          <w:color w:val="auto"/>
        </w:rPr>
        <w:t>(A) Autologous T cells engineered to express a CAR are adoptively transferred into the patient.</w:t>
      </w:r>
    </w:p>
    <w:p>
      <w:pPr>
        <w:spacing w:after="0" w:line="15" w:lineRule="exact"/>
        <w:rPr>
          <w:sz w:val="20"/>
          <w:szCs w:val="20"/>
          <w:color w:val="auto"/>
        </w:rPr>
      </w:pPr>
    </w:p>
    <w:p>
      <w:pPr>
        <w:ind w:left="200" w:right="60" w:firstLine="4"/>
        <w:spacing w:after="0" w:line="232" w:lineRule="auto"/>
        <w:tabs>
          <w:tab w:leader="none" w:pos="428" w:val="left"/>
        </w:tabs>
        <w:numPr>
          <w:ilvl w:val="0"/>
          <w:numId w:val="172"/>
        </w:numPr>
        <w:rPr>
          <w:rFonts w:ascii="Arial" w:cs="Arial" w:eastAsia="Arial" w:hAnsi="Arial"/>
          <w:sz w:val="14"/>
          <w:szCs w:val="14"/>
          <w:color w:val="auto"/>
        </w:rPr>
      </w:pPr>
      <w:r>
        <w:rPr>
          <w:rFonts w:ascii="Arial" w:cs="Arial" w:eastAsia="Arial" w:hAnsi="Arial"/>
          <w:sz w:val="14"/>
          <w:szCs w:val="14"/>
          <w:color w:val="auto"/>
        </w:rPr>
        <w:t xml:space="preserve">Full-length CAR target-encoding mRNA is complexed with liposomes to form RNA-LPX lipoplexes (CARVac). (C) Intravenously administered CARVac selectively targets APCs in secondary lymphoid organs facilitating uptake, antigen expression and maturation of APCs. Exposure of CAR-T cells to their target results in CAR-T cell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(D) CARVac can be administered repetitively to achieve controlled expansion and persistence of CAR-T cells within the therapeutic window.</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CAR T Development Plan</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first CAR T product candidate, BNT211, includes a second-generation CAR directed against CLDN6. Our second product candidate is BNT212, which includes a CLDN18.2-targeting CAR. We expect to initiate a Phase 1/2 basket trial of our novel combination CLDN6 CAR-T cell and CLDN6 CARVac product candidate in multiple solid tumors in the first half of 2020.</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Candidate</w:t>
            </w:r>
          </w:p>
        </w:tc>
        <w:tc>
          <w:tcPr>
            <w:tcW w:w="1120" w:type="dxa"/>
            <w:vAlign w:val="bottom"/>
          </w:tcPr>
          <w:p>
            <w:pPr>
              <w:spacing w:after="0"/>
              <w:rPr>
                <w:sz w:val="16"/>
                <w:szCs w:val="16"/>
                <w:color w:val="auto"/>
              </w:rPr>
            </w:pPr>
          </w:p>
        </w:tc>
        <w:tc>
          <w:tcPr>
            <w:tcW w:w="3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Antigen Target</w:t>
            </w:r>
          </w:p>
        </w:tc>
        <w:tc>
          <w:tcPr>
            <w:tcW w:w="320" w:type="dxa"/>
            <w:vAlign w:val="bottom"/>
          </w:tcPr>
          <w:p>
            <w:pPr>
              <w:spacing w:after="0"/>
              <w:rPr>
                <w:sz w:val="16"/>
                <w:szCs w:val="16"/>
                <w:color w:val="auto"/>
              </w:rPr>
            </w:pPr>
          </w:p>
        </w:tc>
        <w:tc>
          <w:tcPr>
            <w:tcW w:w="334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Development Phase</w:t>
            </w:r>
          </w:p>
        </w:tc>
        <w:tc>
          <w:tcPr>
            <w:tcW w:w="120" w:type="dxa"/>
            <w:vAlign w:val="bottom"/>
          </w:tcPr>
          <w:p>
            <w:pPr>
              <w:spacing w:after="0"/>
              <w:rPr>
                <w:sz w:val="16"/>
                <w:szCs w:val="16"/>
                <w:color w:val="auto"/>
              </w:rPr>
            </w:pPr>
          </w:p>
        </w:tc>
        <w:tc>
          <w:tcPr>
            <w:tcW w:w="2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w w:val="96"/>
              </w:rPr>
              <w:t>BNT211</w:t>
            </w:r>
          </w:p>
        </w:tc>
        <w:tc>
          <w:tcPr>
            <w:tcW w:w="11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8"/>
                <w:szCs w:val="18"/>
                <w:color w:val="auto"/>
              </w:rPr>
              <w:t>CLDN6</w:t>
            </w:r>
          </w:p>
        </w:tc>
        <w:tc>
          <w:tcPr>
            <w:tcW w:w="320" w:type="dxa"/>
            <w:vAlign w:val="bottom"/>
          </w:tcPr>
          <w:p>
            <w:pPr>
              <w:spacing w:after="0"/>
              <w:rPr>
                <w:sz w:val="16"/>
                <w:szCs w:val="16"/>
                <w:color w:val="auto"/>
              </w:rPr>
            </w:pPr>
          </w:p>
        </w:tc>
        <w:tc>
          <w:tcPr>
            <w:tcW w:w="3340" w:type="dxa"/>
            <w:vAlign w:val="bottom"/>
          </w:tcPr>
          <w:p>
            <w:pPr>
              <w:jc w:val="right"/>
              <w:ind w:right="2499"/>
              <w:spacing w:after="0" w:line="189" w:lineRule="exact"/>
              <w:rPr>
                <w:sz w:val="20"/>
                <w:szCs w:val="20"/>
                <w:color w:val="auto"/>
              </w:rPr>
            </w:pPr>
            <w:r>
              <w:rPr>
                <w:rFonts w:ascii="Arial" w:cs="Arial" w:eastAsia="Arial" w:hAnsi="Arial"/>
                <w:sz w:val="18"/>
                <w:szCs w:val="18"/>
                <w:color w:val="auto"/>
                <w:w w:val="90"/>
              </w:rPr>
              <w:t>Preclinical</w:t>
            </w:r>
          </w:p>
        </w:tc>
        <w:tc>
          <w:tcPr>
            <w:tcW w:w="120" w:type="dxa"/>
            <w:vAlign w:val="bottom"/>
          </w:tcPr>
          <w:p>
            <w:pPr>
              <w:spacing w:after="0"/>
              <w:rPr>
                <w:sz w:val="16"/>
                <w:szCs w:val="16"/>
                <w:color w:val="auto"/>
              </w:rPr>
            </w:pPr>
          </w:p>
        </w:tc>
        <w:tc>
          <w:tcPr>
            <w:tcW w:w="2140" w:type="dxa"/>
            <w:vAlign w:val="bottom"/>
          </w:tcPr>
          <w:p>
            <w:pPr>
              <w:spacing w:after="0" w:line="189" w:lineRule="exact"/>
              <w:rPr>
                <w:sz w:val="20"/>
                <w:szCs w:val="20"/>
                <w:color w:val="auto"/>
              </w:rPr>
            </w:pPr>
            <w:r>
              <w:rPr>
                <w:rFonts w:ascii="Arial" w:cs="Arial" w:eastAsia="Arial" w:hAnsi="Arial"/>
                <w:sz w:val="18"/>
                <w:szCs w:val="18"/>
                <w:color w:val="auto"/>
              </w:rPr>
              <w:t>Initiate Phase 1/2</w:t>
            </w:r>
          </w:p>
        </w:tc>
      </w:tr>
      <w:tr>
        <w:trPr>
          <w:trHeight w:val="216"/>
        </w:trPr>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trial in 1H 2020</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w w:val="96"/>
              </w:rPr>
              <w:t>BNT212</w:t>
            </w:r>
          </w:p>
        </w:tc>
        <w:tc>
          <w:tcPr>
            <w:tcW w:w="4460" w:type="dxa"/>
            <w:vAlign w:val="bottom"/>
            <w:gridSpan w:val="2"/>
          </w:tcPr>
          <w:p>
            <w:pPr>
              <w:ind w:left="1120"/>
              <w:spacing w:after="0"/>
              <w:rPr>
                <w:sz w:val="20"/>
                <w:szCs w:val="20"/>
                <w:color w:val="auto"/>
              </w:rPr>
            </w:pPr>
            <w:r>
              <w:rPr>
                <w:rFonts w:ascii="Arial" w:cs="Arial" w:eastAsia="Arial" w:hAnsi="Arial"/>
                <w:sz w:val="18"/>
                <w:szCs w:val="18"/>
                <w:color w:val="auto"/>
              </w:rPr>
              <w:t>CLDN18.2</w:t>
            </w:r>
          </w:p>
        </w:tc>
        <w:tc>
          <w:tcPr>
            <w:tcW w:w="3660" w:type="dxa"/>
            <w:vAlign w:val="bottom"/>
            <w:gridSpan w:val="2"/>
          </w:tcPr>
          <w:p>
            <w:pPr>
              <w:jc w:val="right"/>
              <w:ind w:right="2499"/>
              <w:spacing w:after="0"/>
              <w:rPr>
                <w:sz w:val="20"/>
                <w:szCs w:val="20"/>
                <w:color w:val="auto"/>
              </w:rPr>
            </w:pPr>
            <w:r>
              <w:rPr>
                <w:rFonts w:ascii="Arial" w:cs="Arial" w:eastAsia="Arial" w:hAnsi="Arial"/>
                <w:sz w:val="18"/>
                <w:szCs w:val="18"/>
                <w:color w:val="auto"/>
              </w:rPr>
              <w:t>Preclinical</w:t>
            </w: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1180" w:hanging="544"/>
        <w:spacing w:after="0"/>
        <w:tabs>
          <w:tab w:leader="none" w:pos="1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TCRs</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The T cell receptor, or TCR, is part of a complex signaling machinery, which includes the TCR α and ß chains that are responsible for antigen recognition, the co-receptor CD4</w:t>
      </w:r>
      <w:r>
        <w:rPr>
          <w:rFonts w:ascii="Arial" w:cs="Arial" w:eastAsia="Arial" w:hAnsi="Arial"/>
          <w:sz w:val="13"/>
          <w:szCs w:val="13"/>
          <w:color w:val="auto"/>
        </w:rPr>
        <w:t>+</w:t>
      </w:r>
      <w:r>
        <w:rPr>
          <w:rFonts w:ascii="Arial" w:cs="Arial" w:eastAsia="Arial" w:hAnsi="Arial"/>
          <w:sz w:val="16"/>
          <w:szCs w:val="16"/>
          <w:color w:val="auto"/>
        </w:rPr>
        <w:t xml:space="preserve"> or CD8</w:t>
      </w:r>
      <w:r>
        <w:rPr>
          <w:rFonts w:ascii="Arial" w:cs="Arial" w:eastAsia="Arial" w:hAnsi="Arial"/>
          <w:sz w:val="13"/>
          <w:szCs w:val="13"/>
          <w:color w:val="auto"/>
        </w:rPr>
        <w:t>+</w:t>
      </w:r>
      <w:r>
        <w:rPr>
          <w:rFonts w:ascii="Arial" w:cs="Arial" w:eastAsia="Arial" w:hAnsi="Arial"/>
          <w:sz w:val="16"/>
          <w:szCs w:val="16"/>
          <w:color w:val="auto"/>
        </w:rPr>
        <w:t xml:space="preserve"> and the CD3 signal transduction complex. TCRs recognize antigens presented on the cell surface as small peptides loaded on the patients’ HLA molecules. Those peptides are derived from proteins after intracellular degradation. In contrast to CARs that recognize solely native membrane proteins, the repertoire of suitable TCR target antigens include TAAs and mutant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124460</wp:posOffset>
            </wp:positionV>
            <wp:extent cx="3430270" cy="31388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3027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TCR Complex. </w:t>
      </w:r>
      <w:r>
        <w:rPr>
          <w:rFonts w:ascii="Arial" w:cs="Arial" w:eastAsia="Arial" w:hAnsi="Arial"/>
          <w:sz w:val="14"/>
          <w:szCs w:val="14"/>
          <w:color w:val="auto"/>
        </w:rPr>
        <w:t>The illustration above shows the basic structure of a TCR complex.</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TCR Discovery and Validation Platform</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developed an integrated technology platform for the systematic identification of functional, fully human TCRs from single antigen-reactive T cells. This technology consists of a proprietary high-throughput approach for the fast retrieval, cloning and rapid validation of novel paired T cell receptor sequences. Our approach facilitates the isolation of tumor cell specific TCRs against multiple antigens and various HLA class I and II alleles.</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believe our TCR discovery technology has the potential to unlock an array of patient- and tumor-specific TCRs suitable for clinical use. We believe this technology has potential utility for:</w:t>
      </w:r>
    </w:p>
    <w:p>
      <w:pPr>
        <w:spacing w:after="0" w:line="76" w:lineRule="exact"/>
        <w:rPr>
          <w:sz w:val="20"/>
          <w:szCs w:val="20"/>
          <w:color w:val="auto"/>
        </w:rPr>
      </w:pPr>
    </w:p>
    <w:p>
      <w:pPr>
        <w:ind w:left="1180" w:hanging="436"/>
        <w:spacing w:after="0"/>
        <w:tabs>
          <w:tab w:leader="none" w:pos="1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therapeutic TCR products encompassing single TCRs to target a specific antigen;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therapeutic TCR warehouse encompassing multiple TCRs to target one or more tumor antigens; or</w:t>
      </w:r>
    </w:p>
    <w:p>
      <w:pPr>
        <w:spacing w:after="0" w:line="130" w:lineRule="exact"/>
        <w:rPr>
          <w:rFonts w:ascii="Arial" w:cs="Arial" w:eastAsia="Arial" w:hAnsi="Arial"/>
          <w:sz w:val="18"/>
          <w:szCs w:val="18"/>
          <w:color w:val="auto"/>
        </w:rPr>
      </w:pPr>
    </w:p>
    <w:p>
      <w:pPr>
        <w:ind w:left="1180" w:right="600" w:hanging="436"/>
        <w:spacing w:after="0" w:line="277" w:lineRule="auto"/>
        <w:tabs>
          <w:tab w:leader="none" w:pos="1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individualized T cell therapy involving on-demand identification and timely manufacturing of customized, engineered T cells with autologous TCRs against neoepitopes for adoptive transfer.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TCR Development Plan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and our collaborator Eli Lilly are studying potential TCR product candidates in preclinical studies. On September 5, 2019, Eli Lilly notified us that it has selected its first target under the collaboration.</w:t>
      </w:r>
    </w:p>
    <w:p>
      <w:pPr>
        <w:spacing w:after="0" w:line="315"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Antibodies Drug Class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the past decades, monoclonal antibodies, or mAbs, have transformed from scientific tools to powerful human therapeutics. As one of the fastest growing classes of drugs, to date, more than 40 mAbs have been approved to treat a variety of diseases including cancer, inflammation, autoimmune diseases and others. In addition, identified antigen-binding domains are also fundamental elements for the construction of novel therapeutic formats and formulations, such as CAR-T cells, bispecific therapeutics and targeted nanoparticles.</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have developed and integrated multiple complementary antibody and antibody-mimetic protein technologies into our overall portfolio of treatment approaches.</w:t>
      </w:r>
    </w:p>
    <w:p>
      <w:pPr>
        <w:spacing w:after="0" w:line="315" w:lineRule="exact"/>
        <w:rPr>
          <w:sz w:val="20"/>
          <w:szCs w:val="20"/>
          <w:color w:val="auto"/>
        </w:rPr>
      </w:pPr>
    </w:p>
    <w:p>
      <w:pPr>
        <w:ind w:left="1180" w:hanging="544"/>
        <w:spacing w:after="0"/>
        <w:tabs>
          <w:tab w:leader="none" w:pos="11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Our Next-generation Checkpoint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4662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1466215"/>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Next-generation Checkpoint Immunomodulators</w:t>
      </w:r>
    </w:p>
    <w:p>
      <w:pPr>
        <w:spacing w:after="0" w:line="127" w:lineRule="exact"/>
        <w:rPr>
          <w:sz w:val="20"/>
          <w:szCs w:val="20"/>
          <w:color w:val="auto"/>
        </w:rPr>
      </w:pPr>
    </w:p>
    <w:p>
      <w:pPr>
        <w:ind w:left="740" w:right="220" w:hanging="320"/>
        <w:spacing w:after="0" w:line="313" w:lineRule="auto"/>
        <w:tabs>
          <w:tab w:leader="none" w:pos="740" w:val="left"/>
        </w:tabs>
        <w:numPr>
          <w:ilvl w:val="0"/>
          <w:numId w:val="177"/>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Bispecific antibodies for dual immunomodulation, initially targeting 4-1BB, an immune checkpoint that is expressed on T cells and</w:t>
      </w:r>
      <w:r>
        <w:rPr>
          <w:rFonts w:ascii="Arial" w:cs="Arial" w:eastAsia="Arial" w:hAnsi="Arial"/>
          <w:sz w:val="17"/>
          <w:szCs w:val="17"/>
          <w:b w:val="1"/>
          <w:bCs w:val="1"/>
          <w:color w:val="auto"/>
        </w:rPr>
        <w:t xml:space="preserve"> </w:t>
      </w:r>
      <w:r>
        <w:rPr>
          <w:rFonts w:ascii="Arial" w:cs="Arial" w:eastAsia="Arial" w:hAnsi="Arial"/>
          <w:sz w:val="17"/>
          <w:szCs w:val="17"/>
          <w:color w:val="auto"/>
        </w:rPr>
        <w:t>NK cells and can enhance immune cell proliferation and activation, in combination with simultaneous checkpoint inhibition.</w:t>
      </w:r>
    </w:p>
    <w:p>
      <w:pPr>
        <w:spacing w:after="0" w:line="43" w:lineRule="exact"/>
        <w:rPr>
          <w:rFonts w:ascii="Arial" w:cs="Arial" w:eastAsia="Arial" w:hAnsi="Arial"/>
          <w:sz w:val="17"/>
          <w:szCs w:val="17"/>
          <w:color w:val="auto"/>
        </w:rPr>
      </w:pPr>
    </w:p>
    <w:p>
      <w:pPr>
        <w:ind w:left="740" w:right="240" w:hanging="320"/>
        <w:spacing w:after="0" w:line="347" w:lineRule="auto"/>
        <w:tabs>
          <w:tab w:leader="none" w:pos="740"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 xml:space="preserve">Mechanism: </w:t>
      </w:r>
      <w:r>
        <w:rPr>
          <w:rFonts w:ascii="Arial" w:cs="Arial" w:eastAsia="Arial" w:hAnsi="Arial"/>
          <w:sz w:val="16"/>
          <w:szCs w:val="16"/>
          <w:color w:val="auto"/>
        </w:rPr>
        <w:t>Conditional activation of 4-1BB checkpoint only upon simultaneous binding of PD-L1 or CD40 (in the case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potentially avoiding toxicities seen in prior attempts at 4-1BB agonism by localizing 4-1BB activation to the tumor environment.</w:t>
      </w:r>
    </w:p>
    <w:p>
      <w:pPr>
        <w:spacing w:after="0" w:line="21" w:lineRule="exact"/>
        <w:rPr>
          <w:rFonts w:ascii="Arial" w:cs="Arial" w:eastAsia="Arial" w:hAnsi="Arial"/>
          <w:sz w:val="16"/>
          <w:szCs w:val="16"/>
          <w:color w:val="auto"/>
        </w:rPr>
      </w:pPr>
    </w:p>
    <w:p>
      <w:pPr>
        <w:ind w:left="740" w:right="60" w:hanging="320"/>
        <w:spacing w:after="0" w:line="282"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Genmab, combining our and Genmab’s immunostimulatory antibodies and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immunology expertise with Genmab’s DuoBody bispecific antibody platform.</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GEN1046 (BNT311), our PD-L1x4-1BB product candidate for multiple solid tumors.</w:t>
      </w:r>
    </w:p>
    <w:p>
      <w:pPr>
        <w:spacing w:after="0" w:line="28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Following the success of immune checkpoint-blocking antibodies targeting CTLA-4, PD-1 or PD-L1 in cancer treatment, bispecific antibody approaches represent the next generation of emerging immunotherapies with the potential to further improve clinical efficacy. In addition to bispecific T cell engager formats, which redirect T-cell cytotoxicity to malignant cells, bispecific antibodies can be formatted as tumor-targeted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immunomodulators and dual immunomodulators. Tumor-targeted immunomodulators direct potent immune costimulation to the tumor-infiltrating immune cells, whereas dual immunomodulators simultaneously address two immunomodulating targets, resulting in blockade of inhibitory targets, depletion of suppressive cells or activation of immune effector cells.</w:t>
      </w:r>
    </w:p>
    <w:p>
      <w:pPr>
        <w:spacing w:after="0" w:line="181"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We are developing, in collaboration with Genmab, bispecific antibodies that function as tumor-targeted and dual immunomodulators, applying Genmab’s proprietary DuoBody</w:t>
      </w:r>
      <w:r>
        <w:rPr>
          <w:rFonts w:ascii="Arial" w:cs="Arial" w:eastAsia="Arial" w:hAnsi="Arial"/>
          <w:sz w:val="14"/>
          <w:szCs w:val="14"/>
          <w:color w:val="auto"/>
        </w:rPr>
        <w:t>®</w:t>
      </w:r>
      <w:r>
        <w:rPr>
          <w:rFonts w:ascii="Arial" w:cs="Arial" w:eastAsia="Arial" w:hAnsi="Arial"/>
          <w:sz w:val="17"/>
          <w:szCs w:val="17"/>
          <w:color w:val="auto"/>
        </w:rPr>
        <w:t xml:space="preserve"> technology in combination with our joint target identification and product concept expertise. These next-generation checkpoint immunomodulators are thought to induce beneficial co-stimulation, promoting specific T cell activation, survival, proliferation and T cell effector functions. Our collaboration encompasses three potential classes of immunotherapeutic bispecific antibodies:</w:t>
      </w:r>
    </w:p>
    <w:p>
      <w:pPr>
        <w:spacing w:after="0" w:line="77" w:lineRule="exact"/>
        <w:rPr>
          <w:sz w:val="20"/>
          <w:szCs w:val="20"/>
          <w:color w:val="auto"/>
        </w:rPr>
      </w:pPr>
    </w:p>
    <w:p>
      <w:pPr>
        <w:ind w:left="1180" w:right="220" w:hanging="436"/>
        <w:spacing w:after="0" w:line="264"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Tumor-targeted DuoBody molecules are bispecific antibodies targeting a tumor-specific antigen expressed by the malignant cell, and an immunomodulatory receptor expressed by tumor-infiltrating immune cells. This is expected to induce powerful activation of tumor-specific effector immune cells with reduced risk of immune-related adverse events.</w:t>
      </w:r>
    </w:p>
    <w:p>
      <w:pPr>
        <w:spacing w:after="0" w:line="86"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Cis-activating DuoBody molecules are bispecific antibodies that bind two distinct immunomodulating targets presented on the same cell. These targets are specifically expressed on activated immune cells with the rationale to boost existing immune responses by additive or synergistic effects of dual immunomodulation.</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Trans-activating DuoBody molecules are bispecific antibodies that bind two distinct immunomodulating targets expressed on two separate cell subsets. By simultaneously targeting, for example, effector immune cells and antigen-presenting cells, these compounds are thought to amplify the immune cell priming process and augment subsequent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141605</wp:posOffset>
            </wp:positionV>
            <wp:extent cx="2324100" cy="24784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241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right="60"/>
        <w:spacing w:after="0" w:line="259" w:lineRule="auto"/>
        <w:rPr>
          <w:sz w:val="20"/>
          <w:szCs w:val="20"/>
          <w:color w:val="auto"/>
        </w:rPr>
      </w:pPr>
      <w:r>
        <w:rPr>
          <w:rFonts w:ascii="Arial" w:cs="Arial" w:eastAsia="Arial" w:hAnsi="Arial"/>
          <w:sz w:val="14"/>
          <w:szCs w:val="14"/>
          <w:b w:val="1"/>
          <w:bCs w:val="1"/>
          <w:color w:val="auto"/>
        </w:rPr>
        <w:t xml:space="preserve">Next-generation checkpoint immunomodulators. </w:t>
      </w:r>
      <w:r>
        <w:rPr>
          <w:rFonts w:ascii="Arial" w:cs="Arial" w:eastAsia="Arial" w:hAnsi="Arial"/>
          <w:sz w:val="14"/>
          <w:szCs w:val="14"/>
          <w:color w:val="auto"/>
        </w:rPr>
        <w:t>Our collaboration with Genmab potentially includes bispecific antibodies from three different classes: trans-activating, cis-activating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tumor-targeting antibodies.</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Next-generation Checkpoint Immunomodulator Development Plan</w:t>
      </w:r>
    </w:p>
    <w:p>
      <w:pPr>
        <w:spacing w:after="0" w:line="117"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We are currently developing two next-generation checkpoint immunomodulator product candidates in collaboration with Genmab: GEN1046 (BNT311), our jointly owned PDL1x4-1BB bispecific antibody, and GEN1042 (BNT312), our jointly owned CD40x4-1BB bispecific antibody.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40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Targets</w:t>
            </w:r>
          </w:p>
        </w:tc>
        <w:tc>
          <w:tcPr>
            <w:tcW w:w="200" w:type="dxa"/>
            <w:vAlign w:val="bottom"/>
          </w:tcPr>
          <w:p>
            <w:pPr>
              <w:spacing w:after="0"/>
              <w:rPr>
                <w:sz w:val="16"/>
                <w:szCs w:val="16"/>
                <w:color w:val="auto"/>
              </w:rPr>
            </w:pPr>
          </w:p>
        </w:tc>
        <w:tc>
          <w:tcPr>
            <w:tcW w:w="4960" w:type="dxa"/>
            <w:vAlign w:val="bottom"/>
          </w:tcPr>
          <w:p>
            <w:pPr>
              <w:ind w:left="188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1980" w:type="dxa"/>
            <w:vAlign w:val="bottom"/>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0"/>
              </w:rPr>
              <w:t>GEN1046</w:t>
            </w:r>
          </w:p>
        </w:tc>
        <w:tc>
          <w:tcPr>
            <w:tcW w:w="126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(BNT311)</w:t>
            </w:r>
          </w:p>
        </w:tc>
        <w:tc>
          <w:tcPr>
            <w:tcW w:w="400" w:type="dxa"/>
            <w:vAlign w:val="bottom"/>
          </w:tcPr>
          <w:p>
            <w:pPr>
              <w:spacing w:after="0"/>
              <w:rPr>
                <w:sz w:val="16"/>
                <w:szCs w:val="16"/>
                <w:color w:val="auto"/>
              </w:rPr>
            </w:pPr>
          </w:p>
        </w:tc>
        <w:tc>
          <w:tcPr>
            <w:tcW w:w="1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PD-L1x4-1BB</w:t>
            </w:r>
          </w:p>
        </w:tc>
        <w:tc>
          <w:tcPr>
            <w:tcW w:w="200" w:type="dxa"/>
            <w:vAlign w:val="bottom"/>
          </w:tcPr>
          <w:p>
            <w:pPr>
              <w:spacing w:after="0"/>
              <w:rPr>
                <w:sz w:val="16"/>
                <w:szCs w:val="16"/>
                <w:color w:val="auto"/>
              </w:rPr>
            </w:pPr>
          </w:p>
        </w:tc>
        <w:tc>
          <w:tcPr>
            <w:tcW w:w="4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1/2a trial in multiple solid tumors</w:t>
            </w:r>
          </w:p>
        </w:tc>
        <w:tc>
          <w:tcPr>
            <w:tcW w:w="140" w:type="dxa"/>
            <w:vAlign w:val="bottom"/>
          </w:tcPr>
          <w:p>
            <w:pPr>
              <w:spacing w:after="0"/>
              <w:rPr>
                <w:sz w:val="16"/>
                <w:szCs w:val="16"/>
                <w:color w:val="auto"/>
              </w:rPr>
            </w:pPr>
          </w:p>
        </w:tc>
        <w:tc>
          <w:tcPr>
            <w:tcW w:w="1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Data update in 1H 2021</w:t>
            </w:r>
          </w:p>
        </w:tc>
      </w:tr>
      <w:tr>
        <w:trPr>
          <w:trHeight w:val="230"/>
        </w:trPr>
        <w:tc>
          <w:tcPr>
            <w:tcW w:w="1920" w:type="dxa"/>
            <w:vAlign w:val="bottom"/>
            <w:gridSpan w:val="2"/>
          </w:tcPr>
          <w:p>
            <w:pPr>
              <w:jc w:val="right"/>
              <w:ind w:right="310"/>
              <w:spacing w:after="0"/>
              <w:rPr>
                <w:sz w:val="20"/>
                <w:szCs w:val="20"/>
                <w:color w:val="auto"/>
              </w:rPr>
            </w:pPr>
            <w:r>
              <w:rPr>
                <w:rFonts w:ascii="Arial" w:cs="Arial" w:eastAsia="Arial" w:hAnsi="Arial"/>
                <w:sz w:val="18"/>
                <w:szCs w:val="18"/>
                <w:color w:val="auto"/>
                <w:w w:val="92"/>
              </w:rPr>
              <w:t>GEN1042 (BNT312)</w:t>
            </w:r>
          </w:p>
        </w:tc>
        <w:tc>
          <w:tcPr>
            <w:tcW w:w="1840" w:type="dxa"/>
            <w:vAlign w:val="bottom"/>
            <w:gridSpan w:val="2"/>
          </w:tcPr>
          <w:p>
            <w:pPr>
              <w:ind w:left="400"/>
              <w:spacing w:after="0"/>
              <w:rPr>
                <w:sz w:val="20"/>
                <w:szCs w:val="20"/>
                <w:color w:val="auto"/>
              </w:rPr>
            </w:pPr>
            <w:r>
              <w:rPr>
                <w:rFonts w:ascii="Arial" w:cs="Arial" w:eastAsia="Arial" w:hAnsi="Arial"/>
                <w:sz w:val="18"/>
                <w:szCs w:val="18"/>
                <w:color w:val="auto"/>
              </w:rPr>
              <w:t>CD-40x4-1BB</w:t>
            </w: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Phase 1/2a trial in multiple solid tumors</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1180" w:hanging="544"/>
        <w:spacing w:after="0"/>
        <w:tabs>
          <w:tab w:leader="none" w:pos="1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Discovery Engines</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believe that our multiple antibody discovery engines significantly expand our targeting repertoire and enable us to directly, rapidly and efficiently produce new mAb candidates. In addition, antigen-binding domain sequences identified through our antibody discovery engines also feed into our proprietary CAR T cell and mRNA-encoded RiboMab platforms as well as our next-generation checkpoint immunomodulator collaboration. For instance, binders to human 4-1BB were identified from a previous antibody generation campaign and are currently under clinical and preclinical development as part of our next-generation checkpoint immunomodulator collaboration with Genmab. HuMab, our human antibody discovery engine acquired from MabVax Therapeutics in 2019, led to the clinical development of our fully human IgG1 monoclonal antibody product candidate targeting Sialyl Lewis</w:t>
      </w:r>
      <w:r>
        <w:rPr>
          <w:rFonts w:ascii="Arial" w:cs="Arial" w:eastAsia="Arial" w:hAnsi="Arial"/>
          <w:sz w:val="13"/>
          <w:szCs w:val="13"/>
          <w:color w:val="auto"/>
        </w:rPr>
        <w:t>a</w:t>
      </w:r>
      <w:r>
        <w:rPr>
          <w:rFonts w:ascii="Arial" w:cs="Arial" w:eastAsia="Arial" w:hAnsi="Arial"/>
          <w:sz w:val="16"/>
          <w:szCs w:val="16"/>
          <w:color w:val="auto"/>
        </w:rPr>
        <w:t xml:space="preserve"> (sLe</w:t>
      </w:r>
      <w:r>
        <w:rPr>
          <w:rFonts w:ascii="Arial" w:cs="Arial" w:eastAsia="Arial" w:hAnsi="Arial"/>
          <w:sz w:val="13"/>
          <w:szCs w:val="13"/>
          <w:color w:val="auto"/>
        </w:rPr>
        <w:t>a</w:t>
      </w:r>
      <w:r>
        <w:rPr>
          <w:rFonts w:ascii="Arial" w:cs="Arial" w:eastAsia="Arial" w:hAnsi="Arial"/>
          <w:sz w:val="16"/>
          <w:szCs w:val="16"/>
          <w:color w:val="auto"/>
        </w:rPr>
        <w:t>), a carbohydrate moiety that is present in over 90% of pancreatic and a large percentage of gastrointestinal cancers.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Rabbit-based Antibody Discovery Engine</w:t>
      </w:r>
    </w:p>
    <w:p>
      <w:pPr>
        <w:spacing w:after="0" w:line="117"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With the acquisition of MAB Discovery GmbH’s antibody generation unit in 2019, we integrated a unique and proprietary rabbit-based antibody discovery platform that can generate and develop high quality, functional mAbs targeting traditional proteins and receptors as well as a wide variety of more challenging targets. Rabbit monoclonal antibodies are highly diverse and do not require affinity maturation, due to consistently high affinities.</w:t>
      </w:r>
    </w:p>
    <w:p>
      <w:pPr>
        <w:ind w:left="200"/>
        <w:spacing w:after="0" w:line="302" w:lineRule="auto"/>
        <w:rPr>
          <w:sz w:val="20"/>
          <w:szCs w:val="20"/>
          <w:color w:val="auto"/>
        </w:rPr>
      </w:pPr>
      <w:r>
        <w:rPr>
          <w:rFonts w:ascii="Arial" w:cs="Arial" w:eastAsia="Arial" w:hAnsi="Arial"/>
          <w:sz w:val="16"/>
          <w:szCs w:val="16"/>
          <w:color w:val="auto"/>
        </w:rPr>
        <w:t>They often recognize epitopes on human antigens that are not immunogenic in rodents, thus increasing the total number of targetable epitopes. The mechanisms of antibody diversification in rabbits allow an easy and quick translation of preclinical data into the clinic with an improved probability of success. We established a streamlined semi-automated process of rabbit immunization for the efficient production of high-affinity rabbit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125095</wp:posOffset>
            </wp:positionV>
            <wp:extent cx="5205730" cy="3327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057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rabbit-based antibody discovery engine. </w:t>
      </w:r>
      <w:r>
        <w:rPr>
          <w:rFonts w:ascii="Arial" w:cs="Arial" w:eastAsia="Arial" w:hAnsi="Arial"/>
          <w:sz w:val="14"/>
          <w:szCs w:val="14"/>
          <w:color w:val="auto"/>
        </w:rPr>
        <w:t>The figure above depicts our semi-automated process for the discovery and production of high-affinity rabbit mAbs.</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240" w:top="460" w:right="5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Fully Human Antibody Discovery Engine</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HuMab discovery technology focuses on abnormal carbohydrate targets upregulated on solid tumors. Aberrant glycosylation is a common phenotypic change of cancer cells that mainly affects the outer part of glycans. These abnormal carbohydrate structures are known as tumor-associated carbohydrate antigens, or TACAs, and are associated with malignancy grade, invasion, metastasis and poor prognosis. TACAs are considered promising novel targets for therapeutic intervention using, in particular, mAbs or CAR-T cells. However, TACAs usually induce only low-affinity humoral immune responses, since carbohydrate moieties do not trigger the necessary T cell responses.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Using B cell sorting, hit identification, sequencing, antibody production and high-throughput antibody screening, we are able to select optimal TACA-specific antibodies from multiple clinically confirmed immunotherapy responders. All antibodies emanating from this platform are fully human with no need for additional humanization at minimal risk for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88585" cy="22212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right="140"/>
        <w:spacing w:after="0" w:line="259" w:lineRule="auto"/>
        <w:rPr>
          <w:sz w:val="20"/>
          <w:szCs w:val="20"/>
          <w:color w:val="auto"/>
        </w:rPr>
      </w:pPr>
      <w:r>
        <w:rPr>
          <w:rFonts w:ascii="Arial" w:cs="Arial" w:eastAsia="Arial" w:hAnsi="Arial"/>
          <w:sz w:val="14"/>
          <w:szCs w:val="14"/>
          <w:b w:val="1"/>
          <w:bCs w:val="1"/>
          <w:color w:val="auto"/>
        </w:rPr>
        <w:t xml:space="preserve">Our fully human antibody discovery engine. </w:t>
      </w:r>
      <w:r>
        <w:rPr>
          <w:rFonts w:ascii="Arial" w:cs="Arial" w:eastAsia="Arial" w:hAnsi="Arial"/>
          <w:sz w:val="14"/>
          <w:szCs w:val="14"/>
          <w:color w:val="auto"/>
        </w:rPr>
        <w:t>The figure above shows our proprietary approach to the discovery and development of novel fully human antibody therapeutic and diagnostic</w:t>
      </w:r>
      <w:r>
        <w:rPr>
          <w:rFonts w:ascii="Arial" w:cs="Arial" w:eastAsia="Arial" w:hAnsi="Arial"/>
          <w:sz w:val="14"/>
          <w:szCs w:val="14"/>
          <w:b w:val="1"/>
          <w:bCs w:val="1"/>
          <w:color w:val="auto"/>
        </w:rPr>
        <w:t xml:space="preserve"> </w:t>
      </w:r>
      <w:r>
        <w:rPr>
          <w:rFonts w:ascii="Arial" w:cs="Arial" w:eastAsia="Arial" w:hAnsi="Arial"/>
          <w:sz w:val="14"/>
          <w:szCs w:val="14"/>
          <w:color w:val="auto"/>
        </w:rPr>
        <w:t>agents.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Targeted Cancer Antibody Development Plan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Candidate</w:t>
            </w:r>
          </w:p>
        </w:tc>
        <w:tc>
          <w:tcPr>
            <w:tcW w:w="1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Targets</w:t>
            </w:r>
          </w:p>
        </w:tc>
        <w:tc>
          <w:tcPr>
            <w:tcW w:w="200" w:type="dxa"/>
            <w:vAlign w:val="bottom"/>
          </w:tcPr>
          <w:p>
            <w:pPr>
              <w:spacing w:after="0"/>
              <w:rPr>
                <w:sz w:val="16"/>
                <w:szCs w:val="16"/>
                <w:color w:val="auto"/>
              </w:rPr>
            </w:pPr>
          </w:p>
        </w:tc>
        <w:tc>
          <w:tcPr>
            <w:tcW w:w="5400" w:type="dxa"/>
            <w:vAlign w:val="bottom"/>
            <w:tcBorders>
              <w:bottom w:val="single" w:sz="8" w:color="auto"/>
            </w:tcBorders>
          </w:tcPr>
          <w:p>
            <w:pPr>
              <w:jc w:val="right"/>
              <w:ind w:right="2019"/>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2120" w:type="dxa"/>
            <w:vAlign w:val="bottom"/>
            <w:gridSpan w:val="2"/>
          </w:tcPr>
          <w:p>
            <w:pPr>
              <w:spacing w:after="0" w:line="189" w:lineRule="exact"/>
              <w:rPr>
                <w:sz w:val="20"/>
                <w:szCs w:val="20"/>
                <w:color w:val="auto"/>
              </w:rPr>
            </w:pPr>
            <w:r>
              <w:rPr>
                <w:rFonts w:ascii="Arial" w:cs="Arial" w:eastAsia="Arial" w:hAnsi="Arial"/>
                <w:sz w:val="18"/>
                <w:szCs w:val="18"/>
                <w:color w:val="auto"/>
              </w:rPr>
              <w:t>MVT-5873 (BNT321)</w:t>
            </w:r>
          </w:p>
        </w:tc>
        <w:tc>
          <w:tcPr>
            <w:tcW w:w="52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Arial" w:cs="Arial" w:eastAsia="Arial" w:hAnsi="Arial"/>
                <w:sz w:val="18"/>
                <w:szCs w:val="18"/>
                <w:color w:val="auto"/>
              </w:rPr>
              <w:t>sLe</w:t>
            </w:r>
            <w:r>
              <w:rPr>
                <w:rFonts w:ascii="Arial" w:cs="Arial" w:eastAsia="Arial" w:hAnsi="Arial"/>
                <w:sz w:val="15"/>
                <w:szCs w:val="15"/>
                <w:color w:val="auto"/>
              </w:rPr>
              <w:t>a</w:t>
            </w:r>
          </w:p>
        </w:tc>
        <w:tc>
          <w:tcPr>
            <w:tcW w:w="200" w:type="dxa"/>
            <w:vAlign w:val="bottom"/>
          </w:tcPr>
          <w:p>
            <w:pPr>
              <w:spacing w:after="0"/>
              <w:rPr>
                <w:sz w:val="16"/>
                <w:szCs w:val="16"/>
                <w:color w:val="auto"/>
              </w:rPr>
            </w:pPr>
          </w:p>
        </w:tc>
        <w:tc>
          <w:tcPr>
            <w:tcW w:w="5400" w:type="dxa"/>
            <w:vAlign w:val="bottom"/>
          </w:tcPr>
          <w:p>
            <w:pPr>
              <w:jc w:val="right"/>
              <w:ind w:right="859"/>
              <w:spacing w:after="0" w:line="189" w:lineRule="exact"/>
              <w:rPr>
                <w:sz w:val="20"/>
                <w:szCs w:val="20"/>
                <w:color w:val="auto"/>
              </w:rPr>
            </w:pPr>
            <w:r>
              <w:rPr>
                <w:rFonts w:ascii="Arial" w:cs="Arial" w:eastAsia="Arial" w:hAnsi="Arial"/>
                <w:sz w:val="18"/>
                <w:szCs w:val="18"/>
                <w:color w:val="auto"/>
                <w:w w:val="90"/>
              </w:rPr>
              <w:t>Phase 1 basket trial in multiple solid tumors; currently paused</w:t>
            </w:r>
          </w:p>
        </w:tc>
        <w:tc>
          <w:tcPr>
            <w:tcW w:w="16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Arial" w:cs="Arial" w:eastAsia="Arial" w:hAnsi="Arial"/>
                <w:sz w:val="18"/>
                <w:szCs w:val="18"/>
                <w:color w:val="auto"/>
                <w:w w:val="89"/>
              </w:rPr>
              <w:t>Resume Phase 1 trial in 2H</w:t>
            </w:r>
          </w:p>
        </w:tc>
      </w:tr>
      <w:tr>
        <w:trPr>
          <w:trHeight w:val="230"/>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2019</w:t>
            </w:r>
          </w:p>
        </w:tc>
      </w:tr>
      <w:tr>
        <w:trPr>
          <w:trHeight w:val="365"/>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0" w:type="dxa"/>
            <w:vAlign w:val="bottom"/>
            <w:gridSpan w:val="2"/>
          </w:tcPr>
          <w:p>
            <w:pPr>
              <w:jc w:val="right"/>
              <w:ind w:right="3179"/>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6"/>
          <w:szCs w:val="16"/>
          <w:b w:val="1"/>
          <w:bCs w:val="1"/>
          <w:color w:val="auto"/>
        </w:rPr>
        <w:t>Our Small Molecule Immunomodulator Drug Class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Our Small Molecule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0033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1003300"/>
                    </a:xfrm>
                    <a:prstGeom prst="rect">
                      <a:avLst/>
                    </a:prstGeom>
                    <a:noFill/>
                  </pic:spPr>
                </pic:pic>
              </a:graphicData>
            </a:graphic>
          </wp:anchor>
        </w:drawing>
      </w:r>
    </w:p>
    <w:p>
      <w:pPr>
        <w:spacing w:after="0" w:line="107" w:lineRule="exact"/>
        <w:rPr>
          <w:sz w:val="20"/>
          <w:szCs w:val="20"/>
          <w:color w:val="auto"/>
        </w:rPr>
      </w:pPr>
    </w:p>
    <w:p>
      <w:pPr>
        <w:ind w:left="560" w:right="140" w:hanging="266"/>
        <w:spacing w:after="0" w:line="282" w:lineRule="auto"/>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Small molecule therapies, with a specific focus on TLRs, that can be used synergistically with other cancer therapeutics, including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in our portfolio.</w:t>
      </w:r>
    </w:p>
    <w:p>
      <w:pPr>
        <w:spacing w:after="0" w:line="67" w:lineRule="exact"/>
        <w:rPr>
          <w:rFonts w:ascii="Arial" w:cs="Arial" w:eastAsia="Arial" w:hAnsi="Arial"/>
          <w:sz w:val="18"/>
          <w:szCs w:val="18"/>
          <w:color w:val="auto"/>
        </w:rPr>
      </w:pPr>
    </w:p>
    <w:p>
      <w:pPr>
        <w:ind w:left="540" w:hanging="24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wholly-owned.</w:t>
      </w:r>
    </w:p>
    <w:p>
      <w:pPr>
        <w:spacing w:after="0" w:line="130" w:lineRule="exact"/>
        <w:rPr>
          <w:rFonts w:ascii="Arial" w:cs="Arial" w:eastAsia="Arial" w:hAnsi="Arial"/>
          <w:sz w:val="18"/>
          <w:szCs w:val="18"/>
          <w:color w:val="auto"/>
        </w:rPr>
      </w:pPr>
    </w:p>
    <w:p>
      <w:pPr>
        <w:ind w:left="540" w:hanging="24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BNT411, our TLR7 agonist product candidate intended for combination therapies.</w:t>
      </w:r>
    </w:p>
    <w:p>
      <w:pPr>
        <w:spacing w:after="0" w:line="36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Small molecule cancer therapeutics can be used to regulate cancer growth, halt blood vessel formation in tumors, deliver toxins to cancer cells and mark cancer cells for destruction by the immune system. Unlike larger antibody-based cancer therapies, small molecule compounds are often developed for targets located within cells since they can enter the cells more easily as a result of their physical properties and low molecular weight. Small molecules also often have other intrinsic benefits including relative ease and cost of production compared to larger compounds, as well as more frequently having the potential for oral administration to patients. They can also often be used synergistically in combination with other therapeutics such as mRNA, checkpoint inhibitors, radiation therapy and chemotherapy.</w:t>
      </w:r>
    </w:p>
    <w:p>
      <w:pPr>
        <w:spacing w:after="0" w:line="178"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We aim to discover and develop the next generation of small molecule immunomodulatory compounds to improve the standard of care. We have a team of approximately 25 scientists and technicians, with extensive small molecule experience, focused on drug discovery.</w:t>
      </w:r>
    </w:p>
    <w:p>
      <w:pPr>
        <w:spacing w:after="0" w:line="14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immunomodulatory small molecule product class focuses on a range of endosomal and intracellular targets that are known to stimulate the activity of a wide range of immune cells. We have a particular emphasis on TLRs. TLRs are a family of pattern recognition receptors that function as primary sensors of the innate immune system to recognize pathogens. We believe TLRs represent a promising target class for cancer immunotherapy, particularly for inflammatory re-programming of the tumor microenvironment. In many cancers, tumors are protected by an anti-inflammatory environment, which reduces the ability of the immune system to attack the cancer cells. TLR7 agonists are able to initiate a direct cellular immune response, for example, by activating immature dendritic cells, cytotoxic T cells and NK cells, as well as stimulating the release of signal molecules such as cytokines and chemokines including IFN-α and IP-10, which can be directed against tumor cells. The activation of the innate and adaptive immune system and the release of cytokines and chemokines, for instance by our small molecule TLR7 agonist, results in the potent stimulation of antigen-specific T cells, B cells and innate immune cells such as NK cells and macrophages.</w:t>
      </w:r>
    </w:p>
    <w:p>
      <w:pPr>
        <w:spacing w:after="0" w:line="18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initial focus is on small molecule product candidates that activate the innate and adaptive immune system via TLR7 and are designed to be used in combination with chemotherapeutics as well as checkpoint inhibitors.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Small Molecule Immunomodulator Development Plan</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initial development candidate is a potent TLR7 agonist, which we plan to develop as a combination therapy for small cell lung cancer and other solid tumors.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17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3180" w:type="dxa"/>
            <w:vAlign w:val="bottom"/>
          </w:tcPr>
          <w:p>
            <w:pPr>
              <w:ind w:left="1260"/>
              <w:spacing w:after="0" w:line="195" w:lineRule="exact"/>
              <w:rPr>
                <w:sz w:val="20"/>
                <w:szCs w:val="20"/>
                <w:color w:val="auto"/>
              </w:rPr>
            </w:pPr>
            <w:r>
              <w:rPr>
                <w:rFonts w:ascii="Arial" w:cs="Arial" w:eastAsia="Arial" w:hAnsi="Arial"/>
                <w:sz w:val="18"/>
                <w:szCs w:val="18"/>
                <w:color w:val="auto"/>
              </w:rPr>
              <w:t>BNT411</w:t>
            </w:r>
          </w:p>
        </w:tc>
        <w:tc>
          <w:tcPr>
            <w:tcW w:w="220" w:type="dxa"/>
            <w:vAlign w:val="bottom"/>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TLR7</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w w:val="95"/>
              </w:rPr>
              <w:t>Initiate Phase 1 trial in 1H</w:t>
            </w:r>
          </w:p>
        </w:tc>
      </w:tr>
      <w:tr>
        <w:trPr>
          <w:trHeight w:val="230"/>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2020</w:t>
            </w:r>
          </w:p>
        </w:tc>
      </w:tr>
      <w:tr>
        <w:trPr>
          <w:trHeight w:val="365"/>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XII. OUR PRODUCT CANDIDATES</w:t>
      </w:r>
    </w:p>
    <w:p>
      <w:pPr>
        <w:spacing w:after="0" w:line="94"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are developing a broad and deep pipeline of over 20 product candidates across our four drug classes. Our product candidates are currently being investigated in eight clinical trials, and we expect to have up to 10 product candidates in the clinic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037580" cy="637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7580"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hanging="116"/>
        <w:spacing w:after="0"/>
        <w:tabs>
          <w:tab w:leader="none" w:pos="320" w:val="left"/>
        </w:tabs>
        <w:numPr>
          <w:ilvl w:val="0"/>
          <w:numId w:val="183"/>
        </w:numPr>
        <w:rPr>
          <w:rFonts w:ascii="Arial" w:cs="Arial" w:eastAsia="Arial" w:hAnsi="Arial"/>
          <w:sz w:val="9"/>
          <w:szCs w:val="9"/>
          <w:color w:val="auto"/>
        </w:rPr>
      </w:pPr>
      <w:r>
        <w:rPr>
          <w:rFonts w:ascii="Arial" w:cs="Arial" w:eastAsia="Arial" w:hAnsi="Arial"/>
          <w:sz w:val="11"/>
          <w:szCs w:val="11"/>
          <w:color w:val="auto"/>
        </w:rPr>
        <w:t>BNT113 is currently being studied in an investigator-initiated Phase 1 trial</w:t>
      </w:r>
    </w:p>
    <w:p>
      <w:pPr>
        <w:spacing w:after="0" w:line="3"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0"/>
          <w:szCs w:val="10"/>
          <w:color w:val="auto"/>
        </w:rPr>
        <w:t>We are eligible to receive worldwide licenses</w:t>
      </w:r>
    </w:p>
    <w:p>
      <w:pPr>
        <w:spacing w:after="0" w:line="6"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Protein Replacement Therapy</w:t>
      </w:r>
    </w:p>
    <w:p>
      <w:pPr>
        <w:spacing w:after="0" w:line="6" w:lineRule="exact"/>
        <w:rPr>
          <w:rFonts w:ascii="Arial" w:cs="Arial" w:eastAsia="Arial" w:hAnsi="Arial"/>
          <w:sz w:val="9"/>
          <w:szCs w:val="9"/>
          <w:color w:val="auto"/>
        </w:rPr>
      </w:pPr>
    </w:p>
    <w:p>
      <w:pPr>
        <w:ind w:left="200" w:right="1540"/>
        <w:spacing w:after="0" w:line="281"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0"/>
          <w:szCs w:val="10"/>
          <w:color w:val="auto"/>
        </w:rPr>
        <w:t>We expect this topline data update to include an update on the ongoing study, including patient enrollment numbers, with full efficacy and safety data for an interim update expected in the second half of 2021.</w:t>
      </w:r>
      <w:r>
        <w:rPr>
          <w:rFonts w:ascii="Arial" w:cs="Arial" w:eastAsia="Arial" w:hAnsi="Arial"/>
          <w:sz w:val="9"/>
          <w:szCs w:val="9"/>
          <w:color w:val="auto"/>
        </w:rPr>
        <w:t xml:space="preserve"> 5 </w:t>
      </w:r>
      <w:r>
        <w:rPr>
          <w:rFonts w:ascii="Arial" w:cs="Arial" w:eastAsia="Arial" w:hAnsi="Arial"/>
          <w:sz w:val="10"/>
          <w:szCs w:val="10"/>
          <w:color w:val="auto"/>
        </w:rPr>
        <w:t>As the trial is sponsored and conducted by Sanofi, the timing of data updates is not under our control, and is subject to change by Sanofi.</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840"/>
          </w:cols>
          <w:pgMar w:left="240" w:top="460" w:right="8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544"/>
        <w:spacing w:after="0"/>
        <w:tabs>
          <w:tab w:leader="none" w:pos="11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Our mRNA Product Class in Oncology</w:t>
      </w:r>
    </w:p>
    <w:p>
      <w:pPr>
        <w:spacing w:after="0" w:line="135" w:lineRule="exact"/>
        <w:rPr>
          <w:sz w:val="20"/>
          <w:szCs w:val="20"/>
          <w:color w:val="auto"/>
        </w:rPr>
      </w:pPr>
    </w:p>
    <w:p>
      <w:pPr>
        <w:ind w:left="1620" w:hanging="430"/>
        <w:spacing w:after="0"/>
        <w:tabs>
          <w:tab w:leader="none" w:pos="1620" w:val="left"/>
        </w:tabs>
        <w:numPr>
          <w:ilvl w:val="0"/>
          <w:numId w:val="1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117"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FixVac is our wholly-owned, systemic, off-the-shelf mRNA-based cancer immunotherapy platform, from which we are developing several first-in-human and potential first-in-class product candidates. Our FixVac product candidates contain selected combinations of pharmacologically optimized uridine mRNA encoding known cancer-specific shared antigens. FixVac product candidates feature our proprietary immunogenic mRNA backbone and proprietary RNA-LPX delivery formulation, which are designed to enhance stability and translation as well as trigger both innate and adaptive immune responses.</w:t>
      </w:r>
    </w:p>
    <w:p>
      <w:pPr>
        <w:spacing w:after="0" w:line="333" w:lineRule="exact"/>
        <w:rPr>
          <w:sz w:val="20"/>
          <w:szCs w:val="20"/>
          <w:color w:val="auto"/>
        </w:rPr>
      </w:pPr>
    </w:p>
    <w:p>
      <w:pPr>
        <w:ind w:left="2180" w:hanging="545"/>
        <w:spacing w:after="0"/>
        <w:tabs>
          <w:tab w:leader="none" w:pos="2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BNT111: Our FixVac Cancer Immunotherapy for the Treatment of Advanced Melanoma</w:t>
      </w:r>
    </w:p>
    <w:p>
      <w:pPr>
        <w:spacing w:after="0" w:line="121"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We are developing our mRNA-based FixVac product candidate BNT111 for the treatment of advanced melanoma in patients with metastatic tumors and as an adjuvant treatment after tumor resection. We are currently studying BNT111 in an ongoing Phase 1 clinical trial.</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Melanoma</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Melanoma is an increasingly prevalent, deadly form of skin cancer in which melanocytes, which are the cells that color the skin, form malignant cells. With 132,000 new cases diagnosed globally each year, melanoma constitutes less than five percent of all skin cancers. In recent decades, however, the incidence rate of melanoma has risen faster than almost any other cancer type, on average by 1.5% per year over the last 10 years. In 2018, approximately 91,000 new melanoma cases were diagnosed in the United States, representing 5.3% of all new cancer cases in the United States.</w:t>
      </w:r>
    </w:p>
    <w:p>
      <w:pPr>
        <w:spacing w:after="0" w:line="154"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Melanoma is the most lethal form of skin cancer, accounting for the majority of skin cancer deaths. There were an estimated 9,300 deaths from melanoma in the United States in 2018. While the five-year survival rate for melanoma, regardless of disease stage, is approximately 91.8%, patients with stage III melanoma have a five-year survival rate of approximately 63%. The five-year survival rate for metastatic melanoma (stage IV) is approximately 20%.</w:t>
      </w:r>
    </w:p>
    <w:p>
      <w:pPr>
        <w:spacing w:after="0" w:line="187" w:lineRule="exact"/>
        <w:rPr>
          <w:sz w:val="20"/>
          <w:szCs w:val="20"/>
          <w:color w:val="auto"/>
        </w:rPr>
      </w:pPr>
    </w:p>
    <w:p>
      <w:pPr>
        <w:jc w:val="both"/>
        <w:ind w:left="200" w:right="580" w:firstLine="441"/>
        <w:spacing w:after="0" w:line="286" w:lineRule="auto"/>
        <w:rPr>
          <w:sz w:val="20"/>
          <w:szCs w:val="20"/>
          <w:color w:val="auto"/>
        </w:rPr>
      </w:pPr>
      <w:r>
        <w:rPr>
          <w:rFonts w:ascii="Arial" w:cs="Arial" w:eastAsia="Arial" w:hAnsi="Arial"/>
          <w:sz w:val="17"/>
          <w:szCs w:val="17"/>
          <w:color w:val="auto"/>
        </w:rPr>
        <w:t>The current treatment regimen involves surgical removal for earlier stages, while a number of targeted therapies, such as BRAF and MEK inhibitors, and checkpoint inhibitors, or CPIs, are approved for advanced disease. CPIs include nivolumab (Opdivo) for advanced or metastatic melanoma after resection, and pembrolizumab (Keytruda) in unresectable or metastatic disease.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BNT111 Targets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BNT111 is designed to elicit an immune response to the following four antigens that have each been found to be associated with melanoma:</w:t>
      </w:r>
    </w:p>
    <w:p>
      <w:pPr>
        <w:spacing w:after="0" w:line="154" w:lineRule="exact"/>
        <w:rPr>
          <w:sz w:val="20"/>
          <w:szCs w:val="20"/>
          <w:color w:val="auto"/>
        </w:rPr>
      </w:pPr>
    </w:p>
    <w:p>
      <w:pPr>
        <w:ind w:left="1180" w:right="220" w:hanging="436"/>
        <w:spacing w:after="0" w:line="277" w:lineRule="auto"/>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New York esophageal squamous cell carcinoma 1, or NY-ESO-1, a well-known cancer-testis antigen that is also expressed in numerous cancers, including melanoma;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melanoma-associated antigen A3, or MAGE-A3, which is not expressed in normal tissues, except the testis and the placenta;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tyrosinase, an enzyme that is required for melanin production and that is produced in increased levels in melanoma;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trans-membrane phosphatase with tensin homology, or TPTE, a novel cancer/testis antigen that we discovered internally.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60"/>
          </w:cols>
          <w:pgMar w:left="240" w:top="459"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sequenced over 300 melanoma tumors and detected at least one of these four antigens in over 90% of such melanoma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169545</wp:posOffset>
            </wp:positionV>
            <wp:extent cx="5120005" cy="857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2000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right="160"/>
        <w:spacing w:after="0" w:line="259" w:lineRule="auto"/>
        <w:rPr>
          <w:sz w:val="20"/>
          <w:szCs w:val="20"/>
          <w:color w:val="auto"/>
        </w:rPr>
      </w:pPr>
      <w:r>
        <w:rPr>
          <w:rFonts w:ascii="Arial" w:cs="Arial" w:eastAsia="Arial" w:hAnsi="Arial"/>
          <w:sz w:val="14"/>
          <w:szCs w:val="14"/>
          <w:b w:val="1"/>
          <w:bCs w:val="1"/>
          <w:color w:val="auto"/>
        </w:rPr>
        <w:t xml:space="preserve">BNT111 antigens detected in over 90% of melanoma tumors. </w:t>
      </w:r>
      <w:r>
        <w:rPr>
          <w:rFonts w:ascii="Arial" w:cs="Arial" w:eastAsia="Arial" w:hAnsi="Arial"/>
          <w:sz w:val="14"/>
          <w:szCs w:val="14"/>
          <w:color w:val="auto"/>
        </w:rPr>
        <w:t>The graphic above shows expression of BNT111 target antigens on a patient by patient basis. Each row at the bottom of the</w:t>
      </w:r>
      <w:r>
        <w:rPr>
          <w:rFonts w:ascii="Arial" w:cs="Arial" w:eastAsia="Arial" w:hAnsi="Arial"/>
          <w:sz w:val="14"/>
          <w:szCs w:val="14"/>
          <w:b w:val="1"/>
          <w:bCs w:val="1"/>
          <w:color w:val="auto"/>
        </w:rPr>
        <w:t xml:space="preserve"> </w:t>
      </w:r>
      <w:r>
        <w:rPr>
          <w:rFonts w:ascii="Arial" w:cs="Arial" w:eastAsia="Arial" w:hAnsi="Arial"/>
          <w:sz w:val="14"/>
          <w:szCs w:val="14"/>
          <w:color w:val="auto"/>
        </w:rPr>
        <w:t>graphic represents an antigen, and each vertical line represents a patient, depicting whether or not that patient expressed each antigen.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BNT111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Trial in Advanced Melanoma Patients (LIPOMERIT study)</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conducting a multi-center, open-label, first-in-human, Phase 1 dose escalation study evaluating the safety and tolerability of multiple intravenous administrations of BNT111 in patients with advanced melanoma. This is the first clinical trial worldwide in which an mRNA-based cancer immunotherapy is administered intravenously for systemic treatment.</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trial employs a conventional 3+3 design in which patients are dosed in groups of three at incrementally greater dosages until the maximum tolerated dose is identified, during the dose escalation phase, which is then followed by expanded dose cohorts. Patients are treated with doses from 7.2µg up to the highest administered dose of 400µg of total mRNA.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July 2019 Interim Data</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the July 2019 interim cut-off date, 95 patients with metastatic melanoma had been dosed at least once at one of four centers in Germany. Baseline and demographic characteristics were largely as expected for a trial recruiting advanced stage IIIB-IIIC and stage IV melanoma patients with and without measurable disease. Approximately half of the patients were resected and had radiographically non-evaluable disease at baseline. The other half of the patients had radiographically evaluable disease at baseline and most of these patients were heavily pretreated. Only the subset of patients with evaluable disease at baseline was assessed for preliminary clinical activity.</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 xml:space="preserve">Immunogenicity. </w:t>
      </w:r>
      <w:r>
        <w:rPr>
          <w:rFonts w:ascii="Arial" w:cs="Arial" w:eastAsia="Arial" w:hAnsi="Arial"/>
          <w:sz w:val="17"/>
          <w:szCs w:val="17"/>
          <w:color w:val="auto"/>
        </w:rPr>
        <w:t>Immune responses induced by BNT111 were assessed using various orthogonal assay systems by analyzing T cells against each</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antigen in pre- and post-treatment blood samples of patients. So far, about half of the dosed patients have been analyzed for immune responses in this ongoing study. A first analysis in a subset of 18 patients evaluated vaccine antigen reactivity of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cells by IFN-α ELISpot after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stimulation. All tested patients showed either a de novo or an augmented (as compared to baseline) immune response against at least 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BNT111-encoded tumor antigens. Most patients exhibited either CD4</w:t>
      </w:r>
      <w:r>
        <w:rPr>
          <w:rFonts w:ascii="Arial" w:cs="Arial" w:eastAsia="Arial" w:hAnsi="Arial"/>
          <w:sz w:val="14"/>
          <w:szCs w:val="14"/>
          <w:color w:val="auto"/>
        </w:rPr>
        <w:t>+</w:t>
      </w:r>
      <w:r>
        <w:rPr>
          <w:rFonts w:ascii="Arial" w:cs="Arial" w:eastAsia="Arial" w:hAnsi="Arial"/>
          <w:sz w:val="17"/>
          <w:szCs w:val="17"/>
          <w:color w:val="auto"/>
        </w:rPr>
        <w:t xml:space="preserve"> or concurrently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 responses against the individual vaccine targets. A second analysis looked at the magnitude of immune responses on the individual level by using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IFN-α ELISpot, which due to its sensitivity level would capture only very strong T cell responses, and showed that more than 75% of patients exhibited vaccine-induced CD4</w:t>
      </w:r>
      <w:r>
        <w:rPr>
          <w:rFonts w:ascii="Arial" w:cs="Arial" w:eastAsia="Arial" w:hAnsi="Arial"/>
          <w:sz w:val="14"/>
          <w:szCs w:val="14"/>
          <w:color w:val="auto"/>
        </w:rPr>
        <w:t>+</w:t>
      </w:r>
      <w:r>
        <w:rPr>
          <w:rFonts w:ascii="Arial" w:cs="Arial" w:eastAsia="Arial" w:hAnsi="Arial"/>
          <w:sz w:val="17"/>
          <w:szCs w:val="17"/>
          <w:color w:val="auto"/>
        </w:rPr>
        <w:t xml:space="preserve"> or CD8</w:t>
      </w:r>
      <w:r>
        <w:rPr>
          <w:rFonts w:ascii="Arial" w:cs="Arial" w:eastAsia="Arial" w:hAnsi="Arial"/>
          <w:sz w:val="14"/>
          <w:szCs w:val="14"/>
          <w:color w:val="auto"/>
        </w:rPr>
        <w:t>+</w:t>
      </w:r>
      <w:r>
        <w:rPr>
          <w:rFonts w:ascii="Arial" w:cs="Arial" w:eastAsia="Arial" w:hAnsi="Arial"/>
          <w:sz w:val="17"/>
          <w:szCs w:val="17"/>
          <w:color w:val="auto"/>
        </w:rPr>
        <w:t xml:space="preserve"> T cell responses. The kinetics of </w:t>
      </w:r>
      <w:r>
        <w:rPr>
          <w:rFonts w:ascii="Arial" w:cs="Arial" w:eastAsia="Arial" w:hAnsi="Arial"/>
          <w:sz w:val="17"/>
          <w:szCs w:val="17"/>
          <w:i w:val="1"/>
          <w:iCs w:val="1"/>
          <w:color w:val="auto"/>
        </w:rPr>
        <w:t>de novo</w:t>
      </w:r>
      <w:r>
        <w:rPr>
          <w:rFonts w:ascii="Arial" w:cs="Arial" w:eastAsia="Arial" w:hAnsi="Arial"/>
          <w:sz w:val="17"/>
          <w:szCs w:val="17"/>
          <w:color w:val="auto"/>
        </w:rPr>
        <w:t>-induced CD8</w:t>
      </w:r>
      <w:r>
        <w:rPr>
          <w:rFonts w:ascii="Arial" w:cs="Arial" w:eastAsia="Arial" w:hAnsi="Arial"/>
          <w:sz w:val="14"/>
          <w:szCs w:val="14"/>
          <w:color w:val="auto"/>
        </w:rPr>
        <w:t>+</w:t>
      </w:r>
      <w:r>
        <w:rPr>
          <w:rFonts w:ascii="Arial" w:cs="Arial" w:eastAsia="Arial" w:hAnsi="Arial"/>
          <w:sz w:val="17"/>
          <w:szCs w:val="17"/>
          <w:color w:val="auto"/>
        </w:rPr>
        <w:t xml:space="preserve"> T cells were further characterized in selected patients of interest by a third method using e</w:t>
      </w:r>
      <w:r>
        <w:rPr>
          <w:rFonts w:ascii="Arial" w:cs="Arial" w:eastAsia="Arial" w:hAnsi="Arial"/>
          <w:sz w:val="17"/>
          <w:szCs w:val="17"/>
          <w:i w:val="1"/>
          <w:iCs w:val="1"/>
          <w:color w:val="auto"/>
        </w:rPr>
        <w:t>x vivo</w:t>
      </w:r>
      <w:r>
        <w:rPr>
          <w:rFonts w:ascii="Arial" w:cs="Arial" w:eastAsia="Arial" w:hAnsi="Arial"/>
          <w:sz w:val="17"/>
          <w:szCs w:val="17"/>
          <w:color w:val="auto"/>
        </w:rPr>
        <w:t xml:space="preserve"> MHC peptide multimer staining of blood samples collected at baseline and at different time points after start of vaccination. Mostly, antigen-specific T cell counts showed a fast ramp-up from being undetectable at baseline to levels ranging from 1,000 to more than 100,000 per million circulating CD8</w:t>
      </w:r>
      <w:r>
        <w:rPr>
          <w:rFonts w:ascii="Arial" w:cs="Arial" w:eastAsia="Arial" w:hAnsi="Arial"/>
          <w:sz w:val="14"/>
          <w:szCs w:val="14"/>
          <w:color w:val="auto"/>
        </w:rPr>
        <w:t>+</w:t>
      </w:r>
      <w:r>
        <w:rPr>
          <w:rFonts w:ascii="Arial" w:cs="Arial" w:eastAsia="Arial" w:hAnsi="Arial"/>
          <w:sz w:val="17"/>
          <w:szCs w:val="17"/>
          <w:color w:val="auto"/>
        </w:rPr>
        <w:t xml:space="preserve"> T cells within the first 4-8 weeks. Under monthly maintenance treatment, frequencies of individual antigen-specific T cells continued to slowly increase or remained stable up to over one year.</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Clinical activity. </w:t>
      </w:r>
      <w:r>
        <w:rPr>
          <w:rFonts w:ascii="Arial" w:cs="Arial" w:eastAsia="Arial" w:hAnsi="Arial"/>
          <w:sz w:val="18"/>
          <w:szCs w:val="18"/>
          <w:color w:val="auto"/>
        </w:rPr>
        <w:t>As of the July 2019 cut-off date, in our review of interim data, we assessed 42 patients with radiographically evaluable,</w:t>
      </w:r>
      <w:r>
        <w:rPr>
          <w:rFonts w:ascii="Arial" w:cs="Arial" w:eastAsia="Arial" w:hAnsi="Arial"/>
          <w:sz w:val="18"/>
          <w:szCs w:val="18"/>
          <w:i w:val="1"/>
          <w:iCs w:val="1"/>
          <w:color w:val="auto"/>
        </w:rPr>
        <w:t xml:space="preserve"> </w:t>
      </w:r>
      <w:r>
        <w:rPr>
          <w:rFonts w:ascii="Arial" w:cs="Arial" w:eastAsia="Arial" w:hAnsi="Arial"/>
          <w:sz w:val="18"/>
          <w:szCs w:val="18"/>
          <w:color w:val="auto"/>
        </w:rPr>
        <w:t>measurable disease at baseline for preliminary clinical activity according to Response Evaluation Criteria in Solid Tumors, Version 1.1, or RECIST v1.1. Twenty-five of these 42 patients received BNT111 as a monotherapy, and 17 patients received BNT111 in combination with an anti-PD-1 checkpoint inhibitor, or CPI (either pembrolizumab or nivolumab).</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BNT111 monotherapy cohort, we observed clinical activity for all 25 patients. All of these patients had received at least one line of prior treatment with a checkpoint inhibitor, and 24 of the 25 patients had failed prior sequential or combination treatment with anti-PD-1 and anti-CTLA4 antibodies. Four of 25 patients (16%) showed a partial response, or PR, and seven patients (28%) demonstrated stable disease. The clinical benefit rate, or CBR, is 44%. Two of the PRs manifested early on during treatment (at imaging day 90); the two others manifested at imaging days 180 and 360, respectively.</w:t>
      </w:r>
    </w:p>
    <w:p>
      <w:pPr>
        <w:spacing w:after="0" w:line="18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the BNT111 in combination with anti-PD-1 checkpoint inhibitor cohort, 16 of the 17 patients had prior treatment with CPI. Six patients (35%) showed a partial response, and two patients (12%) demonstrated stable disease. The CBR is 47%. Objective responses were observed across all dose levels explored in expansion cohorts (14µg, 50 µg and 100µg). Five of 10 (50%) patients who received the highest target dose of 100µg demonstrated a PR. By contrast, the expected ORR for anti-PD1 treatment in an anti-PD1 experienced patient population is in the range of 10%.</w:t>
      </w:r>
    </w:p>
    <w:p>
      <w:pPr>
        <w:spacing w:after="0" w:line="154"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i w:val="1"/>
          <w:iCs w:val="1"/>
          <w:color w:val="auto"/>
        </w:rPr>
        <w:t>Safety</w:t>
      </w:r>
      <w:r>
        <w:rPr>
          <w:rFonts w:ascii="Arial" w:cs="Arial" w:eastAsia="Arial" w:hAnsi="Arial"/>
          <w:sz w:val="16"/>
          <w:szCs w:val="16"/>
          <w:color w:val="auto"/>
        </w:rPr>
        <w:t>. As of the July 2019 cut-off date, no dose-limiting toxicities to BNT111 have been reported. The highest explored dose level is 400µg total</w:t>
      </w:r>
      <w:r>
        <w:rPr>
          <w:rFonts w:ascii="Arial" w:cs="Arial" w:eastAsia="Arial" w:hAnsi="Arial"/>
          <w:sz w:val="16"/>
          <w:szCs w:val="16"/>
          <w:i w:val="1"/>
          <w:iCs w:val="1"/>
          <w:color w:val="auto"/>
        </w:rPr>
        <w:t xml:space="preserve"> </w:t>
      </w:r>
      <w:r>
        <w:rPr>
          <w:rFonts w:ascii="Arial" w:cs="Arial" w:eastAsia="Arial" w:hAnsi="Arial"/>
          <w:sz w:val="16"/>
          <w:szCs w:val="16"/>
          <w:color w:val="auto"/>
        </w:rPr>
        <w:t>mRNA and doses up to 100µg total mRNA were tested further in expansion cohorts. The overall adverse event profile was dominated by mild-to-moderate, transient and manageable flu-like symptoms. This profile may have been driven by the mode of action of the RNA-LPX, which activates antigen presenting cells via signaling of TLRs, resulting in a temporary, self-limiting release of a distinct range of pro-inflammatory cytokines upon intravenous application. These symptoms were managed by pre-medication with non-steroidal antipyretics, such as ibuprofen and acetaminophen. Eight subjects dosed with BNT111 experienced related treatment-emergent serious adverse events, or TESAEs. The related TESAEs were comprised of two cases of Grade 2 pyrexia, and one case each of Grade 2 asthenia, Grade 2 dizziness, Grade 3 anaphylactic reaction, Grade 3 dizziness, Grade 3 syncope, Grade 3 exudative retinopathy, Grade 3 posterior reversible encephalopathy syndrome, Grade 3 epileptic seizure, and Grade 2 suspected pancreatitis. There were confounding factors, such as treatment with other therapies or underlying medical conditions, for the subjects with related TESAEs. We could not establish a clear causal relationship between BNT111 and the cases of anaphylactic reaction, retinopathy, encephalopathy syndrome, seizure and suspected pancreatitis. There have been no deaths in this study that were assessed by the investigators as related to BNT111.</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Completed Phase 1 Trial in Patients with Advanced Melanoma (MERIT study)</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2016, we published results of a first-in-human dose escalation study evaluating the safety and tolerability of intranodal administration of an earlier generation of BNT111 in patients with advanced melanoma. In this study, the earlier formulation of BNT111 targeted only NY-ESO-1 and tyrosinase.</w:t>
      </w:r>
    </w:p>
    <w:p>
      <w:pPr>
        <w:spacing w:after="0" w:line="18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This international, multi-center, open-label interventional study’s primary endpoints were the maximum tolerated dose for multiple dosing, safety and adverse reactions and tolerability profile of multiple dosing. The secondary endpoints were (i) to observe immunotherapy-induced immune responses following multiple treatment cycles and (ii) clinical benefit (complete response, partial response and stable disease).</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Five dosages were administered to patients sequentially: 50µg, 100µg, 300µg, 600µg, and 1,000µg. The sample size for the first three doses was three each. The 600µg dose cohort was comprised of 13 patients and the 1,000µg dose cohort was comprised of seven patients. In the 100µg, 300µg and 600µg dose cohorts, seven patients in total received continued treatment. The overall individual treatment period was 43 to 51 days and comprised eight treatment cycles of ultrasound-guided intranodal injections on days one, four, eight, 11, 15-17, 22-26, 29-35 and 43-51. In case of an optional continued treatment for patients who neither exhibited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unacceptable drug-related toxicity nor disease progression, four additional treatment cycles were administered at the same dosage that the patient had received in his or her cohort. The first cycle of continued treatment was scheduled 14-42 days after the last visit, with the second and third additional treatment cycles following after a one-month interval each. The fourth treatment cycle then followed after an interval of three months.</w:t>
      </w:r>
    </w:p>
    <w:p>
      <w:pPr>
        <w:spacing w:after="0" w:line="14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occurrence of new measurable lesions was observed in only one patient of the 1,000µg dose cohort, while new non-measurable lesions were identified in seven patients. Twenty-one patients, or 75%, were classified as having immune-related stable disease and six patients, or 21.4%, had immune-related progressive disease.</w:t>
      </w:r>
    </w:p>
    <w:p>
      <w:pPr>
        <w:spacing w:after="0" w:line="181" w:lineRule="exact"/>
        <w:rPr>
          <w:sz w:val="20"/>
          <w:szCs w:val="20"/>
          <w:color w:val="auto"/>
        </w:rPr>
      </w:pPr>
    </w:p>
    <w:p>
      <w:pPr>
        <w:ind w:left="200" w:right="420" w:firstLine="441"/>
        <w:spacing w:after="0" w:line="276" w:lineRule="auto"/>
        <w:rPr>
          <w:sz w:val="20"/>
          <w:szCs w:val="20"/>
          <w:color w:val="auto"/>
        </w:rPr>
      </w:pPr>
      <w:r>
        <w:rPr>
          <w:rFonts w:ascii="Arial" w:cs="Arial" w:eastAsia="Arial" w:hAnsi="Arial"/>
          <w:sz w:val="17"/>
          <w:szCs w:val="17"/>
          <w:color w:val="auto"/>
        </w:rPr>
        <w:t>The most frequent adverse events included administration-site conditions, infections and infestations, musculoskeletal and connective tissue disorders, nasopharyngitis, fatigue, headache and back pain. No life-threatening adverse events nor deaths occurred in this study. Thirteen severe adverse events were reported, including infections and infestations and vascular disorders. Sixteen patients were affected by adverse events with a suspected relationship to the study drug. These were most frequently fatigue, application site erythema and application site pain. None of the drug-related adverse events was categorized as serious. No dose-limiting toxicities were observed.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expect to report Phase 1 data from the LIPOMERIT trial and to initiate a Phase 2 clinical trial for BNT111 in the U.S. and Europe in the first half of 2020. Moreover, we plan to initiate a registrational Phase 3 trial in metastatic melanoma patients in the second half of 2020.</w:t>
      </w:r>
    </w:p>
    <w:p>
      <w:pPr>
        <w:spacing w:after="0" w:line="291" w:lineRule="exact"/>
        <w:rPr>
          <w:sz w:val="20"/>
          <w:szCs w:val="20"/>
          <w:color w:val="auto"/>
        </w:rPr>
      </w:pPr>
    </w:p>
    <w:p>
      <w:pPr>
        <w:ind w:left="2180" w:hanging="545"/>
        <w:spacing w:after="0"/>
        <w:tabs>
          <w:tab w:leader="none" w:pos="2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BNT112: Our FixVac Cancer Immunotherapy for the Treatment of Prostate Cancer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BNT112 for the treatment of prostate cancer.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Prostate Cancer</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Prostate cancer is the second most common cancer amongst men worldwide and the fourth most commonly occurring cancer overall, with around 1.3 million new cases recorded worldwide in 2018 and 174,650 cases expected in 2019 in the United States alone. The stage of the prostate cancer (I-IV), alongside the prostate-specific antigen and Gleason score, are the key factors for defining the treatment options for individual cases. Surgical or radiation based approaches are often used in first-line therapy, however after relapse (up to 30-40% of patients), androgen-deprivation therapies are employed, which in turn also often becomes redundant (metastatic castration-resistant prostate cancer, or mCRPC) at which point patients are treated with either further hormonal agents or chemotherapy.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BNT112 Targets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BNT112 is designed to elicit an immune response to five prostate cancer-specific antigens, including prostate-specific antigen, or PSA, a transmembrane protein that is expressed by virtually all prostate cancers, prostatic acid phosphatase, or PAP, and three additional tumor-associated antigens.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BNT112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Planned Phase 1/2 Clinical Trial</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plan to initiate an open-label, multi-center, first-in-human Phase 1/2 individual dose titration study of BNT112 in patients with mCRPC and high-risk localized prostate cancer, or LPC, in the second half of 2019. Eligible patients will have newly-diagnosed, high-risk, localized prostate cancer and will be treated with BNT112 as a single agent, in combination with cemiplimab and goserelin acetate or in combination with goserelin acetate alone. We anticipate a total enrollment of 60 to 80 patients at up to 20 investigational sites.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study is designed to evaluate the safety, tolerability, immunogenicity and preliminary efficacy of BNT112 in mCRPC and LPC patients. The primary objective of this study will be to establish the safety and tolerability of BNT112 alone, or in combination with goserelin acetate with or without cemiplimab. The secondary objectives of the trial will be to examine the immunogenicity of BNT112 alone or in combination with goserelin acetate with or without cemiplimab, and to evaluate anti-tumor activity based on levels of prostate-specific antigen, or PSA.</w:t>
      </w:r>
    </w:p>
    <w:p>
      <w:pPr>
        <w:spacing w:after="0" w:line="17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study will consist of three arms. The first arm will start with a dose titration phase for the initial safety assessment and recommended expansion dose range assessment. We anticipate enrollment of approximately 20 patients in arm one who will receive BNT112 alone, with up to nine patients participating in the dose titration part of the arm (with staggered starting groups of three patients one week apart). Titration will continue until unacceptable toxicity or disease progression. Efficacy in the first arm will be assessed by on-treatment imaging and in the second and third arms by tumor volume measurement.</w:t>
      </w:r>
    </w:p>
    <w:p>
      <w:pPr>
        <w:spacing w:after="0" w:line="18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After at least six patients are treated and evaluable for at least one treatment cycle, we plan to commence enrollment of the second and third arms, each enrolling approximately 20 patients with newly diagnosed LPC. Patients in the second arm will receive BNT112 combined with goserelin acetate and cemiplimab, and patients in the third arm will receive BNT112 combined with goserelin acetate alone. Treatment periods in the second and third arms will last until unacceptable toxicity or until the end of the eighth cycle, which will be followed by planned radical prostatectomy.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1/2 trial for BNT112 in the second half of 2019.</w:t>
      </w:r>
    </w:p>
    <w:p>
      <w:pPr>
        <w:spacing w:after="0" w:line="370" w:lineRule="exact"/>
        <w:rPr>
          <w:sz w:val="20"/>
          <w:szCs w:val="20"/>
          <w:color w:val="auto"/>
        </w:rPr>
      </w:pPr>
    </w:p>
    <w:p>
      <w:pPr>
        <w:ind w:left="2180" w:hanging="545"/>
        <w:spacing w:after="0"/>
        <w:tabs>
          <w:tab w:leader="none" w:pos="218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BNT113: Our FixVac Cancer Immunotherapy for the Treatment of HPV+ Head and Neck Cancer</w:t>
      </w:r>
    </w:p>
    <w:p>
      <w:pPr>
        <w:spacing w:after="0" w:line="121" w:lineRule="exact"/>
        <w:rPr>
          <w:sz w:val="20"/>
          <w:szCs w:val="20"/>
          <w:color w:val="auto"/>
        </w:rPr>
      </w:pPr>
    </w:p>
    <w:p>
      <w:pPr>
        <w:ind w:left="200" w:right="960" w:firstLine="441"/>
        <w:spacing w:after="0" w:line="342" w:lineRule="auto"/>
        <w:rPr>
          <w:sz w:val="20"/>
          <w:szCs w:val="20"/>
          <w:color w:val="auto"/>
        </w:rPr>
      </w:pPr>
      <w:r>
        <w:rPr>
          <w:rFonts w:ascii="Arial" w:cs="Arial" w:eastAsia="Arial" w:hAnsi="Arial"/>
          <w:sz w:val="16"/>
          <w:szCs w:val="16"/>
          <w:color w:val="auto"/>
        </w:rPr>
        <w:t>We are developing BNT113 for the treatment of HPV+ head and neck cancer. BNT113 is currently being studied by the University of Southampton in an ongoing investigator-sponsored Phase 1/2 basket study in HPV+ cancers, including head and neck cancer.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HPV+ Head and Neck Cancer</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Head and neck cancer defines an heterogeneous group of tumors originating in the squamous cells that line the moist, mucosal surfaces inside the head and neck. Head and neck cancer is the sixth most common malignancy worldwide, accounting for approximately 6% of all cancer cases, and is responsible for 1-2% of all cancer deaths. An increasing percentage of this cancer is now attributed to HPV infection in the United States and Europe, particularly those arising from the oropharynx. In the U.S., HPV-related oropharynx cancer, or OPC, is one of only five cancers with rising incidence and prevalence. The percentage of OPC related to HPV rose from approximately 16% in 1984 to 1989 to approximately 72% during 2000 to 2004. Early stage head and neck cancer is typically either treated with surgery or radiation alone, however approximately 66% of patients present with advanced disease and fewer than 30% of these are cured. The management of advanced disease consists of multiple-modality therapy with surgery, radiation and chemotherapy. Long-term survival rates in these patients have not increased significantly in the past 30 years: five-year survival rates are 60-80%.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BNT113 Targets</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BNT113 is designed to elicit an immune response against the well-characterized HPV16-derived oncoproteins E6 and E7, which are strongly immunogenic, viral neoantigens that are found in HPV16+ solid cancers such as head and neck squamous cell carcinoma.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BNT113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1/2 Basket Study (Investigator-Sponsored)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BNT113 is being studied in an investigator sponsored open-label, Phase 1/2 dose escalation basket study with two different arms in approximately 44 patients with HPV+ head and neck and other cancers. The first arm will perform dose escalation in patients with previously treated HPV+ head and neck cancer using two dose cohorts to establish a safe, tolerable and recommended dose of BNT113. The second arm will perform dose escalation in patients with advanced HPV+ cancers, including head and neck, anogenital, penile and cervical cancers, using a single cohort to establish a safe, tolerable and recommended dose.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initiate a Phase 2 trial of BNT113 in HPV+ cancers in the second half of 2020.</w:t>
      </w:r>
    </w:p>
    <w:p>
      <w:pPr>
        <w:spacing w:after="0" w:line="370" w:lineRule="exact"/>
        <w:rPr>
          <w:sz w:val="20"/>
          <w:szCs w:val="20"/>
          <w:color w:val="auto"/>
        </w:rPr>
      </w:pPr>
    </w:p>
    <w:p>
      <w:pPr>
        <w:ind w:left="2180" w:hanging="545"/>
        <w:spacing w:after="0"/>
        <w:tabs>
          <w:tab w:leader="none" w:pos="21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BNT114: Our FixVac Cancer Immunotherapy for the Treatment of Triple Negative Breast Cancer</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We are currently studying antigens selected for BNT114 in a three-arm clinical trial as both a monotherapy and in combination with our RO7198457 (BNT122) individualized iNeST immunotherapy in patients with triple negative breast cancers.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Triple Negative Breast Cancer (TNBC)</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Breast cancer is the most commonly occurring cancer in women and the second most common cancer overall with over two million new cases globally in 2018 with an expected 268,600 cases in 2019 in the United States alone. There are three broadly defined categories of breast cancer. About 80% of breast cancers are defined as ER+, meaning that they grow in response to the hormone estrogen, while 65% of these are also defined as PR+, as they also grow in response to another hormone, progesterone. Such cancers can be identified by the presence of estrogen receptors, or ER, and/or progesterone receptors, or PR, on the cancer cell surface and are more likely to be treatable by hormone therapies than cancers that are ER or PR negative. In about 20% of cancers, the tumor can be identified by its production of an excess of the HER2 protein. Such HER2+ cancers tend to be aggressive and fast moving. Breast cancers that neither express ER or PR, nor over-express HER2-, are known as triple negative breast cancers, or TNBCs. TNBC patients represent approximately 12-15% of all breast cancer cases, however it remains an area of high unmet medical need given it is typically the most aggressive form of breast cancer. There are currently no effective treatments for TNBC. While initial treatment options include surgery or chemotherapy, TNBC is characterized by rapid resistance to chemotherapy, and few remaining treatment options remain thereafter.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BNT114 Targets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BNT114 is designed to elicit an immune response to selected antigens that are found in breast cancers.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BNT114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Clinical Trial (BNT114 monotherapy and in combination with RO7198457 (BNT122))</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currently conducting an international, multi-center, open-label, three-arm Phase 1 study of BNT114 as a monotherapy and in combination with our RO7198457 (BNT122) individualized iNeST immunotherapy in 39 TNBC patients who had previously received the standard of care therapy (</w:t>
      </w:r>
      <w:r>
        <w:rPr>
          <w:rFonts w:ascii="Arial" w:cs="Arial" w:eastAsia="Arial" w:hAnsi="Arial"/>
          <w:sz w:val="18"/>
          <w:szCs w:val="18"/>
          <w:i w:val="1"/>
          <w:iCs w:val="1"/>
          <w:color w:val="auto"/>
        </w:rPr>
        <w:t>i.e.</w:t>
      </w:r>
      <w:r>
        <w:rPr>
          <w:rFonts w:ascii="Arial" w:cs="Arial" w:eastAsia="Arial" w:hAnsi="Arial"/>
          <w:sz w:val="18"/>
          <w:szCs w:val="18"/>
          <w:color w:val="auto"/>
        </w:rPr>
        <w:t>, surgery, chemotherapy and/or radiotherapy). The primary endpoints of the study are to assess safety and tolerability. Safety will be analyzed by adverse event documentation and clinical observation and tolerability will be analyzed based on patients’ vital signs and clinical chemistry. The secondary endpoint of the study is the observation of the treatment-induced immune responses, expressed as treatment-induced T cell responses, resulting from multiple treatment cycles.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Patients in the first arm receive BNT114, patients in the second arm receive BNT114 in combination with RO7198457 (BNT122) and patients in the third arm receive BNT114 in combination with mRNA encoding tetanus-toxin help epitopes.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report a data update in the first half of 2020 and assess the immunogenicity of the selected antigens.</w:t>
      </w:r>
    </w:p>
    <w:p>
      <w:pPr>
        <w:spacing w:after="0" w:line="370" w:lineRule="exact"/>
        <w:rPr>
          <w:sz w:val="20"/>
          <w:szCs w:val="20"/>
          <w:color w:val="auto"/>
        </w:rPr>
      </w:pPr>
    </w:p>
    <w:p>
      <w:pPr>
        <w:ind w:left="2180" w:hanging="545"/>
        <w:spacing w:after="0"/>
        <w:tabs>
          <w:tab w:leader="none" w:pos="2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Other FixVac Indications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also exploring FixVac development candidates in other cancer indications, including ovarian cancer.</w:t>
      </w:r>
    </w:p>
    <w:p>
      <w:pPr>
        <w:spacing w:after="0" w:line="374" w:lineRule="exact"/>
        <w:rPr>
          <w:sz w:val="20"/>
          <w:szCs w:val="20"/>
          <w:color w:val="auto"/>
        </w:rPr>
      </w:pPr>
    </w:p>
    <w:p>
      <w:pPr>
        <w:ind w:left="1620" w:hanging="430"/>
        <w:spacing w:after="0"/>
        <w:tabs>
          <w:tab w:leader="none" w:pos="1620" w:val="left"/>
        </w:tabs>
        <w:numPr>
          <w:ilvl w:val="0"/>
          <w:numId w:val="1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Our iNeST product candidate is an individualized cancer immunotherapy that targets specific neoantigens that are present on a patient’s tumor. Our iNeST immunotherapies contain pharmacologically optimized uridine mRNA encoding up to 20 patient-specific neoantigens, as well as our proprietary RNA-LPX formulation. We are developing our iNeST cancer immunotherapy in collaboration with Genentech.</w:t>
      </w:r>
    </w:p>
    <w:p>
      <w:pPr>
        <w:spacing w:after="0" w:line="310" w:lineRule="exact"/>
        <w:rPr>
          <w:sz w:val="20"/>
          <w:szCs w:val="20"/>
          <w:color w:val="auto"/>
        </w:rPr>
      </w:pPr>
    </w:p>
    <w:p>
      <w:pPr>
        <w:ind w:left="2180" w:hanging="545"/>
        <w:spacing w:after="0"/>
        <w:tabs>
          <w:tab w:leader="none" w:pos="2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BNT122: Our iNeST Cancer Immunotherapy for Multiple Potential Indications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and our collaborator Genentech are developing RO7198457 (BNT122) for the treatment of metastatic melanoma and other solid tumors. We are currently conducting a randomized Phase 2 trial of RO7198457 (BNT122) in collaboration with Genentech in first-line melanoma in combination with pembrolizumab. In collaboration with Genetech, we are also studying RO7198457 (BNT122) as a monotherapy and in combination with atezolizumab in a Phase 1a/1b study of patients with locally advanced or metastatic solid tumors (including in melanoma, non-small cell lung cancer, bladder cancer as well as other solid tumors). The Phase 1a/1b trial is a non-registrational, signal-seeking study recruiting mostly patients with late-stage advanced cancers including patients who failed multiple lines of prior treatment.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RO7198457 (BNT122) Targets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RO7198457 (BNT122) is an individualized neoantigen-specific immunotherapy. Each RO7198457 (BNT122) dose includes up to 20 different neoepitopes selected on a patient-by-patient basis. We believe that neoepitope-specific T cells induced by RO7198457 (BNT122) can enhance the therapeutic efficacy of immune checkpoint blockade.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RO7198457 (BNT122)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2 Clinical Trial (First-line with pembrolizumab)</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January 2019, we and Genentech initiated a Phase 2, open-label, multi-center, randomized clinical trial investigating the safety and efficacy of RO7198457 (BNT122) in combination with pembrolizumab in 132 patients with previously untreated metastatic melanoma. Patients in the experimental arm will receive pembrolizumab by intravenous infusion every three weeks, plus a selected dose of RO7198457 (BNT122) at defined intervals. Patients in the active comparator arm will receive 200mg of pembrolizumab by intravenous infusion every three weeks. Following treatment in the comparator arm, patients will be permitted to cross over to combination therapy with RO7198457 (BNT122).</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endpoint is:</w:t>
      </w:r>
    </w:p>
    <w:p>
      <w:pPr>
        <w:spacing w:after="0" w:line="131" w:lineRule="exact"/>
        <w:rPr>
          <w:sz w:val="20"/>
          <w:szCs w:val="20"/>
          <w:color w:val="auto"/>
        </w:rPr>
      </w:pPr>
    </w:p>
    <w:p>
      <w:pPr>
        <w:ind w:left="1180" w:right="80" w:hanging="436"/>
        <w:spacing w:after="0" w:line="277" w:lineRule="auto"/>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progression-free survival, or PFS, of patients treated with RO7198457 (BNT122) compared with patients receiving pembrolizumab alone, according to RECIST v1.1;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Secondary endpoints include:</w:t>
      </w:r>
    </w:p>
    <w:p>
      <w:pPr>
        <w:spacing w:after="0" w:line="131" w:lineRule="exact"/>
        <w:rPr>
          <w:sz w:val="20"/>
          <w:szCs w:val="20"/>
          <w:color w:val="auto"/>
        </w:rPr>
      </w:pPr>
    </w:p>
    <w:p>
      <w:pPr>
        <w:ind w:left="1180" w:right="200" w:hanging="436"/>
        <w:spacing w:after="0" w:line="277" w:lineRule="auto"/>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objective response rate, or ORR, in patients treated with RO7198457 (BNT122) compared with patients receiving pembrolizumab alone, defined as the proportion of participants with complete response, or CR, or partial response, or PR.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overall survival, or OS, of patients treated with RO7198457 (BNT122) compared with patients receiving pembrolizumab only;</w:t>
      </w:r>
    </w:p>
    <w:p>
      <w:pPr>
        <w:spacing w:after="0" w:line="130" w:lineRule="exact"/>
        <w:rPr>
          <w:rFonts w:ascii="Arial" w:cs="Arial" w:eastAsia="Arial" w:hAnsi="Arial"/>
          <w:sz w:val="18"/>
          <w:szCs w:val="18"/>
          <w:color w:val="auto"/>
        </w:rPr>
      </w:pPr>
    </w:p>
    <w:p>
      <w:pPr>
        <w:ind w:left="1180" w:right="760" w:hanging="436"/>
        <w:spacing w:after="0" w:line="277" w:lineRule="auto"/>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duration of response according to RECIST v1.1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mean change in health-related quality of life, scores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percentage of patients with CR or PR following cross-over from pembrolizumab monotherapy to combination therapy following cross-over, according to RECIST v1.1;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incidence and severity of adverse events.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Genentech are currently conducting a global Phase 1a/1b open-label, global dose-escalation study to assess the safety, tolerability, immune response and pharmacokinetics of RO7198457 (BNT122) as a single agent and in combination with Tecentriq</w:t>
      </w:r>
      <w:r>
        <w:rPr>
          <w:rFonts w:ascii="Arial" w:cs="Arial" w:eastAsia="Arial" w:hAnsi="Arial"/>
          <w:sz w:val="15"/>
          <w:szCs w:val="15"/>
          <w:color w:val="auto"/>
        </w:rPr>
        <w:t>®</w:t>
      </w:r>
      <w:r>
        <w:rPr>
          <w:rFonts w:ascii="Arial" w:cs="Arial" w:eastAsia="Arial" w:hAnsi="Arial"/>
          <w:sz w:val="18"/>
          <w:szCs w:val="18"/>
          <w:color w:val="auto"/>
        </w:rPr>
        <w:t xml:space="preserve"> (atezolizumab), an anti-PD-L1 mAb, in patients with locally advanced or metastatic tumors, including in melanoma, non-small cell lung cancer, bladder cancer, colorectal cancer, TNBC, renal cancer, H&amp;N cancer and other solid cancers. This trial is a non-registrational, signal-seeking study recruiting mostly patients with late-stage advanced cancers including patients who failed multiple lines of prior treatment. The study is designed to enroll up to approximately 770 patients and we expect initial data in 2021.</w:t>
      </w:r>
    </w:p>
    <w:p>
      <w:pPr>
        <w:spacing w:after="0" w:line="19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Phase 1a portion of the study, patients receive RO7198457 (BNT122), administered intravenously every 21 days at escalating doses. In the Phase 1b portion, patients receive RO7198457 (BNT122), administered intravenously every 21 days at escalating dosages, in combination with atezolizumab at a fixed dose of 1200mg.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we are investigating RO7198457 (BNT122) in three Phase 1b arms in combination with atezolizumab at a fixed dose of 1200mg, in</w:t>
      </w:r>
    </w:p>
    <w:p>
      <w:pPr>
        <w:spacing w:after="0" w:line="46" w:lineRule="exact"/>
        <w:rPr>
          <w:sz w:val="20"/>
          <w:szCs w:val="20"/>
          <w:color w:val="auto"/>
        </w:rPr>
      </w:pPr>
    </w:p>
    <w:p>
      <w:pPr>
        <w:ind w:left="200" w:right="340" w:firstLine="4"/>
        <w:spacing w:after="0" w:line="261" w:lineRule="auto"/>
        <w:tabs>
          <w:tab w:leader="none" w:pos="41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patients with non-small cell lung cancer or melanoma that have received cancer checkpoint inhibitors, (ii) patients with selected tumor types who consent to optional serial biopsies and (iii) patients with different indications as per inclusion criteria.</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Completed Phase 1 Clinical Trial (BNT121 First Generation iNeST)</w:t>
      </w:r>
    </w:p>
    <w:p>
      <w:pPr>
        <w:spacing w:after="0" w:line="117"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In 2017, we published the results of a 13-patient, first-in-human trial of our first-generation intranodal iNeST product candidate, BNT121, in patients with late-stage malignant melanoma. The objective of this clinical trial was to study the feasibility, safety, tolerability, immunogenicity and potential anti-tumoral activity of iNeST. All patients had stable disease at enrollment with a high risk for relapse.</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All 13 patients developed T cell immune responses against multiple immunotherapy neoepitopes at up to high single-digit percentages. As shown below, 60% of the selected neoepitopes elicited a T cell response. The detected immune response was elicited by both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cells and the majority was induced </w:t>
      </w:r>
      <w:r>
        <w:rPr>
          <w:rFonts w:ascii="Arial" w:cs="Arial" w:eastAsia="Arial" w:hAnsi="Arial"/>
          <w:sz w:val="18"/>
          <w:szCs w:val="18"/>
          <w:i w:val="1"/>
          <w:iCs w:val="1"/>
          <w:color w:val="auto"/>
        </w:rPr>
        <w:t>de novo</w:t>
      </w:r>
      <w:r>
        <w:rPr>
          <w:rFonts w:ascii="Arial" w:cs="Arial" w:eastAsia="Arial" w:hAnsi="Arial"/>
          <w:sz w:val="18"/>
          <w:szCs w:val="18"/>
          <w:color w:val="auto"/>
        </w:rPr>
        <w:t>, which we believe to be an important requirement for an effective immune response and an added benefit beyond checkpoint inhibition alone.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severe adverse drug reactions were reported in the study. Common adverse events included flu-like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169545</wp:posOffset>
            </wp:positionV>
            <wp:extent cx="2632710" cy="2958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3271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b w:val="1"/>
          <w:bCs w:val="1"/>
          <w:color w:val="auto"/>
        </w:rPr>
        <w:t>Immune responses documented in our prior BNT121 study</w:t>
      </w:r>
      <w:r>
        <w:rPr>
          <w:rFonts w:ascii="Arial" w:cs="Arial" w:eastAsia="Arial" w:hAnsi="Arial"/>
          <w:sz w:val="14"/>
          <w:szCs w:val="14"/>
          <w:color w:val="auto"/>
        </w:rPr>
        <w:t>. Patients showed immune responses, including both CD4</w:t>
      </w:r>
      <w:r>
        <w:rPr>
          <w:rFonts w:ascii="Arial" w:cs="Arial" w:eastAsia="Arial" w:hAnsi="Arial"/>
          <w:sz w:val="12"/>
          <w:szCs w:val="12"/>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and CD8</w:t>
      </w:r>
      <w:r>
        <w:rPr>
          <w:rFonts w:ascii="Arial" w:cs="Arial" w:eastAsia="Arial" w:hAnsi="Arial"/>
          <w:sz w:val="12"/>
          <w:szCs w:val="12"/>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responses, against multiple neoantigens. Source: Nature</w:t>
      </w:r>
      <w:r>
        <w:rPr>
          <w:rFonts w:ascii="Arial" w:cs="Arial" w:eastAsia="Arial" w:hAnsi="Arial"/>
          <w:sz w:val="14"/>
          <w:szCs w:val="14"/>
          <w:b w:val="1"/>
          <w:bCs w:val="1"/>
          <w:color w:val="auto"/>
        </w:rPr>
        <w:t xml:space="preserve"> </w:t>
      </w:r>
      <w:r>
        <w:rPr>
          <w:rFonts w:ascii="Arial" w:cs="Arial" w:eastAsia="Arial" w:hAnsi="Arial"/>
          <w:sz w:val="14"/>
          <w:szCs w:val="14"/>
          <w:color w:val="auto"/>
        </w:rPr>
        <w:t>547, 222-226 (13 July 2017)</w:t>
      </w:r>
      <w:r>
        <w:rPr>
          <w:rFonts w:ascii="Arial" w:cs="Arial" w:eastAsia="Arial" w:hAnsi="Arial"/>
          <w:sz w:val="14"/>
          <w:szCs w:val="14"/>
          <w:b w:val="1"/>
          <w:bCs w:val="1"/>
          <w:color w:val="auto"/>
        </w:rPr>
        <w:t>.</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240" w:top="459" w:right="5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addition, metastases resected from two patients following treatment with BNT121 demonstrated evidence of treatment-induced infiltration with BNT121-induced neoepitope-specific T cells and neoepitope-specific killing of tumor cells. The cumulative rate of metastatic events was significantly reduced after the start of treatment, resulting in a sustained progression-free survival. Of the 13 patients entering the trial, eight patients that had no radiologically detectable lesions at start of neo-epitope vaccination were relapse free and remained recurrence-free for the whole follow-up period (12 to 23 months). Five patients experienced melanoma relapses shortly after inclusion in the trial and despite initiation of standard treatment had progressing metastases at start of their neoepitope treatment. Of these, three patients developed neoepitope treatment-related objective clinical responses. One of these patients exhibited a complete response and remained relapse-free for 26 months. The second patient had an immunotherapy-related partial response. This patient had a late relapse owing to outgrowth of ß2-microglobulin-deficient melanoma cells as an acquired resistance mechanism. A third patient developed a complete response to treatment in combination with PD-1 blockade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132080</wp:posOffset>
            </wp:positionV>
            <wp:extent cx="3884930" cy="3078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8493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right="360"/>
        <w:spacing w:after="0" w:line="259" w:lineRule="auto"/>
        <w:rPr>
          <w:sz w:val="20"/>
          <w:szCs w:val="20"/>
          <w:color w:val="auto"/>
        </w:rPr>
      </w:pPr>
      <w:r>
        <w:rPr>
          <w:rFonts w:ascii="Arial" w:cs="Arial" w:eastAsia="Arial" w:hAnsi="Arial"/>
          <w:sz w:val="14"/>
          <w:szCs w:val="14"/>
          <w:b w:val="1"/>
          <w:bCs w:val="1"/>
          <w:color w:val="auto"/>
        </w:rPr>
        <w:t xml:space="preserve">Metastatic relapses before and after treatment with BNT121. </w:t>
      </w:r>
      <w:r>
        <w:rPr>
          <w:rFonts w:ascii="Arial" w:cs="Arial" w:eastAsia="Arial" w:hAnsi="Arial"/>
          <w:sz w:val="14"/>
          <w:szCs w:val="14"/>
          <w:color w:val="auto"/>
        </w:rPr>
        <w:t>The chart above shows the metastatic relapses of patients before and after treatment with BNT121. Each horizontal line</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the time course of a single patient. The vertical line indicates the treatment start of BNT121. Source: Nature 547, 222-226 (13 July 2017).</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to report a topline data update from our RO7198457 (BNT122) first-line Phase 2 melanoma trial in the second half of 2020 and report a data update from our RO7198457 (BNT122) Phase 1a/1b solid tumor trial, in 2020. We and Genentech are considering a number of additional investments which could start as early as 2020.</w:t>
      </w:r>
    </w:p>
    <w:p>
      <w:pPr>
        <w:spacing w:after="0" w:line="330" w:lineRule="exact"/>
        <w:rPr>
          <w:sz w:val="20"/>
          <w:szCs w:val="20"/>
          <w:color w:val="auto"/>
        </w:rPr>
      </w:pPr>
    </w:p>
    <w:p>
      <w:pPr>
        <w:ind w:left="1620" w:hanging="430"/>
        <w:spacing w:after="0"/>
        <w:tabs>
          <w:tab w:leader="none" w:pos="1620" w:val="left"/>
        </w:tabs>
        <w:numPr>
          <w:ilvl w:val="0"/>
          <w:numId w:val="1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Immunotherapy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in collaboration with Sanofi, are developing intratumoral immunotherapies utilizing our proprietary mRNA technology. These immunotherapies are designed to be administered directly into the tumor in order to alter the tumor microenvironment and enhance the immune system’s ability to recognize and fight cancer within the tumor (proximal) as well as in other untreated locations (distal).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SAR441000 (BNT131): Our Initial Intratumoral Immunotherapy for the Treatment of Solid Tumors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and Sanofi are developing SAR441000 (BNT131) as an intratumoral immunotherapy for the treatment of solid tumors. SAR441000 (BNT131) consists of modified mRNA that is injected directly into the tumor, where it is thought to express cytokines to alter the tumor microenvironment. SAR441000 (BNT131) is being studied in a Sanofi-sponsored Phase 1 clinical trial as a monotherapy in patients with advanced melanoma and in combination with an anti-PD-1/PD-L1 checkpoint inhibitor in patients with advanced melanoma and certain advanced solid tumors.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SAR441000 (BNT131) Targets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SAR441000 (BNT131) comprises mRNA that encodes the cytokines IL-12sc, IL-15sushi, IFN-α and GM-CSF. By expressing these cytokines in the tumor microenvironment, the immune system may more easily recognize and fight cancer.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SAR441000 (BNT131)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Sanofi, in collaboration with BioNTech, has commenced a first-in-human, multi-center, open-label, Phase 1, dose escalation and expansion trial to evaluate the safety, pharmacokinetics, pharmacodynamics and anti-tumor activity of SAR441000 (BNT131) administered intratumorally as monotherapy and in combination with cemiplimab, with an estimated enrollment of 264 patients with certain advanced solid tumors.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SAR441000 (BNT131) Preclinical Studies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In collaboration with Sanofi, we conducted a preclinical study of SAR441000 (BNT131) in mouse tumor models. In these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the anti-tumor activity of cytokines encoded by mRNA was driven by the action of T cells as well as NK cells and was accompanied by robust intratumoral induction of interferon gamma, systemic expansion of antigen-specific T cells and increased granzyme B positive CD8</w:t>
      </w:r>
      <w:r>
        <w:rPr>
          <w:rFonts w:ascii="Arial" w:cs="Arial" w:eastAsia="Arial" w:hAnsi="Arial"/>
          <w:sz w:val="13"/>
          <w:szCs w:val="13"/>
          <w:color w:val="auto"/>
        </w:rPr>
        <w:t>+</w:t>
      </w:r>
      <w:r>
        <w:rPr>
          <w:rFonts w:ascii="Arial" w:cs="Arial" w:eastAsia="Arial" w:hAnsi="Arial"/>
          <w:sz w:val="16"/>
          <w:szCs w:val="16"/>
          <w:color w:val="auto"/>
        </w:rPr>
        <w:t xml:space="preserve"> T cell infiltration.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SAR441000 (BNT131) was shown to form immunological memory toward both dominant and subdominant antigens, which protected long-term survivors from re-challenge with autologous tumors. Importantly, although cytokine mRNAs were administered intratumorally, resulting in local target expression, anti-tumor activity extended beyond the injected tumor to effectively control the growth of distal tumors in both a dual-tumor model and an experimental lung metastasis model. Finally, SAR441000 (BNT131) demonstrated improved overall survival and higher incidence of complete tumor regressions across several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146050</wp:posOffset>
            </wp:positionV>
            <wp:extent cx="4528185" cy="28987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5281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line="230" w:lineRule="auto"/>
        <w:rPr>
          <w:sz w:val="20"/>
          <w:szCs w:val="20"/>
          <w:color w:val="auto"/>
        </w:rPr>
      </w:pPr>
      <w:r>
        <w:rPr>
          <w:rFonts w:ascii="Arial" w:cs="Arial" w:eastAsia="Arial" w:hAnsi="Arial"/>
          <w:sz w:val="14"/>
          <w:szCs w:val="14"/>
          <w:b w:val="1"/>
          <w:bCs w:val="1"/>
          <w:color w:val="auto"/>
        </w:rPr>
        <w:t xml:space="preserve">Systemic anti-tumor effects in mouse model. </w:t>
      </w:r>
      <w:r>
        <w:rPr>
          <w:rFonts w:ascii="Arial" w:cs="Arial" w:eastAsia="Arial" w:hAnsi="Arial"/>
          <w:sz w:val="14"/>
          <w:szCs w:val="14"/>
          <w:color w:val="auto"/>
        </w:rPr>
        <w:t>As shown above, BNT131 demonstrated local and systemic anti-tumor effects of intratumoral cytokine mRNA. In this study, mice were</w:t>
      </w:r>
      <w:r>
        <w:rPr>
          <w:rFonts w:ascii="Arial" w:cs="Arial" w:eastAsia="Arial" w:hAnsi="Arial"/>
          <w:sz w:val="14"/>
          <w:szCs w:val="14"/>
          <w:b w:val="1"/>
          <w:bCs w:val="1"/>
          <w:color w:val="auto"/>
        </w:rPr>
        <w:t xml:space="preserve"> </w:t>
      </w:r>
      <w:r>
        <w:rPr>
          <w:rFonts w:ascii="Arial" w:cs="Arial" w:eastAsia="Arial" w:hAnsi="Arial"/>
          <w:sz w:val="14"/>
          <w:szCs w:val="14"/>
          <w:color w:val="auto"/>
        </w:rPr>
        <w:t>implanted with a tumor on each of the right and left flank. One tumor was injected with intratumoral cytokine mRNA (or control mRNA) while the other was not. The top center figure shows the tumor volume of the treated tumor (red line) against the control (blue line). The top right figure shows an anti-tumor effect on the untreated tumor (red line) against the control (blue line). The figures on the bottom show the abscopal effect of an intratumoral cytokine mRNA (center bottom) on distal lung metastases compared to the control mRNA (right bottom). Source: Wagenaar et al., Local immunotherapy with a mixture of mRNAs encoding pro-inflammatory cytokines promotes potent anti-tumor immunity and tumor eradication across multiple preclinical tumor models; poster presented at SITC 2018.</w:t>
      </w:r>
    </w:p>
    <w:p>
      <w:pPr>
        <w:spacing w:after="0" w:line="19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Based on these preclinical results, we intend to investigate whether our synthetic mRNA technology can potentially deliver localized cytokine-based cancer immunotherapy with broad anti-tumor activity against treated and untreated lesions.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 data update from this trial may be reported in the second half of 2020. As the trial is sponsored and conducted by Sanofi, the timing of data updates is not under our control, and is subject to change by Sanofi.</w:t>
      </w:r>
    </w:p>
    <w:p>
      <w:pPr>
        <w:spacing w:after="0" w:line="319" w:lineRule="exact"/>
        <w:rPr>
          <w:sz w:val="20"/>
          <w:szCs w:val="20"/>
          <w:color w:val="auto"/>
        </w:rPr>
      </w:pPr>
    </w:p>
    <w:p>
      <w:pPr>
        <w:ind w:left="1620" w:hanging="430"/>
        <w:spacing w:after="0"/>
        <w:tabs>
          <w:tab w:leader="none" w:pos="1620" w:val="left"/>
        </w:tabs>
        <w:numPr>
          <w:ilvl w:val="0"/>
          <w:numId w:val="1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Our RiboMab product candidates are designed to encode secreted antibodies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RiboMab product candidates consist of our proprietary nucleoside-modified mRNA that is designed to minimize the immunomodulatory activity of the mRNA, and these candidates are formulated using liver-targeting LNPs for intravenous delivery. RiboMabs potentially address the limitations of recombinent antibodies, including costly manufacturing processes and unfavorable pharmacokinetics, such as short plasma</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half-life. We are conducting preclinical studies for two development candidates, and have published compelling preclinical data.</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RiboMab Preclinical Studies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We have generated RiboMabs targeting different tumor antigens and tested their therapeutic potency in mice engrafted with human tumors that were repopulated with human immune cells. We demonstrated in preclinical studies that injection with a RiboMab product candidate encoding bispecific RiboMabs directed against CD3 and CLDN6 antigens resulted in elimination of aggressively growing, large tumors. Intravenously administering a microgram dose of mRNA encoding RiboMabs resulted in bispecific RiboMab production in the liver cells and rapid secretion into circulation, reaching peak plasma concentration within hours and remaining at therapeutically effective levels for one week. The dosage and frequency of dosing of recombinant bispecific antibodies required to produce similar effects was substantially greater. This was the first preclinical study to demonstrate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application of mRNA-encoded antibodies for the successful treatment of cancer.</w:t>
      </w:r>
    </w:p>
    <w:p>
      <w:pPr>
        <w:spacing w:after="0" w:line="322" w:lineRule="exact"/>
        <w:rPr>
          <w:sz w:val="20"/>
          <w:szCs w:val="20"/>
          <w:color w:val="auto"/>
        </w:rPr>
      </w:pPr>
    </w:p>
    <w:p>
      <w:pPr>
        <w:ind w:left="2180" w:hanging="545"/>
        <w:spacing w:after="0"/>
        <w:tabs>
          <w:tab w:leader="none" w:pos="21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BNT141: Our Initial RiboMab for the Treatment of Solid Tumors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BNT141 is our RiboMab product candidate for the treatment of solid tumors. BNT141 is designed to encode secreted IgG antibodies.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BNT141 Targets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BNT141 is designed to encode secreted antibodies that target multiple epithelial solid tumors, including gastric and pancreatic cancers.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expect to initiate a Phase 1 basket trial of BNT141 for the treatment of various solid tumors, including gastrointestinal tumors, in the second half of 2020.</w:t>
      </w:r>
    </w:p>
    <w:p>
      <w:pPr>
        <w:spacing w:after="0" w:line="315" w:lineRule="exact"/>
        <w:rPr>
          <w:sz w:val="20"/>
          <w:szCs w:val="20"/>
          <w:color w:val="auto"/>
        </w:rPr>
      </w:pPr>
    </w:p>
    <w:p>
      <w:pPr>
        <w:ind w:left="2180" w:hanging="545"/>
        <w:spacing w:after="0"/>
        <w:tabs>
          <w:tab w:leader="none" w:pos="218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BNT142: Our Second RiboMab for the Treatment of Solid Tumors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BNT142 is our RiboMab product candidate for the treatment of solid tumors. BNT142 is designed to encode a secreted bispecific antibody that targets CD3 and CLDN6.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BNT142 Targets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BNT142 is designed to encode bispecific antibodies that target CD3, a T cell receptor that plays a key role in the activation of CD8</w:t>
      </w:r>
      <w:r>
        <w:rPr>
          <w:rFonts w:ascii="Arial" w:cs="Arial" w:eastAsia="Arial" w:hAnsi="Arial"/>
          <w:sz w:val="15"/>
          <w:szCs w:val="15"/>
          <w:color w:val="auto"/>
        </w:rPr>
        <w:t>+</w:t>
      </w:r>
      <w:r>
        <w:rPr>
          <w:rFonts w:ascii="Arial" w:cs="Arial" w:eastAsia="Arial" w:hAnsi="Arial"/>
          <w:sz w:val="18"/>
          <w:szCs w:val="18"/>
          <w:color w:val="auto"/>
        </w:rPr>
        <w:t xml:space="preserve"> and CD4</w:t>
      </w:r>
      <w:r>
        <w:rPr>
          <w:rFonts w:ascii="Arial" w:cs="Arial" w:eastAsia="Arial" w:hAnsi="Arial"/>
          <w:sz w:val="15"/>
          <w:szCs w:val="15"/>
          <w:color w:val="auto"/>
        </w:rPr>
        <w:t>+</w:t>
      </w:r>
      <w:r>
        <w:rPr>
          <w:rFonts w:ascii="Arial" w:cs="Arial" w:eastAsia="Arial" w:hAnsi="Arial"/>
          <w:sz w:val="18"/>
          <w:szCs w:val="18"/>
          <w:color w:val="auto"/>
        </w:rPr>
        <w:t xml:space="preserve"> T cells, and CLDN6, a highly specific oncofetal cell surface antigen that is found in solid tumors, but not in normal cells.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basket trial of BNT142 for the treatment of numerous solid tumors in the second half of 2020.</w:t>
      </w:r>
    </w:p>
    <w:p>
      <w:pPr>
        <w:spacing w:after="0" w:line="374" w:lineRule="exact"/>
        <w:rPr>
          <w:sz w:val="20"/>
          <w:szCs w:val="20"/>
          <w:color w:val="auto"/>
        </w:rPr>
      </w:pPr>
    </w:p>
    <w:p>
      <w:pPr>
        <w:ind w:left="1620" w:hanging="430"/>
        <w:spacing w:after="0"/>
        <w:tabs>
          <w:tab w:leader="none" w:pos="1620" w:val="left"/>
        </w:tabs>
        <w:numPr>
          <w:ilvl w:val="0"/>
          <w:numId w:val="2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RiboCytokine product candidates consist of modified mRNA designed to encode secreted cytokines that are formulated to use liver-targeting LNP for intravenous delivery.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RiboCytokine product candidates are designed to address the limitations of recombinantly expressed cytokines, including limited serum half-life and production costs. We are developing RiboCytokines to be used primarily in combination with other drugs, including our other pipeline candidates.</w:t>
      </w:r>
    </w:p>
    <w:p>
      <w:pPr>
        <w:spacing w:after="0" w:line="326" w:lineRule="exact"/>
        <w:rPr>
          <w:sz w:val="20"/>
          <w:szCs w:val="20"/>
          <w:color w:val="auto"/>
        </w:rPr>
      </w:pPr>
    </w:p>
    <w:p>
      <w:pPr>
        <w:ind w:left="1640"/>
        <w:spacing w:after="0"/>
        <w:tabs>
          <w:tab w:leader="none" w:pos="19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BNT151:Our Initial RiboCytokine for the Treatment of Solid Tumors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are developing BNT151, our RiboCytokine designed to encode a modified version of the human interleukin-2, or optimized IL-2, cytokine for the treatment of solid tumors. BNT151 is designed to stimulate T cells without triggering immunosuppression in the tumor microenvironment.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BNT151 Target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BNT151 comprises our nucleoside-modified mRNA that encodes mRNA for a function-modified IL-2. IL-2 is a key cytokine in T cell immunity, supporting the differentiation, proliferation, survival and effector functions of T cells.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Recombinant IL-2, aldesleukin, was the first approved cancer immunotherapy, and has been marketed globally for the treatment of late stage melanoma and renal cell cancer for decades. Most patients with complete responses after IL-2 treatment remain regression free for more than 25 years after initial treatment, but overall response rates are low due in part to the limitations of recombinant cytokines. Recombinant IL-2 has a very short half-life, requiring high and frequent dosing and a partially unfavorable activity profile, which leads to increased side effects, thus limiting its utility as a cancer treatment.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clinical basket trial of BNT151 for the treatment of multiple solid tumors in the first half of 2020.</w:t>
      </w:r>
    </w:p>
    <w:p>
      <w:pPr>
        <w:spacing w:after="0" w:line="370" w:lineRule="exact"/>
        <w:rPr>
          <w:sz w:val="20"/>
          <w:szCs w:val="20"/>
          <w:color w:val="auto"/>
        </w:rPr>
      </w:pPr>
    </w:p>
    <w:p>
      <w:pPr>
        <w:ind w:left="1640"/>
        <w:spacing w:after="0"/>
        <w:tabs>
          <w:tab w:leader="none" w:pos="1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BNT152:Our Second RiboCytokine for the Treatment of Solid Tumors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BNT152, our RiboCytokine designed to encode IL-7 for the treatment of solid tumors.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clinical trial of BNT152 for the treatment of multiple solid tumors in the second half of 2020.</w:t>
      </w:r>
    </w:p>
    <w:p>
      <w:pPr>
        <w:spacing w:after="0" w:line="370" w:lineRule="exact"/>
        <w:rPr>
          <w:sz w:val="20"/>
          <w:szCs w:val="20"/>
          <w:color w:val="auto"/>
        </w:rPr>
      </w:pPr>
    </w:p>
    <w:p>
      <w:pPr>
        <w:ind w:left="1640"/>
        <w:spacing w:after="0"/>
        <w:tabs>
          <w:tab w:leader="none" w:pos="19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BNT153:Our IL-2 variant RiboCytokine for the Treatment of Solid Tumors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BNT153, our RiboCytokine designed to secrete IL-2 for the treatment of solid tumors.</w:t>
      </w:r>
    </w:p>
    <w:p>
      <w:pPr>
        <w:spacing w:after="0" w:line="370" w:lineRule="exact"/>
        <w:rPr>
          <w:sz w:val="20"/>
          <w:szCs w:val="20"/>
          <w:color w:val="auto"/>
        </w:rPr>
      </w:pPr>
    </w:p>
    <w:p>
      <w:pPr>
        <w:ind w:left="1620" w:hanging="430"/>
        <w:spacing w:after="0"/>
        <w:tabs>
          <w:tab w:leader="none" w:pos="162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Our Oncology Engineered Cell Therapy Product Candidates</w:t>
      </w:r>
    </w:p>
    <w:p>
      <w:pPr>
        <w:spacing w:after="0" w:line="135" w:lineRule="exact"/>
        <w:rPr>
          <w:sz w:val="20"/>
          <w:szCs w:val="20"/>
          <w:color w:val="auto"/>
        </w:rPr>
      </w:pPr>
    </w:p>
    <w:p>
      <w:pPr>
        <w:ind w:left="2180" w:hanging="545"/>
        <w:spacing w:after="0"/>
        <w:tabs>
          <w:tab w:leader="none" w:pos="2180" w:val="left"/>
        </w:tabs>
        <w:numPr>
          <w:ilvl w:val="0"/>
          <w:numId w:val="2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CAR T</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are advancing multiple CAR T product candidates, the most advanced of which, BNT211, is targeting the novel and highly specific target CLDN6</w:t>
      </w:r>
      <w:r>
        <w:rPr>
          <w:rFonts w:ascii="Arial" w:cs="Arial" w:eastAsia="Arial" w:hAnsi="Arial"/>
          <w:sz w:val="15"/>
          <w:szCs w:val="15"/>
          <w:color w:val="auto"/>
        </w:rPr>
        <w:t>+</w:t>
      </w:r>
      <w:r>
        <w:rPr>
          <w:rFonts w:ascii="Arial" w:cs="Arial" w:eastAsia="Arial" w:hAnsi="Arial"/>
          <w:sz w:val="18"/>
          <w:szCs w:val="18"/>
          <w:color w:val="auto"/>
        </w:rPr>
        <w:t xml:space="preserve"> in solid tumors, and which we expect to enter the clinic in the second half of 2019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 including ovarian cancer. We plan to use our initial CAR-T cell product candidates in combination with a FixVac immunotherapy that encodes the same target as the CAR T. The FixVac selectively targets dendritic cells, which leads to uptake, antigen expression and maturation of the dendritic cells. The co-stimulation provided by dendritic cell maturation has been shown in preclinical studies to amplify and expand CAR-T cells </w:t>
      </w:r>
      <w:r>
        <w:rPr>
          <w:rFonts w:ascii="Arial" w:cs="Arial" w:eastAsia="Arial" w:hAnsi="Arial"/>
          <w:sz w:val="18"/>
          <w:szCs w:val="18"/>
          <w:i w:val="1"/>
          <w:iCs w:val="1"/>
          <w:color w:val="auto"/>
        </w:rPr>
        <w:t>in vivo</w:t>
      </w:r>
      <w:r>
        <w:rPr>
          <w:rFonts w:ascii="Arial" w:cs="Arial" w:eastAsia="Arial" w:hAnsi="Arial"/>
          <w:sz w:val="18"/>
          <w:szCs w:val="18"/>
          <w:color w:val="auto"/>
        </w:rPr>
        <w:t>, leading to increased persistence of the CAR 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BNT211: Our CAR T Cell Therapy for the Treatment of CLDN6</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Solid Tumors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BNT211 is our CAR-T cell therapy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 BNT211 targets CLDN6 and will initially be evaluated in combination with a CARVac that encodes CLDN6.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BNT211 Target</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BNT211 targets Claudin 6, or CLDN6, a highly specific oncofetal cell surface antigen that is found in multiple cancers, including ovarian, testicular and lung cancers, but not in normal cells.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BNT211 Trials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Planned Phase 1/2 Clinical Trial</w:t>
      </w:r>
    </w:p>
    <w:p>
      <w:pPr>
        <w:spacing w:after="0" w:line="121" w:lineRule="exact"/>
        <w:rPr>
          <w:sz w:val="20"/>
          <w:szCs w:val="20"/>
          <w:color w:val="auto"/>
        </w:rPr>
      </w:pPr>
    </w:p>
    <w:p>
      <w:pPr>
        <w:jc w:val="both"/>
        <w:ind w:left="200" w:right="520" w:firstLine="441"/>
        <w:spacing w:after="0" w:line="259" w:lineRule="auto"/>
        <w:rPr>
          <w:sz w:val="20"/>
          <w:szCs w:val="20"/>
          <w:color w:val="auto"/>
        </w:rPr>
      </w:pPr>
      <w:r>
        <w:rPr>
          <w:rFonts w:ascii="Arial" w:cs="Arial" w:eastAsia="Arial" w:hAnsi="Arial"/>
          <w:sz w:val="18"/>
          <w:szCs w:val="18"/>
          <w:color w:val="auto"/>
        </w:rPr>
        <w:t>We anticipate initiating a Phase 1/2 open-label, multi-center dose escalation and dose expansion basket study of BNT211 with or without a CLDN6 CARVac immunotherapy in the first half of 2020. We anticipate enrolling patients with advanced solid tumor malignancies who express CLDN6. While our preclinical focus has been on ovarian cancer, we expect patients with uterine, testicular, lung and gastric cancers may also be enrolled in our upcoming CAR T trials.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observed compelling preclinical data of BNT211 demonstrating potent anti-tumoral activity, including eradication of advanced tumors in an ovarian carcinoma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2529840" cy="26155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2984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Potent anti-tumoral activity. </w:t>
      </w:r>
      <w:r>
        <w:rPr>
          <w:rFonts w:ascii="Arial" w:cs="Arial" w:eastAsia="Arial" w:hAnsi="Arial"/>
          <w:sz w:val="14"/>
          <w:szCs w:val="14"/>
          <w:color w:val="auto"/>
        </w:rPr>
        <w:t>As shown above, BNT211 demonstrated eradication of advanced tumors in a mouse model.</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60"/>
          </w:cols>
          <w:pgMar w:left="240" w:top="460"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planning to initiate a Phase 1/2 clinical trial of the combination of BNT211 and a CLDN6-encoded CARVac in the first half of 2020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w:t>
      </w:r>
    </w:p>
    <w:p>
      <w:pPr>
        <w:spacing w:after="0" w:line="315" w:lineRule="exact"/>
        <w:rPr>
          <w:sz w:val="20"/>
          <w:szCs w:val="20"/>
          <w:color w:val="auto"/>
        </w:rPr>
      </w:pPr>
    </w:p>
    <w:p>
      <w:pPr>
        <w:ind w:left="2180" w:hanging="545"/>
        <w:spacing w:after="0"/>
        <w:tabs>
          <w:tab w:leader="none" w:pos="21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BNT212: Our CAR T Cell Therapy for the Treatment of CLDN18.2</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Solid Tumors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BNT212 is our CAR-T cell therapy for the treatment of CLDN18.2-positive solid tumors. BNT212 will initially be evaluated in combination with a CARVac that encodes CLDN18.2.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BNT212 Target</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BNT212 targets Claudin 18.2, or CLDN18.2, a highly specific target that is only expressed in cancer and in differentiated epithelial cells of the gastric mucosa, but it is absent from the gastric stem cell zone. CLDN18.2 is expressed in numerous epithelial solid tumors, including gastric, pancreatic, esophageal, ovarian and lung tumors.</w:t>
      </w:r>
    </w:p>
    <w:p>
      <w:pPr>
        <w:spacing w:after="0" w:line="326" w:lineRule="exact"/>
        <w:rPr>
          <w:sz w:val="20"/>
          <w:szCs w:val="20"/>
          <w:color w:val="auto"/>
        </w:rPr>
      </w:pPr>
    </w:p>
    <w:p>
      <w:pPr>
        <w:ind w:left="1620" w:hanging="430"/>
        <w:spacing w:after="0"/>
        <w:tabs>
          <w:tab w:leader="none" w:pos="162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Our TCR Product Candidates in Oncology</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are developing T cell receptor therapies for the treatment of cancer, including in collaboration with Eli Lilly. Under our collaboration, Eli Lilly has an exclusive option to pursue clinical development of certain potential TCR product candidates. We and Eli Lilly have concluded the research phase of the collaboration and Eli Lilly has exercised its option and selected a target to develop and commercialize.</w:t>
      </w:r>
    </w:p>
    <w:p>
      <w:pPr>
        <w:spacing w:after="0" w:line="310" w:lineRule="exact"/>
        <w:rPr>
          <w:sz w:val="20"/>
          <w:szCs w:val="20"/>
          <w:color w:val="auto"/>
        </w:rPr>
      </w:pPr>
    </w:p>
    <w:p>
      <w:pPr>
        <w:ind w:left="1620" w:hanging="430"/>
        <w:spacing w:after="0"/>
        <w:tabs>
          <w:tab w:leader="none" w:pos="16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Product Candidates in Oncology</w:t>
      </w:r>
    </w:p>
    <w:p>
      <w:pPr>
        <w:spacing w:after="0" w:line="135" w:lineRule="exact"/>
        <w:rPr>
          <w:sz w:val="20"/>
          <w:szCs w:val="20"/>
          <w:color w:val="auto"/>
        </w:rPr>
      </w:pPr>
    </w:p>
    <w:p>
      <w:pPr>
        <w:ind w:left="2180" w:hanging="545"/>
        <w:spacing w:after="0"/>
        <w:tabs>
          <w:tab w:leader="none" w:pos="2180" w:val="left"/>
        </w:tabs>
        <w:numPr>
          <w:ilvl w:val="0"/>
          <w:numId w:val="2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Next-Generation Checkpoint Immunomodulators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collaboration with Genmab, we are currently studying two bispecific antibody checkpoint immunomodulators.</w:t>
      </w:r>
    </w:p>
    <w:p>
      <w:pPr>
        <w:spacing w:after="0" w:line="248" w:lineRule="exact"/>
        <w:rPr>
          <w:sz w:val="20"/>
          <w:szCs w:val="20"/>
          <w:color w:val="auto"/>
        </w:rPr>
      </w:pPr>
    </w:p>
    <w:p>
      <w:pPr>
        <w:ind w:left="2600" w:right="400" w:hanging="424"/>
        <w:spacing w:after="0" w:line="282" w:lineRule="auto"/>
        <w:tabs>
          <w:tab w:leader="none" w:pos="2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GEN1046 (BNT311): Our Jointly Owned DuoBody PD-L1x4-1BB Bispecific Antibody for the Treatment of Solid Tumors</w:t>
      </w:r>
    </w:p>
    <w:p>
      <w:pPr>
        <w:spacing w:after="0" w:line="166"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GEN1046 (BNT311), our jointly owned PD-L1x4-1BB product candidate, is a potential first-in-class bispecific antibody combining PD-L1 checkpoint inhibition with 4-1BB checkpoint activation. The first patient in a Phase 1/2a trial of GEN1046 (BNT311) for the treatment of malignant solid tumors was dosed in May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GEN1046 (BNT311) Targets</w:t>
      </w:r>
    </w:p>
    <w:p>
      <w:pPr>
        <w:spacing w:after="0" w:line="117"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GEN1046 (BNT311) is a PD-L1x4-1BB bispecific antibody that induces conditional activation of T cells through 4-1BB stimulation which is dependent on simultaneous binding to PD-L1. In addition, the PD-L1-specific arm of DuoBody-PD-L1x4-1BB functions as a classical immune checkpoint inhibitor by blocking the PD-1/PD-L1 axis, also in the absence of 4-1BB binding. PD-L1 is a validated target that is expressed on tumor cells. 4-1BB is a trans-membrane receptor belonging to the TNF super-family and is expressed predominantly on activated T cells.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GEN1046 (BNT311)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1/2a Clinical Trial</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ongoing Phase 1/2a, open-label, single-arm GEN1046 (BNT311) trial with multiple expansion cohorts, conducted in collaboration with an executed by Genmab, is expected to enroll approximately 192 patients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malignant solid tumors. The trial consists of a dose escalation part and an expansion part. The dose escalation part will determine the safety profile of GEN1046 (BNT311) in subjects with certain relapsed or refractory, advanced and/or metastatic malignant solid tumors who are no longer candidates for standard therapy. The expansion part will be initiated once the recommended Phase 2 dose has been established in Phase 1. In the expansion part, GEN1046 (BNT311) will be administered intravenously once every 21 days. The primary endpoints of the trial are dose-limiting toxicities, adverse events and safety laboratory parameters, including hematology, biochemistry, coagulation and endocrinology.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preclinical settings, GEN1046 (BNT311) induces conditional activation of T cells through 4-1BB stimulation which is dependent on simultaneous binding to PD-L1. In addition, the PD-L1-specific arm of DuoBody-PD-L1x4-1BB functions as a classical immune checkpoint inhibitor by blocking the PD-1/PD-L1 axis.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report a data update for our ongoing Phase 1/2 trial in the first half of 2021.</w:t>
      </w:r>
    </w:p>
    <w:p>
      <w:pPr>
        <w:spacing w:after="0" w:line="370" w:lineRule="exact"/>
        <w:rPr>
          <w:sz w:val="20"/>
          <w:szCs w:val="20"/>
          <w:color w:val="auto"/>
        </w:rPr>
      </w:pPr>
    </w:p>
    <w:p>
      <w:pPr>
        <w:ind w:left="2180" w:right="500" w:hanging="545"/>
        <w:spacing w:after="0" w:line="282" w:lineRule="auto"/>
        <w:tabs>
          <w:tab w:leader="none" w:pos="21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GEN1042 (BNT312): Our Jointly Owned DuoBody CD40x4-1BB Bispecific Antibody for the Treatment of Solid Tumors</w:t>
      </w:r>
    </w:p>
    <w:p>
      <w:pPr>
        <w:spacing w:after="0" w:line="58"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GEN1042 (BNT312), our jointly owned CD40x4-1BB antibody product candidate, is a potential first-in-class bispecific antibody designed to induce conditional immune activation by crosslinking CD40 and 4-1BB positive cells. We and Genmab began recruitment and screening for a Phase 1/2a trial of GEN1042 (BNT312) for the treatment of malignant solid tumors in August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GEN1042 (BNT312) Targets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GEN1042 (BNT312) is a bispecific antibody designed to enhance an anti-tumor immune response through conditional CD40-mediated stimulation of antigen presenting cells crosslinked with conditional stimulation of 4-1BB</w:t>
      </w:r>
      <w:r>
        <w:rPr>
          <w:rFonts w:ascii="Arial" w:cs="Arial" w:eastAsia="Arial" w:hAnsi="Arial"/>
          <w:sz w:val="15"/>
          <w:szCs w:val="15"/>
          <w:color w:val="auto"/>
        </w:rPr>
        <w:t>+</w:t>
      </w:r>
      <w:r>
        <w:rPr>
          <w:rFonts w:ascii="Arial" w:cs="Arial" w:eastAsia="Arial" w:hAnsi="Arial"/>
          <w:sz w:val="18"/>
          <w:szCs w:val="18"/>
          <w:color w:val="auto"/>
        </w:rPr>
        <w:t xml:space="preserve"> T cells. The cell surface molecule CD40 is a member of the tumor necrosis factor receptor superfamily.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GEN1042 (BNT312) Preclinical Studies</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GEN1042 (BNT312) is designed to target CD40 and 4-1BB to enhance both dendritic cell and antigen-dependent T cell activation. In preclinical settings, GEN1042 (BNT312) activated antigen presenting cells and enhanced T cell activation. Preclinical studies also indicated the conditional activation and (clonal) expansion of previously activated CD8</w:t>
      </w:r>
      <w:r>
        <w:rPr>
          <w:rFonts w:ascii="Arial" w:cs="Arial" w:eastAsia="Arial" w:hAnsi="Arial"/>
          <w:sz w:val="14"/>
          <w:szCs w:val="14"/>
          <w:color w:val="auto"/>
        </w:rPr>
        <w:t>+</w:t>
      </w:r>
      <w:r>
        <w:rPr>
          <w:rFonts w:ascii="Arial" w:cs="Arial" w:eastAsia="Arial" w:hAnsi="Arial"/>
          <w:sz w:val="17"/>
          <w:szCs w:val="17"/>
          <w:color w:val="auto"/>
        </w:rPr>
        <w:t xml:space="preserve"> T cells and cytokine production resulting from GEN1042 (BNT312).</w:t>
      </w:r>
    </w:p>
    <w:p>
      <w:pPr>
        <w:spacing w:after="0" w:line="314" w:lineRule="exact"/>
        <w:rPr>
          <w:sz w:val="20"/>
          <w:szCs w:val="20"/>
          <w:color w:val="auto"/>
        </w:rPr>
      </w:pPr>
    </w:p>
    <w:p>
      <w:pPr>
        <w:ind w:left="1620" w:hanging="430"/>
        <w:spacing w:after="0"/>
        <w:tabs>
          <w:tab w:leader="none" w:pos="1620" w:val="left"/>
        </w:tabs>
        <w:numPr>
          <w:ilvl w:val="0"/>
          <w:numId w:val="2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Targeted Cancer Antibodies</w:t>
      </w:r>
    </w:p>
    <w:p>
      <w:pPr>
        <w:spacing w:after="0" w:line="126" w:lineRule="exact"/>
        <w:rPr>
          <w:rFonts w:ascii="Arial" w:cs="Arial" w:eastAsia="Arial" w:hAnsi="Arial"/>
          <w:sz w:val="18"/>
          <w:szCs w:val="18"/>
          <w:b w:val="1"/>
          <w:bCs w:val="1"/>
          <w:i w:val="1"/>
          <w:iCs w:val="1"/>
          <w:color w:val="auto"/>
        </w:rPr>
      </w:pPr>
    </w:p>
    <w:p>
      <w:pPr>
        <w:ind w:left="2180" w:hanging="545"/>
        <w:spacing w:after="0"/>
        <w:tabs>
          <w:tab w:leader="none" w:pos="218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MVT-5873 (BNT321): Our Targeted Cancer Antibody for the Treatment of Pancreatic Cancer</w:t>
      </w:r>
    </w:p>
    <w:p>
      <w:pPr>
        <w:spacing w:after="0" w:line="22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May 2019, we acquired certain antibody assets from MabVax Therapeutics Holding, Inc., including MVT-5873 (BNT321), a clinical-stage targeted cancer antibody.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American Cancer Society estimates that approximately 56,770 people will be diagnosed with pancreatic cancer in the United States in 2019.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Pancreatic cancer is an aggressive cancer, with a five-year survival rate from diagnosis, across all stages combined, of 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MVT-5873 (BNT321) Target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MVT-5873 (BNT321) is a fully human IgG1 monoclonal antibody targeting sialyl Lewis A (sLe</w:t>
      </w:r>
      <w:r>
        <w:rPr>
          <w:rFonts w:ascii="Arial" w:cs="Arial" w:eastAsia="Arial" w:hAnsi="Arial"/>
          <w:sz w:val="15"/>
          <w:szCs w:val="15"/>
          <w:color w:val="auto"/>
        </w:rPr>
        <w:t>a</w:t>
      </w:r>
      <w:r>
        <w:rPr>
          <w:rFonts w:ascii="Arial" w:cs="Arial" w:eastAsia="Arial" w:hAnsi="Arial"/>
          <w:sz w:val="18"/>
          <w:szCs w:val="18"/>
          <w:color w:val="auto"/>
        </w:rPr>
        <w:t>), an epitope on CA19-9 that is expressed in pancreatic and other gastrointestinal cancers that plays a role in tumor adhesion and metastasis formation, and is a marker of an aggressive cancer phenotype.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MVT-5873 (BNT321) Trials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MVT-5873 (BNT321) is being investigated in an open-label, multi-center, non-randomized dose escalation Phase 1/2 study evaluating the safety and recommended Phase 2 dose of MVT-5873 (BNT321) both as a monotherapy and in combination with a standard of care chemotherapy in approximately 68 subjects with pancreatic and other CA19-9+ malignancies. Secondary objectives include evaluating tumor response rate by RECIST 1.1, duration of response, and determining pharmacokinetics. This study utilizes a conventional 3+3 design to identify the recommended Phase 2 dose.</w:t>
      </w:r>
    </w:p>
    <w:p>
      <w:pPr>
        <w:spacing w:after="0" w:line="154"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Interim data for the combination cohort was reported in February 2018. In this cohort, MVT-5873 (BNT321) was given in combination with nab-paclitaxel and gemcitabine to patients newly diagnosed with CA19-9+ pancreatic cancer. MVT-5873 (BNT321) at a dose of 0.125mg/kg when added to first-line chemotherapy was generally well tolerated by all subjects. All six patients evaluated had measurable tumor reductions by RECIST, with four patients meeting the criteria for partial response and two patients meeting the criteria for stable disease.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trial is currently paused; however, once we have successfully updated the regulatory filings with respect to MVT-5873 (BNT321), we intend to resume the trial in the second half of 2019.</w:t>
      </w:r>
    </w:p>
    <w:p>
      <w:pPr>
        <w:spacing w:after="0" w:line="315" w:lineRule="exact"/>
        <w:rPr>
          <w:sz w:val="20"/>
          <w:szCs w:val="20"/>
          <w:color w:val="auto"/>
        </w:rPr>
      </w:pPr>
    </w:p>
    <w:p>
      <w:pPr>
        <w:ind w:left="1180" w:hanging="544"/>
        <w:spacing w:after="0"/>
        <w:tabs>
          <w:tab w:leader="none" w:pos="11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Our Oncology Small Molecule Immunomodulator Product Candidates</w:t>
      </w:r>
    </w:p>
    <w:p>
      <w:pPr>
        <w:spacing w:after="0" w:line="135" w:lineRule="exact"/>
        <w:rPr>
          <w:sz w:val="20"/>
          <w:szCs w:val="20"/>
          <w:color w:val="auto"/>
        </w:rPr>
      </w:pPr>
    </w:p>
    <w:p>
      <w:pPr>
        <w:ind w:left="1620" w:hanging="430"/>
        <w:spacing w:after="0"/>
        <w:tabs>
          <w:tab w:leader="none" w:pos="1620" w:val="left"/>
        </w:tabs>
        <w:numPr>
          <w:ilvl w:val="0"/>
          <w:numId w:val="2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BNT411: Our Small Molecule TLR7 Agonist for the Treatment of Colorectal and Bladder Cancer</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BNT411 is our novel small molecule TLR7 agonist product candidate. BNT411 is designed to activate both the adaptive and innate immune system through the TLR7 pathway. We are designing BNT411 to be used in combination with chemotherapy and checkpoint inhibitors.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BNT411 Target</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BNT411 is a TLR7 agonist that is designed to activate both the adaptive and innate immune system through the TLR7 pathway. This activity and the release of cytokines and chemokines are designed to result in the potent stimulation of antigen-specific CD8</w:t>
      </w:r>
      <w:r>
        <w:rPr>
          <w:rFonts w:ascii="Arial" w:cs="Arial" w:eastAsia="Arial" w:hAnsi="Arial"/>
          <w:sz w:val="15"/>
          <w:szCs w:val="15"/>
          <w:color w:val="auto"/>
        </w:rPr>
        <w:t>+</w:t>
      </w:r>
      <w:r>
        <w:rPr>
          <w:rFonts w:ascii="Arial" w:cs="Arial" w:eastAsia="Arial" w:hAnsi="Arial"/>
          <w:sz w:val="18"/>
          <w:szCs w:val="18"/>
          <w:color w:val="auto"/>
        </w:rPr>
        <w:t xml:space="preserve"> T cells, B cells and innate immune cells such as NK cells and macrophages.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BNT411 Preclinical Studies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 xml:space="preserve">In preclinical studies, BNT411 (SC1.2/Ago1.2) was shown to be more potent in the induction of IFN-α compared to the clinical competitor compound resiquimod (R848), even at lower concentrations (minimal effective concentration of BNT411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is 4nM). In contrast to the tested competitor compound, BNT411 was shown to induce at low concentrations especially IFN-α whereas other (pro-)inflammatory and CRS-related cytokines (IL-6, IL-10, TNF-α, IL-8) are only observed at higher concentrations.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240" w:top="460"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18783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8858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clinical trial of BNT411 as a combination therapy in solid tumors in the first half of 2020.</w:t>
      </w:r>
    </w:p>
    <w:p>
      <w:pPr>
        <w:spacing w:after="0" w:line="370" w:lineRule="exact"/>
        <w:rPr>
          <w:sz w:val="20"/>
          <w:szCs w:val="20"/>
          <w:color w:val="auto"/>
        </w:rPr>
      </w:pPr>
    </w:p>
    <w:p>
      <w:pPr>
        <w:ind w:left="1180" w:hanging="544"/>
        <w:spacing w:after="0"/>
        <w:tabs>
          <w:tab w:leader="none" w:pos="11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Our Infectious Disease mRNA Product Candidates</w:t>
      </w:r>
    </w:p>
    <w:p>
      <w:pPr>
        <w:spacing w:after="0" w:line="378" w:lineRule="exact"/>
        <w:rPr>
          <w:sz w:val="20"/>
          <w:szCs w:val="20"/>
          <w:color w:val="auto"/>
        </w:rPr>
      </w:pPr>
    </w:p>
    <w:p>
      <w:pPr>
        <w:ind w:left="1620" w:hanging="430"/>
        <w:spacing w:after="0"/>
        <w:tabs>
          <w:tab w:leader="none" w:pos="1620" w:val="left"/>
        </w:tabs>
        <w:numPr>
          <w:ilvl w:val="0"/>
          <w:numId w:val="2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Prophylactic Vaccine for the Prevention of Influenza</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collaborating with Pfizer to develop an influenza vaccine based on our mRNA drug classes. The product candidate will encode influenza virus antigens selected by the WHO in advance of the flu season.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anticipate beginning a first clinical trial by the end of 2020.</w:t>
      </w:r>
    </w:p>
    <w:p>
      <w:pPr>
        <w:spacing w:after="0" w:line="374" w:lineRule="exact"/>
        <w:rPr>
          <w:sz w:val="20"/>
          <w:szCs w:val="20"/>
          <w:color w:val="auto"/>
        </w:rPr>
      </w:pPr>
    </w:p>
    <w:p>
      <w:pPr>
        <w:ind w:left="1620" w:hanging="430"/>
        <w:spacing w:after="0"/>
        <w:tabs>
          <w:tab w:leader="none" w:pos="1620" w:val="left"/>
        </w:tabs>
        <w:numPr>
          <w:ilvl w:val="0"/>
          <w:numId w:val="2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a research collaboration with Penn, under which we have the exclusive option to develop and commercialize prophylactic mRNA immunotherapies for the treatment of up to 10 infectious disease indications. On September 20, 2019, Penn announced positive preclinical results of a vaccine product candidate using its mRNA technology. The preclinical study vaccinated mice and guinea pigs against Herpes simplex virus type 2. Penn reported that the immunization led to “mostly sterilizing immunity” from the virus.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our first Phase 1 clinical trial under this collaboration in the first half of 2021.</w:t>
      </w:r>
    </w:p>
    <w:p>
      <w:pPr>
        <w:spacing w:after="0" w:line="370" w:lineRule="exact"/>
        <w:rPr>
          <w:sz w:val="20"/>
          <w:szCs w:val="20"/>
          <w:color w:val="auto"/>
        </w:rPr>
      </w:pPr>
    </w:p>
    <w:p>
      <w:pPr>
        <w:ind w:left="1180" w:hanging="544"/>
        <w:spacing w:after="0"/>
        <w:tabs>
          <w:tab w:leader="none" w:pos="11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Our Rare Disease Protein Replacement mRNA Product Candidates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are collaborating with Genevant, in order to combine our mRNA technology with Genevant’s LNP delivery technology, to create up to five mRNA protein replacement therapies for the treatment of rare diseases with high unmet medical needs. We expect our first compound from this collaboration to enter the clinic by the second half of 2020.</w:t>
      </w:r>
    </w:p>
    <w:p>
      <w:pPr>
        <w:spacing w:after="0" w:line="326" w:lineRule="exact"/>
        <w:rPr>
          <w:sz w:val="20"/>
          <w:szCs w:val="20"/>
          <w:color w:val="auto"/>
        </w:rPr>
      </w:pPr>
    </w:p>
    <w:p>
      <w:pPr>
        <w:ind w:left="1180" w:hanging="544"/>
        <w:spacing w:after="0"/>
        <w:tabs>
          <w:tab w:leader="none" w:pos="11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Our legacy commercial stage product, MammaTyper, is a molecular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for the quantitative detection of the mRNA expression of ERBB2, ESR1, PGR and MKI67 in breast cancer tissue. MammaTyper has been shown in a variety of scientific publications to offer superior diagnostics insights compared to conventional immunohistochemical detection methods.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XIII. Manufacturing</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building a fully integrated biotechnology company, with operations spanning from research through clinical development, and manufacturing through sales and marketing. We operate three GMP-certified manufacturing facilities in Germany, where we manufacture mRNA therapeutics and engineered cell therapies for our own pipeline and for external customers. We operate a fourth facility in Germany where we manufacture custom peptides to support our extensive immunomonitoring activities within our development programs. Our subsidiary BioNTech Innovative Manufacturing Services GmbH, or BioNTech IMFS, has been manufacturing GMP-certified cellular products since 1999. It was granted its first GMP license for manufacturing mRNA in 2011 and has been manufacturing individualized mRNA products since 2014.</w:t>
      </w:r>
    </w:p>
    <w:p>
      <w:pPr>
        <w:spacing w:after="0" w:line="17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expanded our capability to produce and supply drug products to support clinical development of our, and our collaborators’, product candidates. To date, we have manufactured over 500 drug substance batches in our manufacturing facilities.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approach has been to proactively build capacity in anticipation of demand from internal research and development, as well as from our collaborators. We have done so by continuing to make significant investments in manufacturing infrastructure and increasingly expanding our capacity to manufacture mRNA, viral vectors, cellular products and peptides. We believe the development and optimization of our manufacturing processes in parallel to drug development is crucial to our success. We have also collaborated with Siemens to develop a process for a fully-automated, on-demand production of mRNA therapies.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Manufacturing Operations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mRNA. </w:t>
      </w:r>
      <w:r>
        <w:rPr>
          <w:rFonts w:ascii="Arial" w:cs="Arial" w:eastAsia="Arial" w:hAnsi="Arial"/>
          <w:sz w:val="16"/>
          <w:szCs w:val="16"/>
          <w:color w:val="auto"/>
        </w:rPr>
        <w:t>We believe scaling up manufacturing for mRNA can best be executed as part of a proprietary manufacturing approach, not as part of an</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outsourcing strategy. We believe this approach allows us to maintain control of our proprietary processes and gives us the flexibility we need for scheduling batch production for our drug substances to match our development plans as they evolve. Our mRNA manufacturing is currently conducted at our in-house BioNTech IMFS facility and our BioNTech East Wing facility, the latter being dedicated to iNeST manufacturing. Our mRNA manufacturing process involves standardized production of all mRNA constructs and minimal restrictions in construct length. We have the capacity to undertake sterile filtration and final filling in up to 1,200 vials of various sizes. Batch sizes range from a few milligrams for individualized applications (</w:t>
      </w:r>
      <w:r>
        <w:rPr>
          <w:rFonts w:ascii="Arial" w:cs="Arial" w:eastAsia="Arial" w:hAnsi="Arial"/>
          <w:sz w:val="16"/>
          <w:szCs w:val="16"/>
          <w:i w:val="1"/>
          <w:iCs w:val="1"/>
          <w:color w:val="auto"/>
        </w:rPr>
        <w:t>i.e.</w:t>
      </w:r>
      <w:r>
        <w:rPr>
          <w:rFonts w:ascii="Arial" w:cs="Arial" w:eastAsia="Arial" w:hAnsi="Arial"/>
          <w:sz w:val="16"/>
          <w:szCs w:val="16"/>
          <w:color w:val="auto"/>
        </w:rPr>
        <w:t>, iNeST) to 3g for standard mRNA applications (</w:t>
      </w:r>
      <w:r>
        <w:rPr>
          <w:rFonts w:ascii="Arial" w:cs="Arial" w:eastAsia="Arial" w:hAnsi="Arial"/>
          <w:sz w:val="16"/>
          <w:szCs w:val="16"/>
          <w:i w:val="1"/>
          <w:iCs w:val="1"/>
          <w:color w:val="auto"/>
        </w:rPr>
        <w:t>i.e.</w:t>
      </w:r>
      <w:r>
        <w:rPr>
          <w:rFonts w:ascii="Arial" w:cs="Arial" w:eastAsia="Arial" w:hAnsi="Arial"/>
          <w:sz w:val="16"/>
          <w:szCs w:val="16"/>
          <w:color w:val="auto"/>
        </w:rPr>
        <w:t>, FixVac and intratumoral immunotherapies), with batch sizes of up to 10g currently possible.</w:t>
      </w:r>
    </w:p>
    <w:p>
      <w:pPr>
        <w:spacing w:after="0" w:line="16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To date, we have produced more than 500 batches of mRNA drug substance to support our studies. We currently have infrastructure capable of producing more than 100 batches of mRNA drug substance and formulated drug product per month with a turnaround time of about 30 to 40 days from sequence identification to released product. We believe we currently have the capacity to supply needs of our product candidates in clinical trials up to registration.</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recent years, we have successfully decreased the time required to deliver individualized immunotherapy to patients. In 2014, it took us over three months to manually manufacture and deliver individualized immunotherapies to patients. Since December 2017, with the implementation of semiautomatic GMP manufacturing in collaboration with Siemens, we have been consistently manufacturing and delivering individualized immunotherapies in under six weeks. This advancement represents significant progress toward our target commercial manufacturing turnaround time of less than 28 days. We believe this is achievable, and we plan to continue to develop additional process improvements, which we expect will further reduce our turnaround times as we progress through clinical development.</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i w:val="1"/>
          <w:iCs w:val="1"/>
          <w:color w:val="auto"/>
        </w:rPr>
        <w:t xml:space="preserve">Cell Therapy Products. </w:t>
      </w:r>
      <w:r>
        <w:rPr>
          <w:rFonts w:ascii="Arial" w:cs="Arial" w:eastAsia="Arial" w:hAnsi="Arial"/>
          <w:sz w:val="18"/>
          <w:szCs w:val="18"/>
          <w:color w:val="auto"/>
        </w:rPr>
        <w:t>We have end-to-end capabilities and over 20 years of experience in cell therapy manufacturing.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for cellular products involves the isolation of primary human cells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240" w:top="460"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and subpopulations, including CD34</w:t>
      </w:r>
      <w:r>
        <w:rPr>
          <w:rFonts w:ascii="Arial" w:cs="Arial" w:eastAsia="Arial" w:hAnsi="Arial"/>
          <w:sz w:val="14"/>
          <w:szCs w:val="14"/>
          <w:color w:val="auto"/>
        </w:rPr>
        <w:t>+</w:t>
      </w:r>
      <w:r>
        <w:rPr>
          <w:rFonts w:ascii="Arial" w:cs="Arial" w:eastAsia="Arial" w:hAnsi="Arial"/>
          <w:sz w:val="17"/>
          <w:szCs w:val="17"/>
          <w:color w:val="auto"/>
        </w:rPr>
        <w:t xml:space="preserve"> and CD3</w:t>
      </w:r>
      <w:r>
        <w:rPr>
          <w:rFonts w:ascii="Arial" w:cs="Arial" w:eastAsia="Arial" w:hAnsi="Arial"/>
          <w:sz w:val="14"/>
          <w:szCs w:val="14"/>
          <w:color w:val="auto"/>
        </w:rPr>
        <w:t>+</w:t>
      </w:r>
      <w:r>
        <w:rPr>
          <w:rFonts w:ascii="Arial" w:cs="Arial" w:eastAsia="Arial" w:hAnsi="Arial"/>
          <w:sz w:val="17"/>
          <w:szCs w:val="17"/>
          <w:color w:val="auto"/>
        </w:rPr>
        <w:t xml:space="preserve"> cells. We engage in the culturing, expansion and genetic modification of primary human cells as well as mammalian cell lines. Our processes include vector production for transfection of cells with CARs, cell banking and cryopreservation.</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have set up a broad range of quality control assays for the characterization of cell therapy products that allow us to certify the manufactured drug products in a short time. We are a leader in the production of gamma retroviral vectors. To date, we have produced more than 50 different cell therapy products.</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Peptides. </w:t>
      </w:r>
      <w:r>
        <w:rPr>
          <w:rFonts w:ascii="Arial" w:cs="Arial" w:eastAsia="Arial" w:hAnsi="Arial"/>
          <w:sz w:val="17"/>
          <w:szCs w:val="17"/>
          <w:color w:val="auto"/>
        </w:rPr>
        <w:t>Our custom peptide synthesis business has developed unique technologies to produce several million peptides during the past three years</w:t>
      </w:r>
      <w:r>
        <w:rPr>
          <w:rFonts w:ascii="Arial" w:cs="Arial" w:eastAsia="Arial" w:hAnsi="Arial"/>
          <w:sz w:val="17"/>
          <w:szCs w:val="17"/>
          <w:i w:val="1"/>
          <w:iCs w:val="1"/>
          <w:color w:val="auto"/>
        </w:rPr>
        <w:t xml:space="preserve"> </w:t>
      </w:r>
      <w:r>
        <w:rPr>
          <w:rFonts w:ascii="Arial" w:cs="Arial" w:eastAsia="Arial" w:hAnsi="Arial"/>
          <w:sz w:val="17"/>
          <w:szCs w:val="17"/>
          <w:color w:val="auto"/>
        </w:rPr>
        <w:t>to support our growing clinical pipeline. These 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plan to establish a new production facility, which will roughly double our current capacity.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Manufacturing Facilities</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operate four manufacturing and packaging facilities in Germany. In these facilities, we manufacture and package individualized mRNA, bulk mRNA, retroviral vectors, cellular products and peptides. In Mainz, we are currently constructing another facility for iNeST manufacturing at a commercial scale, which is planned to start manufacturing in 2022 and will supply markets mainly in Europe and the United States.</w:t>
      </w:r>
    </w:p>
    <w:p>
      <w:pPr>
        <w:spacing w:after="0" w:line="16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BioNTech IMFS</w:t>
      </w:r>
      <w:r>
        <w:rPr>
          <w:rFonts w:ascii="Arial" w:cs="Arial" w:eastAsia="Arial" w:hAnsi="Arial"/>
          <w:sz w:val="18"/>
          <w:szCs w:val="18"/>
          <w:color w:val="auto"/>
        </w:rPr>
        <w:t>. Our manufacturing operations for retroviral vectors, cell therapy products and mRNA are housed in our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BioNTech IMFS. Founded in 1997, BioNTech IMFS specializes in services for innovative therapeutic approaches. In 2009, BioNTech IMFS became our wholly-owned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Two hundred and twenty staff members are employed at this facility, with collective expertise in molecular biology, cell biology and virology.</w:t>
      </w:r>
    </w:p>
    <w:p>
      <w:pPr>
        <w:spacing w:after="0" w:line="19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BioNTech iNeST Clinical Manufacturing (East Wing)</w:t>
      </w:r>
      <w:r>
        <w:rPr>
          <w:rFonts w:ascii="Arial" w:cs="Arial" w:eastAsia="Arial" w:hAnsi="Arial"/>
          <w:sz w:val="18"/>
          <w:szCs w:val="18"/>
          <w:color w:val="auto"/>
        </w:rPr>
        <w:t>. We dedicate our GMP-certified manufacturing facility at our headquarters in Mainz,</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to the production of iNeST immunotherapies. In 2015, our wholly-owned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released our first drug product there the following month.</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facility contains approximately 17,000 square feet of laboratory and office space, including 4,300 square feet of GMP facilities. About 200 staff members are employed at this facility and operate it seven days per week. In its first year of operation the facility manufactured and released more than 250 batches of mRNA.</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i w:val="1"/>
          <w:iCs w:val="1"/>
          <w:color w:val="auto"/>
        </w:rPr>
        <w:t>BioNTech Clinical Manufacturing</w:t>
      </w:r>
      <w:r>
        <w:rPr>
          <w:rFonts w:ascii="Arial" w:cs="Arial" w:eastAsia="Arial" w:hAnsi="Arial"/>
          <w:sz w:val="18"/>
          <w:szCs w:val="18"/>
          <w:color w:val="auto"/>
        </w:rPr>
        <w:t>. Our GMP-certified manufacturing facility in Kupferbergterrasse, Mainz, Germany is authorized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packing, labeling, storage and batch release of primary packed investigational medicinal products. This facility contains approximately 11,500 square feet of laboratory and office space, including 1,250 square feet of GMP facilities.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i w:val="1"/>
          <w:iCs w:val="1"/>
          <w:color w:val="auto"/>
        </w:rPr>
        <w:t>JPT</w:t>
      </w:r>
      <w:r>
        <w:rPr>
          <w:rFonts w:ascii="Arial" w:cs="Arial" w:eastAsia="Arial" w:hAnsi="Arial"/>
          <w:sz w:val="18"/>
          <w:szCs w:val="18"/>
          <w:color w:val="auto"/>
        </w:rPr>
        <w:t>. JPT, our peptide manufacturing facility, was established in 2004 and became a wholly-owned subsidiary of BioNTech in 2008. JPT is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Berlin, Germany and occupies over 16,000 square feet of clean rooms, laboratory and office space.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Certifications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Manufacturing Outlook</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committed to the continued development of world-class manufacturing operations to support our clinical manufacturing needs, to prepare for commercial scale manufacturing of our product candidates, and to realize external commercial opportunities. We expect to commit approximately an additional €250 million through 2023. Our planned manufacturing investments include:</w:t>
      </w:r>
    </w:p>
    <w:p>
      <w:pPr>
        <w:spacing w:after="0" w:line="87" w:lineRule="exact"/>
        <w:rPr>
          <w:sz w:val="20"/>
          <w:szCs w:val="20"/>
          <w:color w:val="auto"/>
        </w:rPr>
      </w:pPr>
    </w:p>
    <w:p>
      <w:pPr>
        <w:ind w:left="640" w:right="380" w:hanging="328"/>
        <w:spacing w:after="0" w:line="277"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two new buildings at our BioNTech IMFS facility, including three floors each of clean rooms and additional development and quality control laboratories;</w:t>
      </w:r>
    </w:p>
    <w:p>
      <w:pPr>
        <w:spacing w:after="0" w:line="75" w:lineRule="exact"/>
        <w:rPr>
          <w:rFonts w:ascii="Arial" w:cs="Arial" w:eastAsia="Arial" w:hAnsi="Arial"/>
          <w:sz w:val="18"/>
          <w:szCs w:val="18"/>
          <w:color w:val="auto"/>
        </w:rPr>
      </w:pPr>
    </w:p>
    <w:p>
      <w:pPr>
        <w:ind w:left="640" w:right="280" w:hanging="328"/>
        <w:spacing w:after="0" w:line="277"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our planned commercial scale facility in Mainz, which will occupy more than 100,000 square feet and will house cleanrooms, laboratories and offices; and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 expansion of our JPT facility, which is designed to more than double our capacity.</w:t>
      </w:r>
    </w:p>
    <w:p>
      <w:pPr>
        <w:spacing w:after="0" w:line="370"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6"/>
          <w:szCs w:val="16"/>
          <w:b w:val="1"/>
          <w:bCs w:val="1"/>
          <w:color w:val="auto"/>
        </w:rPr>
        <w:t>Third-Party Collaborations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collaborations include:</w:t>
      </w:r>
    </w:p>
    <w:p>
      <w:pPr>
        <w:spacing w:after="0" w:line="131" w:lineRule="exact"/>
        <w:rPr>
          <w:sz w:val="20"/>
          <w:szCs w:val="20"/>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Genentech for our iNeST platform in our mRNA drug class;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Sanofi for our intratumoral therapy platform in our mRNA drug class;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Genmab for our next-generation checkpoint immunomodulator platform in our antibodies drug class;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Pfizer for our influenza vaccine program, which leverages technology from our infectious disease mRNA-based platform;</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Penn for up to 10 prophylactic indications in our infectious disease mRNA-based platform;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Genevant for our rare disease protein replacement therapy platform in our mRNA drug class.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80"/>
          </w:cols>
          <w:pgMar w:left="24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Genentech—iNeST Collaboration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jc w:val="both"/>
        <w:ind w:left="200" w:right="200" w:firstLine="441"/>
        <w:spacing w:after="0" w:line="288" w:lineRule="auto"/>
        <w:rPr>
          <w:sz w:val="20"/>
          <w:szCs w:val="20"/>
          <w:color w:val="auto"/>
        </w:rPr>
      </w:pPr>
      <w:r>
        <w:rPr>
          <w:rFonts w:ascii="Arial" w:cs="Arial" w:eastAsia="Arial" w:hAnsi="Arial"/>
          <w:sz w:val="16"/>
          <w:szCs w:val="16"/>
          <w:color w:val="auto"/>
        </w:rPr>
        <w:t>On September 20, 2016, we and BioNTech RNA entered into a Collaboration Agreement with Genentech and F. Hoffman-La Roche Ltd, which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w:t>
      </w:r>
    </w:p>
    <w:p>
      <w:pPr>
        <w:jc w:val="both"/>
        <w:ind w:left="200" w:right="20"/>
        <w:spacing w:after="0" w:line="277" w:lineRule="auto"/>
        <w:rPr>
          <w:sz w:val="20"/>
          <w:szCs w:val="20"/>
          <w:color w:val="auto"/>
        </w:rPr>
      </w:pPr>
      <w:r>
        <w:rPr>
          <w:rFonts w:ascii="Arial" w:cs="Arial" w:eastAsia="Arial" w:hAnsi="Arial"/>
          <w:sz w:val="17"/>
          <w:szCs w:val="17"/>
          <w:color w:val="auto"/>
        </w:rPr>
        <w:t>Under the Genentech Collaboration Agreement, we and Genentech have agreed to perform joint research, with each party bearing its own costs,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Collaboration Agreement at our sole expense, and any future material changes in the operation of such clinical studies require Genentech’s approval. Genentech may access and use any data generated in these ongoing clinical studies.</w:t>
      </w:r>
    </w:p>
    <w:p>
      <w:pPr>
        <w:spacing w:after="0" w:line="154"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co-funding of such development and Genentech may continue do so at its own costs, except that we are obligated to repay Genentech’s development costs in the event that such product subsequently receives regulatory approval.</w:t>
      </w:r>
    </w:p>
    <w:p>
      <w:pPr>
        <w:spacing w:after="0" w:line="19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 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16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jointly-owned intellectual property developed under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this agreement for the performance of our ongoing clinical studies and the exercise of our rights and obligations under the Genentech Collaboration Agreement.</w:t>
      </w:r>
    </w:p>
    <w:p>
      <w:pPr>
        <w:spacing w:after="0" w:line="170"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Until September 20, 2019, we and Genentech are subject to certain exclusivity obligations under the Genentech Collaboration Agreement. In addition, 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17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Manufacturing Development and Supply Agreement</w:t>
      </w:r>
    </w:p>
    <w:p>
      <w:pPr>
        <w:spacing w:after="0" w:line="117"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Concurrent with the Genentech Collaboration Agreement, we and BioNTech RNA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addition, we are responsible for developing the commercial manufacturing process, which requires more stringent turnaround times than the clinical manufacturing process. Genentech will generally be responsible for commercial manufacturing. We are obligated to use commercially reasonable efforts to achieve certain predetermined clinical manufacturing capacity commitments.</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 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Sanofi—Intratumoral Therapy Collaboration</w:t>
      </w:r>
    </w:p>
    <w:p>
      <w:pPr>
        <w:spacing w:after="0" w:line="117" w:lineRule="exact"/>
        <w:rPr>
          <w:sz w:val="20"/>
          <w:szCs w:val="20"/>
          <w:color w:val="auto"/>
        </w:rPr>
      </w:pPr>
    </w:p>
    <w:p>
      <w:pPr>
        <w:jc w:val="both"/>
        <w:ind w:left="200" w:right="660" w:firstLine="441"/>
        <w:spacing w:after="0" w:line="264" w:lineRule="auto"/>
        <w:rPr>
          <w:sz w:val="20"/>
          <w:szCs w:val="20"/>
          <w:color w:val="auto"/>
        </w:rPr>
      </w:pPr>
      <w:r>
        <w:rPr>
          <w:rFonts w:ascii="Arial" w:cs="Arial" w:eastAsia="Arial" w:hAnsi="Arial"/>
          <w:sz w:val="18"/>
          <w:szCs w:val="18"/>
          <w:color w:val="auto"/>
        </w:rPr>
        <w:t>On November 2, 2015, BioNTech RNA entered into a Collaboration and License Agreement with Sanofi, which we refer to as the Sanofi Agreement. Pursuant to the Sanofi Agreement, we and Sanofi will collaborate on intratumorally administered mRNA-based therapeutics for the treatment of solid tumors in humans.</w:t>
      </w:r>
    </w:p>
    <w:p>
      <w:pPr>
        <w:spacing w:after="0" w:line="181" w:lineRule="exact"/>
        <w:rPr>
          <w:sz w:val="20"/>
          <w:szCs w:val="20"/>
          <w:color w:val="auto"/>
        </w:rPr>
      </w:pPr>
    </w:p>
    <w:p>
      <w:pPr>
        <w:ind w:left="200" w:right="1020" w:firstLine="441"/>
        <w:spacing w:after="0" w:line="277" w:lineRule="auto"/>
        <w:rPr>
          <w:sz w:val="20"/>
          <w:szCs w:val="20"/>
          <w:color w:val="auto"/>
        </w:rPr>
      </w:pPr>
      <w:r>
        <w:rPr>
          <w:rFonts w:ascii="Arial" w:cs="Arial" w:eastAsia="Arial" w:hAnsi="Arial"/>
          <w:sz w:val="18"/>
          <w:szCs w:val="18"/>
          <w:color w:val="auto"/>
        </w:rPr>
        <w:t>The Sanofi Agreement contemplates: (i) research, (ii) development and commercialization and (iii) possible co-development and co-commercialization activities with 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research phase, the parties seek to identify, characterize and validate up to five “mixtures” of two or more mRNAs encoding different proteins administered together in the same solution. Sanofi at its sole discretion may select up to five mixtures created under the research plan for further development and commercialization, which we refer to as Sanofi Collaboration Products.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After selection of a Sanofi Collaboration Product, Sanofi would be responsible for all development and commercialization activities involving that product. We have the option, by payment of an exercise fee, to co-develop and co-commercialize up to two Sanofi Collaboration Products primarily in the United States and in some European countries, including the United Kingdom, France, Germany, Italy and Spain. If we exercise such an option, the costs for co-development and co-commercialization of the chosen Sanofi Collaboration Products would be allocated between the parties. In turn, Sanofi has an option to co-develop and co-commercialize certain mixtures developed by us or with third parties that contain a certain amount of the mRNAs of a Sanofi Collaboration Product.</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March 2018, Sanofi selected the first Sanofi Collaboration Product for further development and commercialization and we exercised our option for co-development and co-commercialization of the Sanofi Collaboration Product. Effective as of March 2018, the parties entered into a separate development agreement for the co-development of this Sanofi Collaboration Product.</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Under the Sanofi Agreement, Sanofi has paid upfront and near-term milestone payments of approximately €60 million. We are entitled to receive up to approximately €260 million per product upon achievement of certain development, regulatory and commercial milestones. If commercialized successfully, we would also be eligible for mid-single digit to very low double-digit tiered royalties on net sales on a country-by-country and product-by-product basis until the later of (i) expiration of the last relevant patent covering such product in such country, (ii) 10 years following first commercial sale of such product in such country, (iii) expiration of regulatory data exclusivity for such product in such country and (iv) the market entry of a generic biological product with a certain market share in relation to such product in such country.</w:t>
      </w:r>
    </w:p>
    <w:p>
      <w:pPr>
        <w:spacing w:after="0" w:line="178"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Sanofi Agreement will remain effective until the last-to-expire royalty term (or, when a co-development option has been exercised, the completion of all co-development and co-commercialization activities). The parties may terminate the Sanofi Agreement in its entirety or terminate certain co-development activities for convenience, with or without cause.</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Sanofi Agreement provides that we may not engage in certain research and development activities relating to the intratumoral injection of mRNAs.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Genmab—Next-generation Immunomodulator Collaboration</w:t>
      </w:r>
    </w:p>
    <w:p>
      <w:pPr>
        <w:spacing w:after="0" w:line="11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May 19, 2015, we entered into a License and Collaboration Agreement with Genmab (together with all amendments and side letters thereto, collectively referred to as the Genmab Agreement) to jointly research, develop and commercialize polypeptide-based bispecific antibodies against certain target combinations for the treatment of cancer in humans worldwide, or the Genmab Agreement Field, using certain Genmab technology. In connection with our entry into the Genmab Agreement, Genmab paid us an upfront fee of $10 million.</w:t>
      </w:r>
    </w:p>
    <w:p>
      <w:pPr>
        <w:spacing w:after="0" w:line="17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is currently set to expire on May 31, 2021, but has in the past been extended.</w:t>
      </w:r>
    </w:p>
    <w:p>
      <w:pPr>
        <w:spacing w:after="0" w:line="17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During the research and evaluation phase, we and Genmab may propose clinical candidates for consideration by a joint research committee for further preclinical and clinical development. If a party, through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joint research committee, indicates that it is not interested in further development and commercialization of any clinical candidate, the other party may continue development and commercialization of such products on a unilateral basis, at its sole expense. The party that continues such development and commercialization is obligated to pay the other party certain development, regulatory and sales milestone payments and royalties on net sales of the applicable Unilateral Products. During either party’s development and commercialization of a Unilateral Product, the other party must not develop or commercialize any bispecific antibody targeting the same target combination of such Genmab Unilateral Product if such bispecific antibody was generated as part of the collaboration under this agreement.</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17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and Genmab must use commercially reasonable efforts to jointly commercialize all Genmab Collaboration Products and share equally all expenses and profits arising from such commercialization. We and Genmab, on a product-by-product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1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18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18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 research plan. During the preclinical and clinical development phase for any Genmab Collaboration Product, engagement in research and development activities in the Genmab Agreement Field unilaterally by a party relating to a Genmab Collaboration Product or its Genmab Back-up Candidate or any bispecific antibody which targets the same target combination for which such Genmab Collaboration Product or Genmab Back-up Candidate has been developed would require the other party’s prior written consent.</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opt-out party permits continued development and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 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Genmab Agreement will remain in effect until the later of (i) the expiration of the last-to-expire royalty term for any Unilateral Product and</w:t>
      </w:r>
    </w:p>
    <w:p>
      <w:pPr>
        <w:spacing w:after="0" w:line="46" w:lineRule="exact"/>
        <w:rPr>
          <w:sz w:val="20"/>
          <w:szCs w:val="20"/>
          <w:color w:val="auto"/>
        </w:rPr>
      </w:pPr>
    </w:p>
    <w:p>
      <w:pPr>
        <w:ind w:left="200" w:right="380" w:firstLine="4"/>
        <w:spacing w:after="0" w:line="323" w:lineRule="auto"/>
        <w:tabs>
          <w:tab w:leader="none" w:pos="46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 Lilly TCR Therapy Collaboration</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May 2015, BioNTech C&amp;GT entered into a drug discovery research, development and commercialization agreement with Eli Lilly regarding TCR-based therapeutics for the treatment of cancer. We refer to this agreement as the Lilly Agreement.</w:t>
      </w:r>
    </w:p>
    <w:p>
      <w:pPr>
        <w:spacing w:after="0" w:line="170"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Under the Lilly Agreement, BioNTech C&amp;GT is obligated to use commercially reasonable efforts to perform specified research and development activities relating to potential TCR targets. Additionally, BioNTech C&amp;GT is obligated to work exclusively with Eli Lilly in the field of non-small cell lung cancer outside of certain permitted personalized TCR and RNA therapy activities. In consideration of these activities, Eli Lilly is obligated to pay to BioNTech C&amp;GT an annual research and development fee. Additionally, Eli Lilly made an upfront payment of $30 million to BioNTech C&amp;GT in connection with entry into the Lilly Agreement and an additional $30 million equity investment in BioNTech C&amp;GT. In March 2019, we agreed to exchange Eli Lilly’s shares in BioNTech C&amp;GT for our (BioNTech SE’s) shares. Eli Lilly is obligated to pay up to an aggregate of approximately $300 million to BioNTech C&amp;GT upon the occurrence of certain development, regulatory and commercial milestones. Finally, upon commercialization of a product, Eli Lilly would be obligated to pay tiered royalties on net sales of the product ranging from the low single-digit to very low double-digit percentages. BioNTech C&amp;GT would be obligated to pay to Eli Lilly tiered royalties in the mid-single-digit percentages on net sales of certain products targeted at any new MHC peptide complexes, as well as up to an aggregate of $70 million upon the occurrence of commercial milestones.</w:t>
      </w:r>
    </w:p>
    <w:p>
      <w:pPr>
        <w:spacing w:after="0" w:line="169"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BioNTech C&amp;GT agreed to grant to Eli Lilly a worldwide, exclusive license to certain of its intellectual property necessary to exploit any selected targets and worldwide, non-exclusive licenses to BioNTech C&amp;GT’s background intellectual property and interest in collaboration intellectual property to exploit any selected targets, non-platform products, and small molecule and antibody products. Furthermore, BioNTech C&amp;GT granted to Eli Lilly a worldwide, non-exclusive, sublicensable, royalty-free license to its background intellectual property and interest in collaboration intellectual property to exploit companion diagnostics for platform products and diagnostics generally.</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turn, Eli Lilly granted to BioNTech C&amp;GT a worldwide exclusive, sublicensable license under its interest in collaboration intellectual property to exploit personalized RNA therapies and TCR therapies and a worldwide, non-exclusive, sublicensable license under its interest in collaboration intellectual property to exploit diagnostics and companion diagnostics.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Eli Lilly has the sole right to select targets investigated during the research term for development and commercialization. Upon selection of a target Eli Lilly is obligated to use commercially reasonable efforts to develop and commercialize at least one product in the United States and in one other country from a specified list of major countries. On September 5, 2019, Eli Lilly selected its first target under the Agreement, resulting in a $2 million milestone payment to BioNTech.</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Lilly Agreement may be terminated in its entirety or in part by either party upon an uncured material breach or insolvency of the other party.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Eli Lilly may terminate the Lilly Agreement with or without reason by giving 30 days’ advance written notice to BioNTech C&amp;GT.</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Pfizer—Influenza Collaboration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July 20, 2018, we and BioNTech RNA entered into a Research Collaboration and License Agreement with Pfizer, or the Pfizer Agreement, for the research, development and Pfizer’s commercialization of immunogenic compositions comprising modified RNA and/or replicon technology for prophylaxis against influenza in humans, which we refer to as the Pfizer Agreement Field.</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and Pfizer agreed to collaborate on the research in the Pfizer Agreement Field for an initial period of three years.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17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the Pfizer Agreement, we grant to Pfizer an exclusive, worldwide, sublicensable license under certain of our intellectual property, including our patents and know-how, relating to replicons and modified RNA in the Pfizer Agreement Field as well as certain intellectual property in-licensed by us from third parties, to use, research, develop, manufacture, commercialize and otherwise exploit candidates and products selected under the Pfizer Agreement. We also grant to Pfizer a non-exclusive, royalty-free, sublicensable license under all intellectual property controlled by us or our affiliates to use, develop, manufacture, commercialize and otherwise exploit candidates and products selected under the Pfizer Agreement in the Pfizer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w:t>
      </w:r>
    </w:p>
    <w:p>
      <w:pPr>
        <w:spacing w:after="0" w:line="182"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For a limited period of time, we also granted Pfizer an exclusive right of first refusal and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refusal expired on July 20, 2019, at which time a right of first negotiation became effective. The right of first negotiation may be exercised until the end of the research term.</w:t>
      </w:r>
    </w:p>
    <w:p>
      <w:pPr>
        <w:spacing w:after="0" w:line="154"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consideration of the rights granted to Pfizer under the agreement, Pfizer subscribed to shares in BioNTech AG under a separate investment agreement. In addition, under the Pfizer Agreement, Pfizer made an upfront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93" w:lineRule="auto"/>
        <w:rPr>
          <w:sz w:val="20"/>
          <w:szCs w:val="20"/>
          <w:color w:val="auto"/>
        </w:rPr>
      </w:pPr>
      <w:r>
        <w:rPr>
          <w:rFonts w:ascii="Arial" w:cs="Arial" w:eastAsia="Arial" w:hAnsi="Arial"/>
          <w:sz w:val="16"/>
          <w:szCs w:val="16"/>
          <w:color w:val="auto"/>
        </w:rPr>
        <w:t>payment of $50 million and agreed to potential payments of up to $325 million upon the achievement of specified development, regulatory and commercial milestones. Pfizer further agreed to a mid-single digit to very low double-digit tiered royalty on net sales if a product is commercialized. Royalties are subject to stacking provisions. The obligation of Pfizer to pay royalties ends, on a country-by-country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 such product category in such country. There are only two product categories: one for modified RNA and a second for replicon products.</w:t>
      </w:r>
    </w:p>
    <w:p>
      <w:pPr>
        <w:spacing w:after="0" w:line="165" w:lineRule="exact"/>
        <w:rPr>
          <w:sz w:val="20"/>
          <w:szCs w:val="20"/>
          <w:color w:val="auto"/>
        </w:rPr>
      </w:pPr>
    </w:p>
    <w:p>
      <w:pPr>
        <w:ind w:left="200" w:right="720" w:firstLine="441"/>
        <w:spacing w:after="0" w:line="308" w:lineRule="auto"/>
        <w:rPr>
          <w:sz w:val="20"/>
          <w:szCs w:val="20"/>
          <w:color w:val="auto"/>
        </w:rPr>
      </w:pPr>
      <w:r>
        <w:rPr>
          <w:rFonts w:ascii="Arial" w:cs="Arial" w:eastAsia="Arial" w:hAnsi="Arial"/>
          <w:sz w:val="17"/>
          <w:szCs w:val="17"/>
          <w:color w:val="auto"/>
        </w:rPr>
        <w:t>During the term of the Pfizer Agreement, we have committed not to research, develop, manufacture, commercialize or otherwise exploit immunogenic compositions compromising RNA in the Pfizer Agreement Field other than pursuant to the Pfizer Agreement.</w:t>
      </w:r>
    </w:p>
    <w:p>
      <w:pPr>
        <w:spacing w:after="0" w:line="14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Pfizer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Bill &amp; Melinda Gates Foundation—HIV and Tuberculosis Collaboration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 August 30, 2019, we entered into a letter agreement and an investment agreement with the Bill &amp; Melinda Gates Foundation, or BMGF, pursuant to which BMGF acquired 3,038,674 of our ordinary shares for $55 million at the price of our Series B financing. The primary purpose of BMGF’s investment is to further its charitable purposes, and the investment will be utilized to advance the development of products for the prevention and/or treatment of HIV and tuberculosis, or TB. About one-third of the investment will be used to help fund our infrastructure build-out; this expansion of the company’s infectious disease capabilities is necessary to enable us to conduct BMGF projects.</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addition to the HIV and TB projects, BMGF has the right to initiate up to three additional projects focused on infectious diseases (from a list of mutually agreed upon diseases) within the first five years of the partnership. BMGF may also continue to fund certain projects beyond initial funding agreements. These additional activities may be funded through grants from BMGF of up to $45 million. We must accept funding for the HIV and TB projects until the occurrence of defined event stamps and for the additional projects until the eighth anniversary of the closing of the investment. The event stamps involve the completion of Phase 1 safety and immunogenicity studies in healthy and/or infected individuals showing specific results.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we elect not to proceed with any project following achievement of the event stamps, a new partner may further develop the project and manufacture any resulting products. Such partner will be identified through a series of defined steps and a technology transfer would take place. If a suitable manufacturing partner is not identified, we must manufacture the clinical and commercial supply of any product until a partner is identified. Such manufacturing may require us to increase our manufacturing capacities, which may be funded by BMGF. We retain the right to manufacture at any time.</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primary objective of BMGF is to provide funding to accelerate the development of lifesaving, low-cost drugs to reduce the burden of diseases in developing countries. This objective is known as global access commitments, or GAC. The projects in this partnership are separate and distinct from our current proprietary and partnered product candidates; all BMGF programs, however, will utilize our proprietary technology platforms. We retain rights for commercialization of products in the developed world. We can also independently develop any of the project results under new proprietary projects. The results which are funded under this partnership are always accessible by BMGF and are subject to GAC.</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granted a non-exclusive, perpetual, royalty-free license (with limited rights to sub-license) to our platform technology that is specifically used in the defined projects for the purpose of benefiting people in developing countries. This license is known as the global health license and only becomes exercisable upon the occurrence of a charitability default (as detailed below) or if we become insolvent. BMGF has granted us a de-blocking license to ensure freedom to operate of our platform technology. We will negotiate in good faith to expand the geographic scope of the global health license to include developed countries if requested by the new partner.</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objective is to generate products that are affordable and accessible for the developing world. The final price, however, will not fall below our full costs of manufacturing the product.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required to publish, in accordance with certain “open access” terms and conditions, results and information developed under the projects.</w:t>
      </w:r>
    </w:p>
    <w:p>
      <w:pPr>
        <w:spacing w:after="0" w:line="24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BMGF has a right to withdraw from its investment in certain specified circumstances, including if we become insolvent or in the event of a charitability default, namely material breach of the GAC or breach of other specified requirements in the agreement. If we do not cure the charitability default within a specified period of time (if curable), we must repurchase all of the shares held by BMGF, to the extent consistent with applicable law, if we have sufficient free reserves and available liquidity, or we must locate a third-party purchaser of those shares. If we are not able to repurchase the shares or find a third-party purchaser, we must use our best efforts to effect BMGF’s withdrawal right as soon as practicable, which may mean acquiring the shares in tranches over time. To the extent permitted by law, we must compensate BMGF for any shortfall if the price achieved on a sale to a third party is lower than its initial investment. During the period before a charitiability default occurs, we can pay dividends on our shares, provided that our cash reserves exceed the price per share paid by BMGF times the number of shares BMGF holds (which is initially $55 million), and to the extent permitted by law, we must contribute annual profits of that amount to the cash reserves. After a charitability default has occurred and until the withdrawal right has been satisfied in full, we may only pay dividends in excess of the aggregate minimum purchase price if BMGF has not exercised any option to require us to repurchase any remaining shares held by them. For any purchase resulting from a charitability default, the aggregate minimum purchase price of BMGF’s shares will be valued at the greater of the original purchase price of the shares or the fair market value of such shares.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of the letter agreement continues in perpetuity.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Genevant—Rare Disease Protein Replacement Therapy Strategic Collaboration</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July 2018, our wholly-owned subsidiary BioNTech RNA Pharmaceuticals GmbH, or BioNTech RNA, entered into a license and co-development agreement with Genevant Sciences GmbH, or Genevant for the joint development of certain pharmaceutical products and the licensing of specified rights to Genevant’s lipid nanoparticle delivery technology to BioNTech RNA. We refer to this agreement as the Genevant Agreement.</w:t>
      </w:r>
    </w:p>
    <w:p>
      <w:pPr>
        <w:spacing w:after="0" w:line="14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Under the Genevant Agreement, BioNTech RNA and Genevant have agreed to collaborate to develop pharmaceutical products that contain any of five mRNA payloads created by BioNTech RNA encapsulated within a Genevant (or, if the parties agree, a third party) LNP, or the Co-Development Products, for the treatment, prevention and diagnosis of liver diseases, excluding any oncology diseases, or the Co-Development Field. Each party granted to the other party a worldwide, co-exclusive license or sublicense, with limited sublicensing rights, under certain of its patents and know-how to research, develop, make, have made, use, distribute, sell, offer for sale, have sold, import, export and otherwise commercialize the Co-Development Products in the Co-Development Field as provided in development and commercialization plans approved by a joint steering committee and subject to certain restrictions under the Genevant Agreement.</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BioNTech RNA obtained an exclusive, worldwide, royalty-bearing license or sublicense under Genevant’s LNP delivery technology to research, develop, make, have made, use, distribute, sell, offer for sale,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80"/>
          </w:cols>
          <w:pgMar w:left="240" w:top="460"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have sold, import, export and otherwise commercialize pharmaceutical products containing BioNTech mRNA payloads encapsulated within an LNP, or the BioNTech Products, for the treatment, prevention and diagnosis of illnesses in the field of oncology, or the BioNTech Field.</w:t>
      </w:r>
    </w:p>
    <w:p>
      <w:pPr>
        <w:spacing w:after="0" w:line="14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Each party retained certain rights to practice its intellectual property for all purposes outside of the Co-Development Field or in the Co-Development Field with any product that is not a Co-Development Product, subject to the next sentence as to BioNTech. During the term of the Genevant Agreement for each Co-Development Product or BioNTech Product, BioNTech RNA has agreed not to conduct or enable any clinical development, promotion or commercialization of any product involving the use of LNP with the BioNTech mRNA payload contained in the Co-Development Product or BioNTech Product other than in collaboration with Genevant pursuant to the Genevant Agreement. Genevant has also retained rights to practice its intellectual property for all purposes outside the BioNTech Field, or in the BioNTech Field with any product that is not a BioNTech Product.</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parties are jointly responsible for the development of, and must use commercially reasonable efforts to develop, the Co-Development Products in accordance with a development plan approved by a joint steering committee. Genevant is responsible for the preclinical, clinical and commercial manufacture of the Co-Development Products, and BioNTech RNA is obligated to supply the mRNA payloads for use in manufactured Co-Development Products. The parties share equally all costs for the development of Co-Development Products as well as any profits and losses. For each Co-Development Product, one or the other party will take the lead responsibility for commercialization of the Co-Development Product in the Co-Development Field. Each party must use commercially reasonable efforts to perform the commercialization activities allocated to it in a commercialization plan approved by a joint steering committee.</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Each party may opt-out of the co-development of any Co-Development Product with 90 days’ prior notice at any time after the filing of an IND or equivalent for the Co-Development Product. In such event, the other party may continue the development of the Co-Development Product on its own, at its sole cost and expense apart from specified obligations to support manufacturing and any ongoing clinical studies, but has to pay to the party that opted out pre-defined regulatory and sales milestones for the Co-Development Product of up to a low nine figure U.S. dollar amount in the aggregate and tiered low to mid-single digit percentage royalties on aggregate net sales of the Co-Development Product. In the event that a party opts out of the co-development of any Co-Development Product, the license granted by the party opting out to the other party shall become exclusive licenses, even as to the opting out party.</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BioNTech RNA is solely responsible for the development and commercialization of the BioNTech Products, including the performance of preclinical and clinical trials, all regulatory activities, and marketing and sales, and bears all related costs. BioNTech RNA must use commercially reasonable efforts to develop and obtain regulatory approval for BioNTech Products in the BioNTech Field in the United States, Germany, United Kingdom, France, Spain and Italy. Genevant is responsible for the manufacturing of the BioNTech Products, and the details of such manufacturing are to be agreed in a separate manufacturing and supply agreement. BioNTech RNA is obligated to pay regulatory and sales milestone payments on each BioNTech Product, and royalties based on aggregate net sales of all BioNTech Products, to Genevant.</w:t>
      </w:r>
    </w:p>
    <w:p>
      <w:pPr>
        <w:spacing w:after="0" w:line="17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Genevant Agreement continues until later of (i) the expiration of the last-to-expire royalty term for any BioNTech Product worldwide and (ii) the date on which all Co-Development Products cease being developed or commercialized. BioNTech RNA may terminate the agreement for convenience with respect to one or more BioNTech Products at any time with 90 or 180 days’ prior notice, depending on whether regulatory approval has been granted. The Genevant Agreement grants each party termination rights: if the other party challenges the validity, enforceability or scope of any patents licensed to it under the Genevant Agreement; for uncured material breaches of the other party; for the other party’s insolvency; or if the other party undergoes a change of control through which it is controlled by a competitor, if specified by the parties at the time of the Genevant Agreement, before the earlier of July 4, 2021 or when the other party undergoes an initial public offering.</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Under certain scenarios, if BioNTech RNA terminates the Genevant Agreement with respect to a particular BioNTech Product, before granting a license to a third party for the BioNTech mRNA payload included in the BioNTech Product, Genevant has the right of negotiation with BioNTech. Under certain scenarios, if Genevant terminates the Genevant Agreement, Genevant keeps all licenses and have certain rights, but not the obligation, to continue the development and commercialization of Co-Development Products, and BioNTech RNA has certain obligations to provide assistance, documentation, and certain know-how and inventions to enable Genevant’s continued development and commercialization of Co-Development Products.</w:t>
      </w:r>
    </w:p>
    <w:p>
      <w:pPr>
        <w:spacing w:after="0" w:line="338"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b w:val="1"/>
          <w:bCs w:val="1"/>
          <w:color w:val="auto"/>
        </w:rPr>
        <w:t>XV.</w:t>
        <w:tab/>
        <w:t>Government Regulation</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and Procedures Governing Approval of Drug and Biological Products in the United States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also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6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sponsor seeking approval to market and distribute a new drug or biological product in the United States generally must satisfactorily complete each of the following steps:</w:t>
      </w:r>
    </w:p>
    <w:p>
      <w:pPr>
        <w:spacing w:after="0" w:line="76" w:lineRule="exact"/>
        <w:rPr>
          <w:sz w:val="20"/>
          <w:szCs w:val="20"/>
          <w:color w:val="auto"/>
        </w:rPr>
      </w:pPr>
    </w:p>
    <w:p>
      <w:pPr>
        <w:ind w:left="640" w:right="200" w:hanging="328"/>
        <w:spacing w:after="0" w:line="277" w:lineRule="auto"/>
        <w:tabs>
          <w:tab w:leader="none" w:pos="6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applicable regulations, including the FDA’s good laboratory practices, or GLP, regulations;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640" w:hanging="328"/>
        <w:spacing w:after="0"/>
        <w:tabs>
          <w:tab w:leader="none" w:pos="6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approval by the IRB representing each clinical site before each clinical trial may be initiated;</w:t>
      </w:r>
    </w:p>
    <w:p>
      <w:pPr>
        <w:spacing w:after="0" w:line="130" w:lineRule="exact"/>
        <w:rPr>
          <w:rFonts w:ascii="Arial" w:cs="Arial" w:eastAsia="Arial" w:hAnsi="Arial"/>
          <w:sz w:val="18"/>
          <w:szCs w:val="18"/>
          <w:color w:val="auto"/>
        </w:rPr>
      </w:pPr>
    </w:p>
    <w:p>
      <w:pPr>
        <w:ind w:left="640" w:right="360" w:hanging="328"/>
        <w:spacing w:after="0" w:line="277" w:lineRule="auto"/>
        <w:tabs>
          <w:tab w:leader="none" w:pos="6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applicable regulations, including with GCP, regulations;</w:t>
      </w:r>
    </w:p>
    <w:p>
      <w:pPr>
        <w:spacing w:after="0" w:line="75" w:lineRule="exact"/>
        <w:rPr>
          <w:rFonts w:ascii="Arial" w:cs="Arial" w:eastAsia="Arial" w:hAnsi="Arial"/>
          <w:sz w:val="18"/>
          <w:szCs w:val="18"/>
          <w:color w:val="auto"/>
        </w:rPr>
      </w:pPr>
    </w:p>
    <w:p>
      <w:pPr>
        <w:ind w:left="640" w:right="120" w:hanging="328"/>
        <w:spacing w:after="0" w:line="286" w:lineRule="auto"/>
        <w:tabs>
          <w:tab w:leader="none" w:pos="6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70" w:lineRule="exact"/>
        <w:rPr>
          <w:rFonts w:ascii="Arial" w:cs="Arial" w:eastAsia="Arial" w:hAnsi="Arial"/>
          <w:sz w:val="17"/>
          <w:szCs w:val="17"/>
          <w:color w:val="auto"/>
        </w:rPr>
      </w:pPr>
    </w:p>
    <w:p>
      <w:pPr>
        <w:ind w:left="640" w:hanging="328"/>
        <w:spacing w:after="0"/>
        <w:tabs>
          <w:tab w:leader="none" w:pos="6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328"/>
        <w:spacing w:after="0" w:line="264" w:lineRule="auto"/>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86" w:lineRule="exact"/>
        <w:rPr>
          <w:rFonts w:ascii="Arial" w:cs="Arial" w:eastAsia="Arial" w:hAnsi="Arial"/>
          <w:sz w:val="18"/>
          <w:szCs w:val="18"/>
          <w:color w:val="auto"/>
        </w:rPr>
      </w:pPr>
    </w:p>
    <w:p>
      <w:pPr>
        <w:ind w:left="640" w:right="140" w:hanging="328"/>
        <w:spacing w:after="0" w:line="277" w:lineRule="auto"/>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NDA or BLA;</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or BLA; and</w:t>
      </w:r>
    </w:p>
    <w:p>
      <w:pPr>
        <w:spacing w:after="0" w:line="130" w:lineRule="exact"/>
        <w:rPr>
          <w:rFonts w:ascii="Arial" w:cs="Arial" w:eastAsia="Arial" w:hAnsi="Arial"/>
          <w:sz w:val="18"/>
          <w:szCs w:val="18"/>
          <w:color w:val="auto"/>
        </w:rPr>
      </w:pPr>
    </w:p>
    <w:p>
      <w:pPr>
        <w:ind w:left="640" w:right="340" w:hanging="328"/>
        <w:spacing w:after="0" w:line="277" w:lineRule="auto"/>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to conduct any post-approval studies required by the FDA.</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investigational medicines and any future investigational medicines will be granted on a timely basis, or at all.</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79"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7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FDA may impose clinical holds on a biological product candidate at any time before or during clinical trials due to safety concerns or non-compliance.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in Support of an NDA or a BLA</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71"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subjects or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19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76" w:lineRule="exact"/>
        <w:rPr>
          <w:sz w:val="20"/>
          <w:szCs w:val="20"/>
          <w:color w:val="auto"/>
        </w:rPr>
      </w:pPr>
    </w:p>
    <w:p>
      <w:pPr>
        <w:ind w:left="1180" w:right="100" w:hanging="436"/>
        <w:spacing w:after="0" w:line="259" w:lineRule="auto"/>
        <w:tabs>
          <w:tab w:leader="none" w:pos="1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92" w:lineRule="exact"/>
        <w:rPr>
          <w:rFonts w:ascii="Arial" w:cs="Arial" w:eastAsia="Arial" w:hAnsi="Arial"/>
          <w:sz w:val="18"/>
          <w:szCs w:val="18"/>
          <w:color w:val="auto"/>
        </w:rPr>
      </w:pPr>
    </w:p>
    <w:p>
      <w:pPr>
        <w:ind w:left="1180" w:right="20" w:hanging="436"/>
        <w:spacing w:after="0" w:line="273" w:lineRule="auto"/>
        <w:tabs>
          <w:tab w:leader="none" w:pos="11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83" w:lineRule="exact"/>
        <w:rPr>
          <w:rFonts w:ascii="Arial" w:cs="Arial" w:eastAsia="Arial" w:hAnsi="Arial"/>
          <w:sz w:val="17"/>
          <w:szCs w:val="17"/>
          <w:color w:val="auto"/>
        </w:rPr>
      </w:pPr>
    </w:p>
    <w:p>
      <w:pPr>
        <w:ind w:left="1180" w:hanging="436"/>
        <w:spacing w:after="0" w:line="279" w:lineRule="auto"/>
        <w:tabs>
          <w:tab w:leader="none" w:pos="11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an adequate basis for product labeling.</w:t>
      </w:r>
    </w:p>
    <w:p>
      <w:pPr>
        <w:spacing w:after="0" w:line="17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some cases, the FDA may approve an NDA or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to request a change in the product labeling. Failure to exhibit due diligence with regard to conducting required Phase 4 clinical trials could result in withdrawal of approval for products.</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183"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Compliance with GMP Requirements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16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manufacturing facilities may be subject to periodic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Review and Approval of an NDA or a BLA</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an NDA or a BLA requesting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19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FDA reviews NDA and BLA applications to determine, among other things, whether the proposed product is safe and potent, 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7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15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and under what conditions. In particular, the 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w:t>
      </w:r>
    </w:p>
    <w:p>
      <w:pPr>
        <w:spacing w:after="0" w:line="17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18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may expedite the development or approval process, but do not change the standards for approval.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Accelerated approval pathways are available for regenerative medicine therapies that meet certain conditions. Regenerative medicine therapies include cell therapies (both allogenic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181"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RMAT designation confers all the benefits of the fast track and breakthrough therapy designation programs, including early 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or subjects, and the severity, rarity or prevalence of the condition, among other factors. The FDA may decline to grant RMAT designation if it finds the clinical evidence insufficient.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RMAT designation may expedite the development or approval process, but it does not change the standards for approval.</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64" w:lineRule="exact"/>
        <w:rPr>
          <w:sz w:val="20"/>
          <w:szCs w:val="20"/>
          <w:color w:val="auto"/>
        </w:rPr>
      </w:pPr>
    </w:p>
    <w:p>
      <w:pPr>
        <w:ind w:left="640" w:hanging="32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30" w:lineRule="exact"/>
        <w:rPr>
          <w:rFonts w:ascii="Arial" w:cs="Arial" w:eastAsia="Arial" w:hAnsi="Arial"/>
          <w:sz w:val="18"/>
          <w:szCs w:val="18"/>
          <w:color w:val="auto"/>
        </w:rPr>
      </w:pPr>
    </w:p>
    <w:p>
      <w:pPr>
        <w:ind w:left="640" w:right="480" w:hanging="328"/>
        <w:spacing w:after="0" w:line="277" w:lineRule="auto"/>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188"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7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Orphan product designation does not convey any advantage in or shorten the duration of the regulatory review and approval process.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8"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87" w:lineRule="exact"/>
        <w:rPr>
          <w:sz w:val="20"/>
          <w:szCs w:val="20"/>
          <w:color w:val="auto"/>
        </w:rPr>
      </w:pPr>
    </w:p>
    <w:p>
      <w:pPr>
        <w:ind w:left="640" w:right="360" w:hanging="328"/>
        <w:spacing w:after="0" w:line="277"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75" w:lineRule="exact"/>
        <w:rPr>
          <w:rFonts w:ascii="Arial" w:cs="Arial" w:eastAsia="Arial" w:hAnsi="Arial"/>
          <w:sz w:val="18"/>
          <w:szCs w:val="18"/>
          <w:color w:val="auto"/>
        </w:rPr>
      </w:pPr>
    </w:p>
    <w:p>
      <w:pPr>
        <w:ind w:left="640" w:right="720" w:hanging="328"/>
        <w:spacing w:after="0" w:line="277"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75" w:lineRule="exact"/>
        <w:rPr>
          <w:rFonts w:ascii="Arial" w:cs="Arial" w:eastAsia="Arial" w:hAnsi="Arial"/>
          <w:sz w:val="18"/>
          <w:szCs w:val="18"/>
          <w:color w:val="auto"/>
        </w:rPr>
      </w:pPr>
    </w:p>
    <w:p>
      <w:pPr>
        <w:ind w:left="640" w:right="20" w:hanging="328"/>
        <w:spacing w:after="0" w:line="279" w:lineRule="auto"/>
        <w:tabs>
          <w:tab w:leader="none" w:pos="6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7"/>
          <w:szCs w:val="17"/>
          <w:i w:val="1"/>
          <w:iCs w:val="1"/>
          <w:color w:val="auto"/>
        </w:rPr>
        <w:t>e.g</w:t>
      </w:r>
      <w:r>
        <w:rPr>
          <w:rFonts w:ascii="Arial" w:cs="Arial" w:eastAsia="Arial" w:hAnsi="Arial"/>
          <w:sz w:val="17"/>
          <w:szCs w:val="17"/>
          <w:color w:val="auto"/>
        </w:rPr>
        <w:t>., to reflect a change in intended use, dosage form, strength, route of administration or significant change in dose; or</w:t>
      </w:r>
    </w:p>
    <w:p>
      <w:pPr>
        <w:spacing w:after="0" w:line="76" w:lineRule="exact"/>
        <w:rPr>
          <w:rFonts w:ascii="Arial" w:cs="Arial" w:eastAsia="Arial" w:hAnsi="Arial"/>
          <w:sz w:val="17"/>
          <w:szCs w:val="17"/>
          <w:color w:val="auto"/>
        </w:rPr>
      </w:pPr>
    </w:p>
    <w:p>
      <w:pPr>
        <w:ind w:left="640" w:right="180" w:hanging="328"/>
        <w:spacing w:after="0" w:line="342" w:lineRule="auto"/>
        <w:tabs>
          <w:tab w:leader="none" w:pos="6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biological product, the FDA center responsible for premarket review of the biological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 and sell the product in those countries or jurisdictions.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Clinical trials must be conducted in accordance with European Union and national regulations and the International Conference on Harmonization, or ICH, guidelines on GCP.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w:t>
      </w:r>
    </w:p>
    <w:p>
      <w:pPr>
        <w:spacing w:after="0" w:line="18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The clinical trial application must be accompanied by a copy of the trial protocol and an investigational medicinal product dossier with supporting information prescribed by Directive 2001/20/EC and Directive 2005/28/EC and corresponding national laws of the member states and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apply at earliest in 2020. It will overhaul the current system of approvals for clinical trials in the European Union. Specifically, the new regulation, which will be directly applicable in all member states, aims to simplify and streamline the approval of clinical trials in the European Union. For instance, the new Clinical Trials Regulation provides for a streamlined application procedure using a single entry point and strictly defined deadlines for the assessment of clinical trial applications. This means that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To obtain a marketing authorization for a product under the European Union regulatory system, a sponsor must submit a marketing authorization application, or MAA, either under a centralized procedure administered by the EMA or one of the procedures administered by competent authorities in European Union member states (decentralized procedure, national procedure or mutual recognition procedure).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A similar requirement is contained in the new Clinical Trials Regulation that is currently expected to take effect at earliest in 2020.</w:t>
      </w:r>
    </w:p>
    <w:p>
      <w:pPr>
        <w:spacing w:after="0" w:line="17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Arial" w:cs="Arial" w:eastAsia="Arial" w:hAnsi="Arial"/>
          <w:sz w:val="17"/>
          <w:szCs w:val="17"/>
          <w:i w:val="1"/>
          <w:iCs w:val="1"/>
          <w:color w:val="auto"/>
        </w:rPr>
        <w:t>e.g</w:t>
      </w:r>
      <w:r>
        <w:rPr>
          <w:rFonts w:ascii="Arial" w:cs="Arial" w:eastAsia="Arial" w:hAnsi="Arial"/>
          <w:sz w:val="17"/>
          <w:szCs w:val="17"/>
          <w:color w:val="auto"/>
        </w:rPr>
        <w:t>., heavy disabling or life-threatening diseases) to be treated, (ii) the absence or insufficiency of an appropriate alternative therapeutic approach, and (iii) anticipation of high therapeutic benefit.</w:t>
      </w:r>
    </w:p>
    <w:p>
      <w:pPr>
        <w:spacing w:after="0" w:line="178"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47" w:lineRule="exact"/>
        <w:rPr>
          <w:sz w:val="20"/>
          <w:szCs w:val="20"/>
          <w:color w:val="auto"/>
        </w:rPr>
      </w:pPr>
    </w:p>
    <w:p>
      <w:pPr>
        <w:ind w:left="200" w:right="180" w:firstLine="441"/>
        <w:spacing w:after="0" w:line="253" w:lineRule="auto"/>
        <w:rPr>
          <w:sz w:val="20"/>
          <w:szCs w:val="20"/>
          <w:color w:val="auto"/>
        </w:rPr>
      </w:pPr>
      <w:r>
        <w:rPr>
          <w:rFonts w:ascii="Arial" w:cs="Arial" w:eastAsia="Arial" w:hAnsi="Arial"/>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post-approval measures required to monitor patients and evaluate the long term efficacy and potential adverse reactions of ATMPs.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4" w:lineRule="exact"/>
        <w:rPr>
          <w:sz w:val="20"/>
          <w:szCs w:val="20"/>
          <w:color w:val="auto"/>
        </w:rPr>
      </w:pPr>
    </w:p>
    <w:p>
      <w:pPr>
        <w:ind w:left="640" w:right="160" w:hanging="328"/>
        <w:spacing w:after="0" w:line="277" w:lineRule="auto"/>
        <w:tabs>
          <w:tab w:leader="none" w:pos="6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75" w:lineRule="exact"/>
        <w:rPr>
          <w:rFonts w:ascii="Arial" w:cs="Arial" w:eastAsia="Arial" w:hAnsi="Arial"/>
          <w:sz w:val="18"/>
          <w:szCs w:val="18"/>
          <w:color w:val="auto"/>
        </w:rPr>
      </w:pPr>
    </w:p>
    <w:p>
      <w:pPr>
        <w:ind w:left="640" w:right="580" w:hanging="328"/>
        <w:spacing w:after="0" w:line="277" w:lineRule="auto"/>
        <w:tabs>
          <w:tab w:leader="none" w:pos="6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15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the CHMP finds that all the following requirements are met:</w:t>
      </w:r>
    </w:p>
    <w:p>
      <w:pPr>
        <w:spacing w:after="0" w:line="71" w:lineRule="exact"/>
        <w:rPr>
          <w:sz w:val="20"/>
          <w:szCs w:val="20"/>
          <w:color w:val="auto"/>
        </w:rPr>
      </w:pPr>
    </w:p>
    <w:p>
      <w:pPr>
        <w:ind w:left="1180" w:hanging="436"/>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benefit-risk balance of the product is positive;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it is likely that the applicant will be able to provide comprehensive data;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benefit to public health of the medicinal product’s immediate availability on the market outweighs the risks due to need for further data.</w:t>
      </w:r>
    </w:p>
    <w:p>
      <w:pPr>
        <w:spacing w:after="0" w:line="24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200" w:right="180" w:firstLine="441"/>
        <w:spacing w:after="0" w:line="254"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17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Directive 2001/83/EC, as amended, the details are governed by regulations in each member state and can differ from one country to another.</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Cells and Tissues</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Named Patient Supplies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6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European Data Collection and Data Protection Laws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required to comply with strict data protection and privacy legislation in the jurisdictions in which we operate, including the General Data Protection Regulation (EU) 2016/679, or GDPR. The GDPR governs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collection and use of personal data in the European Union relating to individuals (</w:t>
      </w:r>
      <w:r>
        <w:rPr>
          <w:rFonts w:ascii="Arial" w:cs="Arial" w:eastAsia="Arial" w:hAnsi="Arial"/>
          <w:sz w:val="16"/>
          <w:szCs w:val="16"/>
          <w:i w:val="1"/>
          <w:iCs w:val="1"/>
          <w:color w:val="auto"/>
        </w:rPr>
        <w:t>e.g</w:t>
      </w:r>
      <w:r>
        <w:rPr>
          <w:rFonts w:ascii="Arial" w:cs="Arial" w:eastAsia="Arial" w:hAnsi="Arial"/>
          <w:sz w:val="16"/>
          <w:szCs w:val="16"/>
          <w:color w:val="auto"/>
        </w:rPr>
        <w:t>.,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Arial" w:cs="Arial" w:eastAsia="Arial" w:hAnsi="Arial"/>
          <w:sz w:val="16"/>
          <w:szCs w:val="16"/>
          <w:i w:val="1"/>
          <w:iCs w:val="1"/>
          <w:color w:val="auto"/>
        </w:rPr>
        <w:t>e.g</w:t>
      </w:r>
      <w:r>
        <w:rPr>
          <w:rFonts w:ascii="Arial" w:cs="Arial" w:eastAsia="Arial" w:hAnsi="Arial"/>
          <w:sz w:val="16"/>
          <w:szCs w:val="16"/>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of Diagnostic Products in the European Union</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the European Union,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are regulated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or IVDs. The marketing of IVDs is subject to compliance with the In Vitro Diagnostic Medical Devices Directive 98/79/EC (IVD Directive). An IVD may be placed on the market within the European Union only if it conforms to certain “essential requirements” and bears the CE Mark. The most fundamental and essential requirement is that an IVD must be designed and manufactured in such a way that it will not compromise the clinical condition or safety of patients, or the safety and health of users and others. In addition, the IVD must achieve the performance(s) stated by the manufacturer and be designed and manufactured in a suitable manner.</w:t>
      </w:r>
    </w:p>
    <w:p>
      <w:pPr>
        <w:spacing w:after="0" w:line="193"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Manufacturers must demonstrate that their IVDs conform to the relevant essential requirements through a conformity assessment procedure. The nature of the assessment depends upon the classification of the device. For IVDs intended to determine certain conditions or detect certain diseases, conformity assessment procedures involve a notified body. Notified bodies are often private entities and are authorized or licensed to perform such assessments by government authorities.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For all other IVDs, the manufacturer performs its own conformity assessment procedure and self-declares conformity before applying the CE Mark. Application of the CE Mark allows the general commercializing of an IVD in the European Union. The manufacturer or, if the manufacturer is located outside the European Union, its authorized representative in the European Union must also register with the competent authority in the European Union member state in which it is located.</w:t>
      </w:r>
    </w:p>
    <w:p>
      <w:pPr>
        <w:spacing w:after="0" w:line="16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May 2017, the European Union adopted a new In Vitro Diagnostic Medical Devices Regulation (EU) 2017/746, or the IVD Regulation, which will apply in the European Union from May 26, 2022. The IVD Regulation does not set out a radically new system, but clearly envisages, among other things, stricter controls of IVDs, including the involvement of notified bodies in conformity assessments of many more categories of IVD and increased expectations as regards clinical data for IVDs. The IVD Regulation also envisages greater control over notified bodies and their standards, increased transparency, more robust device vigilance requirements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clarification of the rules for clinical investigations. Under transitional provisions, IVDs with notified body certificates issued under the IVD Directive prior to May 26, 2022 may continue to be placed on the market for the remaining validity of the certificate, until May 27, 2024 at the latest. After the expiry of any applicable transitional period, only IVDs that have been CE marked under the IVD Regulation may be placed on the market in the European Union.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1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6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9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Moreover,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w:t>
      </w:r>
    </w:p>
    <w:p>
      <w:pPr>
        <w:spacing w:after="0" w:line="94" w:lineRule="exact"/>
        <w:rPr>
          <w:sz w:val="20"/>
          <w:szCs w:val="20"/>
          <w:color w:val="auto"/>
        </w:rPr>
      </w:pPr>
    </w:p>
    <w:p>
      <w:pPr>
        <w:ind w:left="640" w:right="20" w:hanging="328"/>
        <w:spacing w:after="0" w:line="293" w:lineRule="auto"/>
        <w:tabs>
          <w:tab w:leader="none" w:pos="6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hanging="328"/>
        <w:spacing w:after="0" w:line="259"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640" w:right="60" w:hanging="328"/>
        <w:spacing w:after="0" w:line="259"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92" w:lineRule="exact"/>
        <w:rPr>
          <w:rFonts w:ascii="Arial" w:cs="Arial" w:eastAsia="Arial" w:hAnsi="Arial"/>
          <w:sz w:val="18"/>
          <w:szCs w:val="18"/>
          <w:color w:val="auto"/>
        </w:rPr>
      </w:pPr>
    </w:p>
    <w:p>
      <w:pPr>
        <w:ind w:left="640" w:right="40" w:hanging="328"/>
        <w:spacing w:after="0" w:line="302" w:lineRule="auto"/>
        <w:tabs>
          <w:tab w:leader="none" w:pos="6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59" w:lineRule="exact"/>
        <w:rPr>
          <w:rFonts w:ascii="Arial" w:cs="Arial" w:eastAsia="Arial" w:hAnsi="Arial"/>
          <w:sz w:val="16"/>
          <w:szCs w:val="16"/>
          <w:color w:val="auto"/>
        </w:rPr>
      </w:pPr>
    </w:p>
    <w:p>
      <w:pPr>
        <w:ind w:left="640" w:right="320" w:hanging="328"/>
        <w:spacing w:after="0" w:line="302" w:lineRule="auto"/>
        <w:tabs>
          <w:tab w:leader="none" w:pos="6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59" w:lineRule="exact"/>
        <w:rPr>
          <w:rFonts w:ascii="Arial" w:cs="Arial" w:eastAsia="Arial" w:hAnsi="Arial"/>
          <w:sz w:val="16"/>
          <w:szCs w:val="16"/>
          <w:color w:val="auto"/>
        </w:rPr>
      </w:pPr>
    </w:p>
    <w:p>
      <w:pPr>
        <w:ind w:left="640" w:right="600" w:hanging="328"/>
        <w:spacing w:after="0" w:line="277"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75" w:lineRule="exact"/>
        <w:rPr>
          <w:rFonts w:ascii="Arial" w:cs="Arial" w:eastAsia="Arial" w:hAnsi="Arial"/>
          <w:sz w:val="18"/>
          <w:szCs w:val="18"/>
          <w:color w:val="auto"/>
        </w:rPr>
      </w:pPr>
    </w:p>
    <w:p>
      <w:pPr>
        <w:ind w:left="640" w:right="500" w:hanging="328"/>
        <w:spacing w:after="0" w:line="277"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national anti-bribery laws and laws governing interactions with healthcare professionals of European Union Member States;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U.K. Bribery Act 2010; and</w:t>
      </w:r>
    </w:p>
    <w:p>
      <w:pPr>
        <w:spacing w:after="0" w:line="130" w:lineRule="exact"/>
        <w:rPr>
          <w:rFonts w:ascii="Arial" w:cs="Arial" w:eastAsia="Arial" w:hAnsi="Arial"/>
          <w:sz w:val="18"/>
          <w:szCs w:val="18"/>
          <w:color w:val="auto"/>
        </w:rPr>
      </w:pPr>
    </w:p>
    <w:p>
      <w:pPr>
        <w:ind w:left="640" w:right="560" w:hanging="328"/>
        <w:spacing w:after="0" w:line="277"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prevent or delay marketing approval of our investigational medicines, restrict or regulate post-approval activities, and affect our ability to profitably sell any investigational medicines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73"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Medicaid-managed care plans, mandatory discounts for certain Medicare Part D beneficiaries, and annual fees based on pharmaceutical companies’ share of sales to federal health care programs. With the current presidential administration and Congress, there may be additional administrative or legislative changes, including modification, repeal or replacement of all, or certain provisions of, the ACA, which may impact reimbursement for drugs and biologics. On January 20, 2017, an Executive Order was signed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October 13, 2017, an executive order was signed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While Congress has not passed repeal legislation, the TCJA includes a provision repealing the tax-based shared responsibility payment imposed by the ACA on certain individuals who fail to maintain qualifying health coverage for all or part of a year that is commonly referred to as the “individual mandate.” Congress may consider other legislation to repeal and replace elements of the ACA. Litigation and legislation over the ACA are likely to continue, with unpredictable and uncertain results.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Additionally, other federal health reform measures have been proposed and adopted in the United States since the ACA was enacted:</w:t>
      </w:r>
    </w:p>
    <w:p>
      <w:pPr>
        <w:spacing w:after="0" w:line="142" w:lineRule="exact"/>
        <w:rPr>
          <w:sz w:val="20"/>
          <w:szCs w:val="20"/>
          <w:color w:val="auto"/>
        </w:rPr>
      </w:pPr>
    </w:p>
    <w:p>
      <w:pPr>
        <w:ind w:left="640" w:right="40" w:hanging="328"/>
        <w:spacing w:after="0" w:line="286" w:lineRule="auto"/>
        <w:tabs>
          <w:tab w:leader="none" w:pos="6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included aggregate reductions to Medicare payments to providers of up to 2% per fiscal year, which went into effect in April 2013 and will remain in effect through 2025 unless additional Congressional action is taken.</w:t>
      </w:r>
    </w:p>
    <w:p>
      <w:pPr>
        <w:spacing w:after="0" w:line="76" w:lineRule="exact"/>
        <w:rPr>
          <w:sz w:val="20"/>
          <w:szCs w:val="20"/>
          <w:color w:val="auto"/>
        </w:rPr>
      </w:pPr>
    </w:p>
    <w:p>
      <w:pPr>
        <w:ind w:left="640" w:right="340" w:hanging="328"/>
        <w:spacing w:after="0" w:line="277" w:lineRule="auto"/>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75" w:lineRule="exact"/>
        <w:rPr>
          <w:rFonts w:ascii="Arial" w:cs="Arial" w:eastAsia="Arial" w:hAnsi="Arial"/>
          <w:sz w:val="18"/>
          <w:szCs w:val="18"/>
          <w:color w:val="auto"/>
        </w:rPr>
      </w:pPr>
    </w:p>
    <w:p>
      <w:pPr>
        <w:ind w:left="640" w:hanging="328"/>
        <w:spacing w:after="0" w:line="264" w:lineRule="auto"/>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federal government, state legislatures and foreign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Packaging and Distribution in the United States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w:t>
      </w:r>
    </w:p>
    <w:p>
      <w:pPr>
        <w:spacing w:after="0" w:line="46" w:lineRule="exact"/>
        <w:rPr>
          <w:sz w:val="20"/>
          <w:szCs w:val="20"/>
          <w:color w:val="auto"/>
        </w:rPr>
      </w:pPr>
    </w:p>
    <w:p>
      <w:pPr>
        <w:ind w:left="420" w:hanging="216"/>
        <w:spacing w:after="0"/>
        <w:tabs>
          <w:tab w:leader="none" w:pos="4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500" w:hanging="296"/>
        <w:spacing w:after="0"/>
        <w:tabs>
          <w:tab w:leader="none" w:pos="5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32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b w:val="1"/>
          <w:bCs w:val="1"/>
          <w:color w:val="auto"/>
        </w:rPr>
        <w:t>XVI.</w:t>
      </w:r>
      <w:r>
        <w:rPr>
          <w:sz w:val="20"/>
          <w:szCs w:val="20"/>
          <w:color w:val="auto"/>
        </w:rPr>
        <w:tab/>
      </w: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left="1180" w:hanging="544"/>
        <w:spacing w:after="0"/>
        <w:tabs>
          <w:tab w:leader="none" w:pos="11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pursue a layered intellectual property strategy to protect our various technology platforms and their application to the treatment of cancer and other serious diseases. One focus of our intellectual property strategy is to provide protection for our platforms and product candidates currently in development. We also pursue intellectual property protection for assets that may be used in future development programs and/or that may be of interest to our collaborators, or otherwise may prove valuable in the field.</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Various aspects of our technology platforms and our product candidates are claimed by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or product candidates, as developments arise or are identified.</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Regardless, given the early stage of development of our product candidates, we cannot be certain that any of the patent filings or other intellectual property rights that we have pursued or obtained will provide protection for any product candidates that may ultimately be commercialized. Our most advanced product candidates are currently in clinical testing, with no certainty that they will be successful, or that significant modification or adjustment may not be required for successful commercialization.</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80"/>
          </w:cols>
          <w:pgMar w:left="24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for a more comprehensive description of risks related to our intellectual property.</w:t>
      </w:r>
    </w:p>
    <w:p>
      <w:pPr>
        <w:spacing w:after="0" w:line="15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of August 30, 2019, our overall owned and in-licensed patent portfolio included more than 200 patent families, each of which includes at least one filing in the United States or Europe, and several of which are pending or granted in multiple jurisdictions. The patent families include at least 100 patent families that are solely or jointly owned by BioNTech, including certain families acquired through our acquisitions of antibody assets and infrastructure from MabVax Therapeutics Holdings, Inc., and the rest that we have licensed from a third party.</w:t>
      </w:r>
    </w:p>
    <w:p>
      <w:pPr>
        <w:spacing w:after="0" w:line="17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The United States also offers a different form of 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w:t>
      </w:r>
    </w:p>
    <w:p>
      <w:pPr>
        <w:spacing w:after="0" w:line="16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Below, we provide a summary of the contours of our current patent portfolio as it relates to different aspects of relevant technology, including noting ownership and 20-year terms for filings included in the portfolio that are directed to such aspects. Particularly given our pre-commercial state of development, we cannot be certain that any of the patent filings in our portfolio will provide meaningful protection for any product we ultimately attempt to commercialize.</w:t>
      </w:r>
    </w:p>
    <w:p>
      <w:pPr>
        <w:spacing w:after="0" w:line="331" w:lineRule="exact"/>
        <w:rPr>
          <w:sz w:val="20"/>
          <w:szCs w:val="20"/>
          <w:color w:val="auto"/>
        </w:rPr>
      </w:pPr>
    </w:p>
    <w:p>
      <w:pPr>
        <w:ind w:left="1180" w:hanging="544"/>
        <w:spacing w:after="0"/>
        <w:tabs>
          <w:tab w:leader="none" w:pos="11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Patent Portfolio</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patent portfolios for our most advanced programs as of August 30, 2019 are summarized below. Patent prosecution is a lengthy process, during which the scope of the claims initially submitted for examination by the USPTO and its foreign equivalents can be significantly narrowed by the time they issue, if they issue at all. We expect this could be the case with respect to some of our pending patent applications referred to below.</w:t>
      </w:r>
    </w:p>
    <w:p>
      <w:pPr>
        <w:spacing w:after="0" w:line="295" w:lineRule="exact"/>
        <w:rPr>
          <w:sz w:val="20"/>
          <w:szCs w:val="20"/>
          <w:color w:val="auto"/>
        </w:rPr>
      </w:pPr>
    </w:p>
    <w:p>
      <w:pPr>
        <w:ind w:left="1620" w:hanging="430"/>
        <w:spacing w:after="0"/>
        <w:tabs>
          <w:tab w:leader="none" w:pos="1620" w:val="left"/>
        </w:tabs>
        <w:numPr>
          <w:ilvl w:val="0"/>
          <w:numId w:val="2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patent portfolio for our mRNA therapeutic platforms and product candidates includes patent filings directed to features of therapeutic mRNA structures, some of which are included in current development candidates. Our patent portfolio also includes patent filings directed to mRNA formulations, including the lipoplex formulations currently utilized with our FixVac and iNeST platforms, and the lipid nanoparticles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currently utilized with our RiboMab and RiboCytokine platforms, as well as patent filings directed to mRNA manufacturing, and to uses of mRNA therapeutics. We provide more detail below regarding the patent filings directed to these features.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Structure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patent portfolio includes patent filings directed to various features of mRNA structure, which may, for example, contribute to increased immunogenicity (</w:t>
      </w:r>
      <w:r>
        <w:rPr>
          <w:rFonts w:ascii="Arial" w:cs="Arial" w:eastAsia="Arial" w:hAnsi="Arial"/>
          <w:sz w:val="17"/>
          <w:szCs w:val="17"/>
          <w:i w:val="1"/>
          <w:iCs w:val="1"/>
          <w:color w:val="auto"/>
        </w:rPr>
        <w:t>e.g</w:t>
      </w:r>
      <w:r>
        <w:rPr>
          <w:rFonts w:ascii="Arial" w:cs="Arial" w:eastAsia="Arial" w:hAnsi="Arial"/>
          <w:sz w:val="17"/>
          <w:szCs w:val="17"/>
          <w:color w:val="auto"/>
        </w:rPr>
        <w:t>., antigen presentation), translation efficiency, and/or stability of mRNA constructs that include them. Such features include, for example, antigen-MHC fusions, 5’ cap structures, 3’ UTR structures, polyA tails and reduced-uracil content mRNAs. Filings directed to each of these features, or collectively, the mRNA Structure Filings, have been made in the United States and various foreign jurisdictions. Some such mRNA Structure Filings are owned solely by BioNTech SE or BioNTech RNA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Issued existing mRNA Structure Filings have, and pending existing mRNA Structure Filings, if issued, would have, 20-year terms that extend into the mid-2020s to the mid-2030s.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Formulations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patent portfolio includes patent filings directed to various formulations for mRNA delivery, some of which are utilized with current development candidates. For example, our portfolio includes patent filings directed to lipoplex formulations, with 20-year terms that extend into 2038, if issued, or collectively, the mRNA Lipoplex Filings, although none of these filings is currently an issued patent. Such mRNA Lipoplex Filings are solely owned by BioNTech RNA.</w:t>
      </w:r>
    </w:p>
    <w:p>
      <w:pPr>
        <w:spacing w:after="0" w:line="187" w:lineRule="exact"/>
        <w:rPr>
          <w:sz w:val="20"/>
          <w:szCs w:val="20"/>
          <w:color w:val="auto"/>
        </w:rPr>
      </w:pPr>
    </w:p>
    <w:p>
      <w:pPr>
        <w:ind w:left="200" w:right="400" w:firstLine="441"/>
        <w:spacing w:after="0" w:line="297" w:lineRule="auto"/>
        <w:rPr>
          <w:sz w:val="20"/>
          <w:szCs w:val="20"/>
          <w:color w:val="auto"/>
        </w:rPr>
      </w:pPr>
      <w:r>
        <w:rPr>
          <w:rFonts w:ascii="Arial" w:cs="Arial" w:eastAsia="Arial" w:hAnsi="Arial"/>
          <w:sz w:val="16"/>
          <w:szCs w:val="16"/>
          <w:color w:val="auto"/>
        </w:rPr>
        <w:t>In addition, our portfolio includes U.S. and foreign patent filings directed to lipid nanoparticles and polyplex technologies, which are jointly owned by BioNTech RNA and TRON, or collectively, the mRNA Lipid Nanoparticle/Polyplex Filings. Issued mRNA Lipid Nanoparticle/Polyplex Filings have, and pending mRNA Lipid Nanoparticle/Polyplex Filings, if issued, would have, 20 year terms that extend into the mid- to late-2030s. Some such mRNA Lipid Nanoparticle/Polyplex Filings were granted in certain foreign jurisdictions, but do not currently include any U.S. issued patents. The terms of the co-ownership of such patent filings with TRON are summarized below in “—C. In-Licensing.”</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Manufacturing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foreign patent filings relating to certain aspects of mRNA purification and production. These mRNA Manufacturing Filings are either solely owned by BioNTech RNA, or jointly owned by BioNTech RNA and TRON and, if issued, would have 20-year terms that would extend into mid to late 2030s, although none is currently an issued patent.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Product Candidates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most advanced mRNA product candidate development programs are in oncology and involve various platforms. Our pipeline also includes mRNA product candidates for treatment of certain infectious diseases and mRNA product candidates for protein replacement therapy in certain rare diseases.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Oncology mRNA Product Candidates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current clinical programs are all in oncology. The most advanced involve iNeST immunotherapy product candidates being developed with our collaborator, Genentech. We also have FixVac product candidates in Phase 1 clinical trials, and have recently initiated Phase 1 clinical trials of our mRNA-based intratumoral immunotherapy developed through our collaboration with Sanofi.</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FixVac</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Our FixVac product candidates share many of the structural elements involved in our iNeST product candidates. Thus, some or all of the mRNA Structure Filings relevant to our iNeST product candidates and discussed above are also relevant to our FixVac product candidates. These patent filings, or the FixVac Platform Filings, include mRNA Structure Filings relating to antigen-MHC fusions, phosphorothioate stabilized 5’ cap structures, 3’ UTR structures containing a specific sequence element, and interrupted polyA tails, which are solely or jointly owned by BioNTech or BioNTech’s licensors. Issued FixVAC Platform Filings have, and pending FixVac Platform Filings, if issued, would have, 20-year terms extending into the mid-2020s to the mid-2030s. While we have pursued or obtained patent protection covering components of FixVac product candidates, manufacturing-related methods and/or formulations, we do not currently have any claims in our owned or in-licensed issued patents that cover the overall construct used in our FixVac product candidates.</w:t>
      </w:r>
    </w:p>
    <w:p>
      <w:pPr>
        <w:spacing w:after="0" w:line="17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patent portfolio further includes U.S. and foreign patent filings relating to combined uses of our FixVac and iNeST product candidates. Such issued patent filings have, and such pending patent filings, if issued, would have, 20-year terms that extend into 2033, and are jointly owned by BioNTech RNA and TRON.</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current Phase 1 clinical trials for FixVac product candidates are studying such product candidates in treatment of advanced melanoma, head and neck cancer, and breast cancer (particularly triple negative breast cancer). While we do not currently have any claims in our owned or in-licensed issued patents that are directed to use of our FixVac product candidates in the indications of these clinical trials, certain FixVac Platform Filings include specific reference to treatment of each of these indications. Additionally, our patent portfolio relevant to FixVac product candidates further includes U.S. and foreign patent filings relating to use of particular tumor antigens for treatment of triple negative breast cancer included in Phase 1 clinical trials, or the Triple Negative Breast Cancer FixVAC Filings. Issued Triple Negative Breast Cancer FixVac Filings have, and pending Triple Negative Breast Cancer FixVac Filings, if issued, would have, 20-year terms that extend into 2034, and are jointly owned by BioNTech SE and TRON.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iNeST</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patent filings relevant to our iNeST product candidates include mRNA Structure Filings relating to features for increasing antigen presentation (</w:t>
      </w:r>
      <w:r>
        <w:rPr>
          <w:rFonts w:ascii="Arial" w:cs="Arial" w:eastAsia="Arial" w:hAnsi="Arial"/>
          <w:sz w:val="18"/>
          <w:szCs w:val="18"/>
          <w:i w:val="1"/>
          <w:iCs w:val="1"/>
          <w:color w:val="auto"/>
        </w:rPr>
        <w:t>e.g</w:t>
      </w:r>
      <w:r>
        <w:rPr>
          <w:rFonts w:ascii="Arial" w:cs="Arial" w:eastAsia="Arial" w:hAnsi="Arial"/>
          <w:sz w:val="18"/>
          <w:szCs w:val="18"/>
          <w:color w:val="auto"/>
        </w:rPr>
        <w:t>., antigen-MHC fusions) and features for increasing translation efficiency and/or stability of mRNA constructs (</w:t>
      </w:r>
      <w:r>
        <w:rPr>
          <w:rFonts w:ascii="Arial" w:cs="Arial" w:eastAsia="Arial" w:hAnsi="Arial"/>
          <w:sz w:val="18"/>
          <w:szCs w:val="18"/>
          <w:i w:val="1"/>
          <w:iCs w:val="1"/>
          <w:color w:val="auto"/>
        </w:rPr>
        <w:t>e.g.</w:t>
      </w:r>
      <w:r>
        <w:rPr>
          <w:rFonts w:ascii="Arial" w:cs="Arial" w:eastAsia="Arial" w:hAnsi="Arial"/>
          <w:sz w:val="18"/>
          <w:szCs w:val="18"/>
          <w:color w:val="auto"/>
        </w:rPr>
        <w:t>, phosphorothioate stabilized 5’ cap structures, 3’ UTR structures containing a specific sequence element, and polyA tails of a particular length or interrupted polyA tails); mRNA Lipoplex Filings relating to negatively charged lipoplexes (</w:t>
      </w:r>
      <w:r>
        <w:rPr>
          <w:rFonts w:ascii="Arial" w:cs="Arial" w:eastAsia="Arial" w:hAnsi="Arial"/>
          <w:sz w:val="18"/>
          <w:szCs w:val="18"/>
          <w:i w:val="1"/>
          <w:iCs w:val="1"/>
          <w:color w:val="auto"/>
        </w:rPr>
        <w:t>e.g</w:t>
      </w:r>
      <w:r>
        <w:rPr>
          <w:rFonts w:ascii="Arial" w:cs="Arial" w:eastAsia="Arial" w:hAnsi="Arial"/>
          <w:sz w:val="18"/>
          <w:szCs w:val="18"/>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patent portfolio further includes U.S. and foreign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mid- to late-2030s, although none is a U.S. issued patent. The Neoantigen Filings are solely owned by BioNTech RNA, or jointly owned by BioNTech RNA and TRON.</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are currently studying our iNeST product candidates for the treatment of metastatic melanoma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Intratumoral Immunotherapies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are also directed to one or more features of our intratumoral immunotherapies, including our most advanced intratumoral immunotherapy, which we are developing through our collaboration with Sanofi, and which has recently entered Phase 1 clinical trials. For example, mRNA Structure Filings relating to 3’ UTR structures containing a specific sequence element, interrupted polyA tail structures, and reduced-uracil content mRNAs, which, as noted above are solely or jointly owned by BioNTech and, if issued, would have 20-year terms extending into the mid-2030s, provide protection to our current intratumoral immunotherapy development candidate. However, these filings do not currently include any issued patents.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also obtained third-party licenses to technologies relating to certain features of the mRNA structure relevant to the intratumoral immunotherapies. These include two non-exclusive sublicenses—one from mRNA RiboTherapeutics, Inc., or MRT, and one from its affiliate CellScript, LLC (these licenses, together, the MRT-CellScript Sublicenses). MRT-CellScript Sublicenses allow us to use, make and/or sell nucleoside-modified mRNA products that are covered by U.S. and European Patent Office patent filings owned by the Trustees of the University of Pennsylvania, or the Penn Modified RNA Patent Rights, which sublicenses are further summarized below in “—C. In-Licensing.”</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Additionally, certain patent filings have arisen from our collaboration relating to compositions including mRNAs encoding particular cytokines for treatment of solid tumors, or the mRNA Cytokine Filings. Such mRNA Cytokine Filings, if issued, would have 20-year terms that would extend into 2038. However, these filings do not currently include any issued patents.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RiboMabs and RiboCytokines</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own or license a number of patent filings directed to our RiboMab and RiboCytokine programs. Many are owned solely by us, some are jointly owned, and some have been acquired or licensed.</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Patent filings relevant to our RiboMab and RiboCytokine programs include certain mRNA Structure Filings relevant to our iNeST and/or FixVac product candidates, specifically relating to 3’ UTR structures containing a specific sequence element, interrupted polyA tail structures, and reduced-uracil content mRNAs; mRNA Lipid Nanoparticle/Polyplex Filings; and patent filings under the MRT-CellScript Sublicenses relating to nucleoside-modified mRNAs.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have also recently acquired patent assets from MabVax Therapeutics,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Infectious Diseases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is discussed elsewhere in this prospectus, we have collaborated with third parties, including Pfizer and Penn, to develop infectious disease mRNA vaccines.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Certain patent filings that might be useful to our infectious disease mRNA vaccines include certain of the mRNA Structure Filings and the mRNA Lipid Nanoparticle/Polyplex Filings.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Rare Diseases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developing mRNA-based protein replacement therapy for several rare disease indications through our collaboration with Genevant.</w:t>
      </w:r>
    </w:p>
    <w:p>
      <w:pPr>
        <w:spacing w:after="0" w:line="237" w:lineRule="exact"/>
        <w:rPr>
          <w:sz w:val="20"/>
          <w:szCs w:val="20"/>
          <w:color w:val="auto"/>
        </w:rPr>
      </w:pPr>
    </w:p>
    <w:p>
      <w:pPr>
        <w:ind w:left="200" w:right="360" w:firstLine="441"/>
        <w:spacing w:after="0" w:line="255" w:lineRule="auto"/>
        <w:rPr>
          <w:sz w:val="20"/>
          <w:szCs w:val="20"/>
          <w:color w:val="auto"/>
        </w:rPr>
      </w:pPr>
      <w:r>
        <w:rPr>
          <w:rFonts w:ascii="Arial" w:cs="Arial" w:eastAsia="Arial" w:hAnsi="Arial"/>
          <w:sz w:val="18"/>
          <w:szCs w:val="18"/>
          <w:color w:val="auto"/>
        </w:rPr>
        <w:t>Certain of the mRNA Structure Filings (including some that are relevant to iNeST and/or FixVac product candidates, as discussed above) and patent filings under the CellScript Licenses include patent filings directed to nucleoside-modified mRNAs also provide protection for one or more features of mRNA-based protein replacement product candidates. For example, mRNA Structure Filings include patent filings directed to 3’ UTR structures containing a specific sequence element, interrupted poly A tail structures and reduced-uracil content mRNAs, which, as noted above are solely or jointly owned by BioNTech, and, if issued, would have 20-year terms that would extend into the mid-2030s. However, these filings do not currently include any issued patents.</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patent portfolio relating to our rare disease programs also include certain patent filings that we have licensed from Genevant, or the Genevant Filings. Specifically, the Genevant Filings are owned by Arbutus Biopharma Corporation, which is a Genevant affiliate, and relate primarily to lipid or non-liposomal formulations that might be useful in these programs, and have been filed primarily in the U.S. and Europe, with 20-year terms that extend into mid-2020s to mid-2030s for the issued Genevant Filings and the pending Genevant Filings, if issued.</w:t>
      </w:r>
    </w:p>
    <w:p>
      <w:pPr>
        <w:spacing w:after="0" w:line="320" w:lineRule="exact"/>
        <w:rPr>
          <w:sz w:val="20"/>
          <w:szCs w:val="20"/>
          <w:color w:val="auto"/>
        </w:rPr>
      </w:pPr>
    </w:p>
    <w:p>
      <w:pPr>
        <w:ind w:left="1620" w:hanging="430"/>
        <w:spacing w:after="0"/>
        <w:tabs>
          <w:tab w:leader="none" w:pos="1620" w:val="left"/>
        </w:tabs>
        <w:numPr>
          <w:ilvl w:val="0"/>
          <w:numId w:val="2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Engineered Cell Therapy</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engineered cell therapy product class features use of chimeric antigen receptor, or CAR-, T cell or individualized T cell receptors for oncology therapy. Our patent filings relevant to these platforms and product candidates, or the CAR T/TCR Filings, are generally co-owned by BioNTech Cell &amp; Gene Therapies GmbH, or BioNTech C&amp;GT, and TRON. For example, the CAR T/TCR Filings include patent filings directed to various CAR T formats and methods of enhancing CAR-T cells by nucleic acid vaccination, as well as patent filings directed to processes of identifying and/or making individualized T cell receptors. The CAR T/TCR Patent Filings, if issued, would have 20-year terms that would extend into the mid- to late-2030s. However, these filings do not currently include any issued patents.</w:t>
      </w:r>
    </w:p>
    <w:p>
      <w:pPr>
        <w:spacing w:after="0" w:line="17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Certain CAR T programs involve CAR-T cell product candidates that target different members of the claudin family. Our patent portfolio includes certain patent filings specifically relevant to our claudin-specific CAR-T cell product candidates and are jointly owned by BioNTech C&amp;GT, TRON and Ganymed, or the Claudin-Specific CAR-T Cell Filings. The issued Claudin-Specific CAR-T Cell Filings have, and the pending Claudin-Specific CAR-T Cell Filings, if issued, would have, 20-year terms extending into the mid-2030s. However, these filings do not currently include any U.S. issued patents. The terms of our co-ownership of such patent filings with TRON and Ganymed are summarized below in “—C. In-Licensing.”</w:t>
      </w:r>
    </w:p>
    <w:p>
      <w:pPr>
        <w:spacing w:after="0" w:line="307" w:lineRule="exact"/>
        <w:rPr>
          <w:sz w:val="20"/>
          <w:szCs w:val="20"/>
          <w:color w:val="auto"/>
        </w:rPr>
      </w:pPr>
    </w:p>
    <w:p>
      <w:pPr>
        <w:ind w:left="1620" w:hanging="430"/>
        <w:spacing w:after="0"/>
        <w:tabs>
          <w:tab w:leader="none" w:pos="1620" w:val="left"/>
        </w:tabs>
        <w:numPr>
          <w:ilvl w:val="0"/>
          <w:numId w:val="2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Antibodies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or CD-40. Our patent portfolio includes certain patent filings relevant to such bispecific antibodies, or the Bispecific Checkpoint Modulator Filings, co-owned by us and Genmab. Such Bispecific Checkpoint Modulator Filings, if issued, would have 20-year terms that would extend into the late-2030s and do not currently include any issued patents.</w:t>
      </w:r>
    </w:p>
    <w:p>
      <w:pPr>
        <w:spacing w:after="0" w:line="337" w:lineRule="exact"/>
        <w:rPr>
          <w:sz w:val="20"/>
          <w:szCs w:val="20"/>
          <w:color w:val="auto"/>
        </w:rPr>
      </w:pPr>
    </w:p>
    <w:p>
      <w:pPr>
        <w:ind w:left="1620" w:hanging="430"/>
        <w:spacing w:after="0"/>
        <w:tabs>
          <w:tab w:leader="none" w:pos="1620" w:val="left"/>
        </w:tabs>
        <w:numPr>
          <w:ilvl w:val="0"/>
          <w:numId w:val="2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Small Molecule Immunomodulators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small molecule therapeutics product class features oncology treatment using small molecule product candidates that activate the immune system via TLR7 agonism. Our patent portfolio includes patent filings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00"/>
          </w:cols>
          <w:pgMar w:left="24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relevant to these TLR7 agonists, or the TLR7 Agonist Filings. Certain TLR7 Agonist Filings are directed to substituted imidazoquinolines, and, if issued, would have 20-year terms that would extend into the late 2030s. However, these filings do not currently include any issued patents.</w:t>
      </w:r>
    </w:p>
    <w:p>
      <w:pPr>
        <w:spacing w:after="0" w:line="268" w:lineRule="exact"/>
        <w:rPr>
          <w:sz w:val="20"/>
          <w:szCs w:val="20"/>
          <w:color w:val="auto"/>
        </w:rPr>
      </w:pPr>
    </w:p>
    <w:p>
      <w:pPr>
        <w:ind w:left="1180" w:hanging="544"/>
        <w:spacing w:after="0"/>
        <w:tabs>
          <w:tab w:leader="none" w:pos="11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In-Licensing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Some of our intellectual property assets have been acquired by acquisition and/or in-licensing.</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have pursued a strategy of identifying and in-licensing third-party patents that we believe are complementary to or otherwise interact synergistically with our own intellectual property portfolio. We have entered into material intellectual property licensing or option arrangements with Penn, TRON, Louisiana State University and MRT-CellScript.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key terms of these arrangements are summarized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Penn Agreement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October 2018, BioNTech RNA entered into a collaboration and license agreement with the Trustees of the University of Pennsylvania regarding the development and commercialization of certain mRNA vaccines and mRNA diagnostics for the diagnosis, detection, evaluation, prophylaxis and treatment of infectious diseases. We refer to this agreement as the Penn Agreement.</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Under the Penn Agreement, BioNTech RNA and Penn agree to collaborate with respect to research and development activities and are obligated to use commercially reasonable efforts to develop products that use formulated mRNAs encoding one or more immunogens for 10 disease indications in the field of infectious diseases (each, a Penn Product). Penn is responsible for all research and development work up to completion of studies enabling an IND as well as IND-supporting preclinical work, and BioNTech RNA is responsible for the manufacture of mRNA amounts to support the preclinical and IND-enabling studies. If a Penn Product developed under the research program achieves certain acceptance criteria for a specified indication, BioNTech RNA has the right to obtain an exclusive worldwide license under Penn’s patent rights (and a non-exclusive license under Penn’s know-how and materials) to research, develop, make, use or commercialize Penn Products in such indication. Under the Penn Agreement, Penn retains certain rights to conduct and authorize non-commercial third-party research, educational and patient care activities under any licensed intellectual property. Moreover, the license granted by Penn is subject to certain rights granted to the U.S. government in connection with government funding provided by the United States, including the requirement that products that result from intellectual property funded by the U.S. government that are sold in the United States be substantially manufactured in the United States.</w:t>
      </w:r>
    </w:p>
    <w:p>
      <w:pPr>
        <w:spacing w:after="0" w:line="18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BioNTech RNA has an obligation to use commercially reasonable efforts to clinically develop, obtain regulatory approval for and commercialize at least one Penn Product for each indication licensed under the Penn Agreement. Moreover, BioNTech RNA is obligated to achieve certain clinical and regulatory milestones within specified time periods, and its failure to do so would provide Penn the right to terminate the Penn Agreement on an indication-by-indication basis.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BioNTech RNA paid to Penn an upfront fee of $5 million to fund research activities and has agreed to pay Penn additional funds through quarterly payments, not to exceed an aggregate of $15 million, upon depletion of the previously advanced funds. Under the Penn Agreement, BioNTech RNA also agreed to pay Penn an annual alliance management fee. In addition, if any Penn Product is covered by a Penn patent, BioNTech RNA will pay to Penn development and commercialization milestone payments up to $44.4 million for each Penn Product licensed under this agreement and royalties in a low-single digit percentage on net sales of all Penn Products licensed under the Penn Agreement. Further, Penn will receive a percentage of any income from sublicenses BioNTech RNA grants to third parties, subject to certain caps set forth in the Penn Agreement.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BioNTech RNA has the sole responsibility for and decision-making authority over clinical development and commercialization activities relating to any Penn Product arising from the collaboration. BioNTech RNA is also responsible for the manufacture of mRNA to support clinical development and commercialization efforts.</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Penn Agreement remains in effect until the expiration of the last Penn patent covering any licensed Penn Product or developmental product candidate. BioNTech RNA may terminate the Penn Agreement for convenience in its entirety or on an indication-by-indication basis at any time after October 9, 2019 upon 90 days’ prior notice to Penn. The Penn Agreement also grants both parties termination rights for uncured material breaches, including for BioNTech RNA’s failure to achieve its obligations to achieve certain diligence milestones, and insolvency.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Agreements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2015, we and our subsidiaries BioNTech RNA,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2019, we and our subsidiaries BioNTech RNA Pharmaceuticals GmbH,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Research Agreement</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7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are entitled to the exclusive rights to all inventions, methods, specifications, materials, documents, data, know-how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 non-exclusive,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5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18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80"/>
          </w:cols>
          <w:pgMar w:left="240" w:top="460"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November 2017, we and TRON entered into an agreement to include certain research and development activities regarding neoepitope RNA immunotherapies as work included in the TRON Research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License Agreement</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6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siRNA-based therapeutics, micro-proteins, antibody based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antigene receptors and RNA-based pharmaceuticals). The University Parties may use the Development Results for internal research purposes only. We have an obligation to use reasonable efforts to develop and commercialize products in our field of use worldwide.</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 figure amount to Johannes Gutenberg-Universität Mainz.</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TRON License Agreement contains a limitation on liability as between the parties, wherein the parties will only be liable to each other for intentional and grossly negligent actions, and, in the case of gross negligence,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80"/>
          </w:cols>
          <w:pgMar w:left="240" w:top="460"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Collaboration Agreement</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Except for the results of a particular research project which has been funded exclusively by TRON, or the RNT Project, all of the inventions, methods, specifications, materials, documents, data, know-how and other results (together, the Results) developed or discovered by TRON or by us and TRON jointly under the TRON Collaboration Agreement are jointly owned. The Results of the RNT Project are owned exclusively by TRON.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(b) the prophylaxis, diagnosis and treatment of oncological diseases, infectious diseases and rare genetic diseases; or (c) in the case of the Results from the RNT Project only, the prophylaxis, diagnosis and treatment of rectal neuroendocrine tumors in humans. We are required to use our reasonable efforts to develop and commercialize products that exploit the Results.</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Under the TRON Collaboration Agreement, TRON’s activities are invoiced at cost. TRON invoices us monthly and our payments are due no later than 10 days thereafter. Additionally, we are obligated to pay to TRON low single-digit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178"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TRON Collaboration Agreement limits each party’s liability to the other to cases of willful misconduct and gross negligence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TRON Collaboration Agreement came in to force with retroactive effect from January 2015 and has an indefinite term, but may be terminated by either party on nine months’ notice. If one of our subsidiaries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terminates its role in the TRON Collaboration Agreement, the agreement will survive and continue without that subsidiary.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LSU License Agreement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obligated to use commercially reasonable efforts to develop one or more marketable products utilizing the licensed patents, upon which we would owe additional milestone payments to LSU.</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CellScript and mRNA Ribotherapeutics License Agreement</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BioNTech RNA entered into the two MRT-CellScript Sublicenses discussed above. Together, the MRT-CellScript Sublicenses grant BioNTech RNA worldwide, non-exclusive sublicenses under the Penn Modified mRNA Patent Rights (as defined in the MRT-CellScript Sublicenses) to research, develop, make, import, use and commercialize products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7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spacing w:after="0" w:line="310" w:lineRule="exact"/>
        <w:rPr>
          <w:sz w:val="20"/>
          <w:szCs w:val="20"/>
          <w:color w:val="auto"/>
        </w:rPr>
      </w:pPr>
    </w:p>
    <w:p>
      <w:pPr>
        <w:ind w:left="1180" w:hanging="544"/>
        <w:spacing w:after="0"/>
        <w:tabs>
          <w:tab w:leader="none" w:pos="11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Trademark Portfolio</w:t>
      </w:r>
    </w:p>
    <w:p>
      <w:pPr>
        <w:spacing w:after="0" w:line="121" w:lineRule="exact"/>
        <w:rPr>
          <w:sz w:val="20"/>
          <w:szCs w:val="20"/>
          <w:color w:val="auto"/>
        </w:rPr>
      </w:pPr>
    </w:p>
    <w:p>
      <w:pPr>
        <w:ind w:left="200" w:right="220" w:firstLine="441"/>
        <w:spacing w:after="0" w:line="299" w:lineRule="auto"/>
        <w:rPr>
          <w:sz w:val="20"/>
          <w:szCs w:val="20"/>
          <w:color w:val="auto"/>
        </w:rPr>
      </w:pPr>
      <w:r>
        <w:rPr>
          <w:rFonts w:ascii="Arial" w:cs="Arial" w:eastAsia="Arial" w:hAnsi="Arial"/>
          <w:sz w:val="18"/>
          <w:szCs w:val="18"/>
          <w:color w:val="auto"/>
        </w:rPr>
        <w:t>Certain features of our business and our product candidates are protected by trademarks. Our trademark portfolio includes, but is not limited to, registrations for each of FixVac</w:t>
      </w:r>
      <w:r>
        <w:rPr>
          <w:rFonts w:ascii="Arial" w:cs="Arial" w:eastAsia="Arial" w:hAnsi="Arial"/>
          <w:sz w:val="15"/>
          <w:szCs w:val="15"/>
          <w:color w:val="auto"/>
        </w:rPr>
        <w:t>®</w:t>
      </w:r>
      <w:r>
        <w:rPr>
          <w:rFonts w:ascii="Arial" w:cs="Arial" w:eastAsia="Arial" w:hAnsi="Arial"/>
          <w:sz w:val="18"/>
          <w:szCs w:val="18"/>
          <w:color w:val="auto"/>
        </w:rPr>
        <w:t>, IVAC</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xml:space="preserve"> RiboCytokine</w:t>
      </w:r>
      <w:r>
        <w:rPr>
          <w:rFonts w:ascii="Arial" w:cs="Arial" w:eastAsia="Arial" w:hAnsi="Arial"/>
          <w:sz w:val="15"/>
          <w:szCs w:val="15"/>
          <w:color w:val="auto"/>
        </w:rPr>
        <w:t>®</w:t>
      </w:r>
      <w:r>
        <w:rPr>
          <w:rFonts w:ascii="Arial" w:cs="Arial" w:eastAsia="Arial" w:hAnsi="Arial"/>
          <w:sz w:val="18"/>
          <w:szCs w:val="18"/>
          <w:color w:val="auto"/>
        </w:rPr>
        <w:t xml:space="preserve"> and RiboMab</w:t>
      </w:r>
      <w:r>
        <w:rPr>
          <w:rFonts w:ascii="Arial" w:cs="Arial" w:eastAsia="Arial" w:hAnsi="Arial"/>
          <w:sz w:val="15"/>
          <w:szCs w:val="15"/>
          <w:color w:val="auto"/>
        </w:rPr>
        <w:t>®</w:t>
      </w:r>
      <w:r>
        <w:rPr>
          <w:rFonts w:ascii="Arial" w:cs="Arial" w:eastAsia="Arial" w:hAnsi="Arial"/>
          <w:sz w:val="18"/>
          <w:szCs w:val="18"/>
          <w:color w:val="auto"/>
        </w:rPr>
        <w:t>.</w:t>
      </w:r>
    </w:p>
    <w:p>
      <w:pPr>
        <w:spacing w:after="0" w:line="277" w:lineRule="exact"/>
        <w:rPr>
          <w:sz w:val="20"/>
          <w:szCs w:val="20"/>
          <w:color w:val="auto"/>
        </w:rPr>
      </w:pPr>
    </w:p>
    <w:p>
      <w:pPr>
        <w:ind w:left="1180" w:hanging="544"/>
        <w:spacing w:after="0"/>
        <w:tabs>
          <w:tab w:leader="none" w:pos="11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 Protection</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Certain of our technologies, including in particular certain proprietary manufacturing processes or technologies and/or neoantigen prediction technologies, are protected as trade secrets.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00"/>
          </w:cols>
          <w:pgMar w:left="24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33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XVII.</w:t>
      </w:r>
      <w:r>
        <w:rPr>
          <w:sz w:val="20"/>
          <w:szCs w:val="20"/>
          <w:color w:val="auto"/>
        </w:rPr>
        <w:tab/>
      </w: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description of competition surrounding each of our technologies.</w:t>
      </w:r>
    </w:p>
    <w:p>
      <w:pPr>
        <w:spacing w:after="0" w:line="225"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i w:val="1"/>
          <w:iCs w:val="1"/>
          <w:color w:val="auto"/>
        </w:rPr>
        <w:t>mRNA Therapies</w:t>
      </w:r>
      <w:r>
        <w:rPr>
          <w:rFonts w:ascii="Arial" w:cs="Arial" w:eastAsia="Arial" w:hAnsi="Arial"/>
          <w:sz w:val="17"/>
          <w:szCs w:val="17"/>
          <w:color w:val="auto"/>
        </w:rPr>
        <w:t>. mRNA therapies are a new medical frontier, and we expect competition in this space to be robust across diverse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areas. We compete with a number of companies focused on developing mRNA technologies for a wide range of applications, including Moderna, CureVac, eTheRNA immunotherapies, Translate Bio, Arcturus Therapeutics, ethris, Genevant and GlaxoSmithKline.</w:t>
      </w:r>
    </w:p>
    <w:p>
      <w:pPr>
        <w:spacing w:after="0" w:line="166"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The oncology therapeutics landscape in general is highly competitive and includes large and specialty pharmaceutical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Companies such as AstraZeneca, Amgen, Bristol-Myers Squibb, Celgene, Eli Lilly, GlaxoSmithKline, Incyte, Janssen Pharmaceuticals, Merck &amp; Co., Novartis, Pfizer, Roche and Sanofi are developing diversified immuno-oncology programs and have substantial resources. We expect our intratumoral immunotherapy candidates for the treatment of solid tumors to face direct competition from companies such as Moderna and CureVac.</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also expect our FixVac and iNeST candidates to face competition from smaller specialized oncology companies such as Agenus, Neon Therapeutics, Gritstone, Moderna in collaboration with Merck &amp; Co., Aduro Biotech, Advaxis Immunotherapies, Achilles Therapeutics, NousCom, ISA Pharmaceuticals, CureVac in collaboration with Eli Lilly, Genocea Biosciences, Vaccibody, PACT Pharma and ZIOPHARM Oncology in the antigen-based therapy space.</w:t>
      </w:r>
    </w:p>
    <w:p>
      <w:pPr>
        <w:spacing w:after="0" w:line="18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i w:val="1"/>
          <w:iCs w:val="1"/>
          <w:color w:val="auto"/>
        </w:rPr>
        <w:t>Engineered Cell Therapy Drug Class</w:t>
      </w:r>
      <w:r>
        <w:rPr>
          <w:rFonts w:ascii="Arial" w:cs="Arial" w:eastAsia="Arial" w:hAnsi="Arial"/>
          <w:sz w:val="17"/>
          <w:szCs w:val="17"/>
          <w:color w:val="auto"/>
        </w:rPr>
        <w:t>. We compete with a number of companies focused on adoptive cell therapies, including Novartis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Gilead Sciences, Celgene, Allogene Therapeutics, CRISPR Therapeutics, bluebird bio, Medigene, Adaptimmune Therapeutics, Amgen, Atara Biotherapeutics, Autolus Limited, Cellectis, PACT, Neon, Mustang Bio, Iovance Biotherapeutics, TCR2 Therapeutics, Editas Medicine, Celyad, Celularity, Unum Therapeutics, Intrexon, and Bellicum Pharmaceuticals and Precision Biosciences.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auto"/>
        </w:rPr>
        <w:t xml:space="preserve">Antibodies Drug Class. </w:t>
      </w:r>
      <w:r>
        <w:rPr>
          <w:rFonts w:ascii="Arial" w:cs="Arial" w:eastAsia="Arial" w:hAnsi="Arial"/>
          <w:sz w:val="18"/>
          <w:szCs w:val="18"/>
          <w:color w:val="auto"/>
        </w:rPr>
        <w:t>We compete with a number of companies with operations focused on checkpoint immunomodulators,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AstraZeneca, Merck, Pfizer, Novartis, Roche and Bristol-Myers Squibb.</w:t>
      </w:r>
    </w:p>
    <w:p>
      <w:pPr>
        <w:spacing w:after="0" w:line="17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i w:val="1"/>
          <w:iCs w:val="1"/>
          <w:color w:val="auto"/>
        </w:rPr>
        <w:t xml:space="preserve">Small Molecule Immunomodulator Drug Class. </w:t>
      </w:r>
      <w:r>
        <w:rPr>
          <w:rFonts w:ascii="Arial" w:cs="Arial" w:eastAsia="Arial" w:hAnsi="Arial"/>
          <w:sz w:val="16"/>
          <w:szCs w:val="16"/>
          <w:color w:val="auto"/>
        </w:rPr>
        <w:t>We are aware of a number of other companies developing TLR agonists, including Checkmate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Dynavax Technologies, Exicure, Gilead, GlaxoSmithKline, Hoffmann-La Roche, Mologen and Nektar Therapeutics.</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The infectious disease space includes general competition from well-established pharmaceutical companies such as AbbVie,</w:t>
      </w:r>
      <w:r>
        <w:rPr>
          <w:rFonts w:ascii="Arial" w:cs="Arial" w:eastAsia="Arial" w:hAnsi="Arial"/>
          <w:sz w:val="18"/>
          <w:szCs w:val="18"/>
          <w:i w:val="1"/>
          <w:iCs w:val="1"/>
          <w:color w:val="auto"/>
        </w:rPr>
        <w:t xml:space="preserve"> </w:t>
      </w:r>
      <w:r>
        <w:rPr>
          <w:rFonts w:ascii="Arial" w:cs="Arial" w:eastAsia="Arial" w:hAnsi="Arial"/>
          <w:sz w:val="18"/>
          <w:szCs w:val="18"/>
          <w:color w:val="auto"/>
        </w:rPr>
        <w:t>Bayer, Gilead, Janssen Pharmaceuticals, Merck &amp; Co. and Novartis. In addition, Seqirus UK, Sanofi Pasteur, GlaxoSmithKline, Biomedical Corp. of Quebec and AstraZeneca produce influenza vaccines.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Rare Diseases</w:t>
      </w:r>
      <w:r>
        <w:rPr>
          <w:rFonts w:ascii="Arial" w:cs="Arial" w:eastAsia="Arial" w:hAnsi="Arial"/>
          <w:sz w:val="18"/>
          <w:szCs w:val="18"/>
          <w:color w:val="auto"/>
        </w:rPr>
        <w:t>. We compete with a number of companies focused on rare diseases, including Roche, Alexion Pharmaceuticals, Novartis, Bristol-Myers Squibb, Sanofi Novo Nordisk and Pfizer.</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anticipate that the key competitive factors affecting our technologies will be efficacy, safety, cost and convenience, as well as our ability to build a fully-integrated biotechnology company. The availability of 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40"/>
          </w:cols>
          <w:pgMar w:left="240" w:top="460"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XVIII.</w:t>
      </w:r>
      <w:r>
        <w:rPr>
          <w:sz w:val="20"/>
          <w:szCs w:val="20"/>
          <w:color w:val="auto"/>
        </w:rPr>
        <w:tab/>
      </w: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July 31, 2019, we had 1,179 full-time employees working for BioNTech, of whom 229 hold a doctoral degree or higher. The following tables provide breakdowns of our full-time equivalent employees as of July 31, 2019 by function and by region:</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Function</w:t>
            </w:r>
          </w:p>
        </w:tc>
        <w:tc>
          <w:tcPr>
            <w:tcW w:w="4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48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Clinical Research &amp; Development</w:t>
            </w:r>
          </w:p>
        </w:tc>
        <w:tc>
          <w:tcPr>
            <w:tcW w:w="20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71</w:t>
            </w:r>
          </w:p>
        </w:tc>
        <w:tc>
          <w:tcPr>
            <w:tcW w:w="60" w:type="dxa"/>
            <w:vAlign w:val="bottom"/>
            <w:tcBorders>
              <w:top w:val="single" w:sz="8" w:color="auto"/>
            </w:tcBorders>
            <w:shd w:val="clear" w:color="auto" w:fill="CCEEFF"/>
          </w:tcPr>
          <w:p>
            <w:pPr>
              <w:spacing w:after="0"/>
              <w:rPr>
                <w:sz w:val="17"/>
                <w:szCs w:val="17"/>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Scientific Research &amp; Development</w:t>
            </w:r>
          </w:p>
        </w:tc>
        <w:tc>
          <w:tcPr>
            <w:tcW w:w="2600" w:type="dxa"/>
            <w:vAlign w:val="bottom"/>
            <w:gridSpan w:val="2"/>
          </w:tcPr>
          <w:p>
            <w:pPr>
              <w:ind w:left="2040"/>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26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Quality</w:t>
            </w:r>
          </w:p>
        </w:tc>
        <w:tc>
          <w:tcPr>
            <w:tcW w:w="2600" w:type="dxa"/>
            <w:vAlign w:val="bottom"/>
            <w:gridSpan w:val="2"/>
          </w:tcPr>
          <w:p>
            <w:pPr>
              <w:ind w:left="204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Supporting Functions</w:t>
            </w:r>
          </w:p>
        </w:tc>
        <w:tc>
          <w:tcPr>
            <w:tcW w:w="26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Commercial &amp; Business Development</w:t>
            </w:r>
          </w:p>
        </w:tc>
        <w:tc>
          <w:tcPr>
            <w:tcW w:w="2600" w:type="dxa"/>
            <w:vAlign w:val="bottom"/>
            <w:gridSpan w:val="2"/>
          </w:tcPr>
          <w:p>
            <w:pPr>
              <w:ind w:left="20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1,179</w:t>
            </w:r>
          </w:p>
        </w:tc>
        <w:tc>
          <w:tcPr>
            <w:tcW w:w="60" w:type="dxa"/>
            <w:vAlign w:val="bottom"/>
            <w:shd w:val="clear" w:color="auto" w:fill="CCEEFF"/>
          </w:tcPr>
          <w:p>
            <w:pPr>
              <w:spacing w:after="0"/>
              <w:rPr>
                <w:sz w:val="18"/>
                <w:szCs w:val="18"/>
                <w:color w:val="auto"/>
              </w:rPr>
            </w:pPr>
          </w:p>
        </w:tc>
      </w:tr>
      <w:tr>
        <w:trPr>
          <w:trHeight w:val="412"/>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Region</w:t>
            </w:r>
          </w:p>
        </w:tc>
        <w:tc>
          <w:tcPr>
            <w:tcW w:w="438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r>
      <w:tr>
        <w:trPr>
          <w:trHeight w:val="203"/>
        </w:trPr>
        <w:tc>
          <w:tcPr>
            <w:tcW w:w="48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Mainz (Headquarters)</w:t>
            </w:r>
          </w:p>
        </w:tc>
        <w:tc>
          <w:tcPr>
            <w:tcW w:w="20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832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Munich and Martinsried</w:t>
            </w:r>
          </w:p>
        </w:tc>
        <w:tc>
          <w:tcPr>
            <w:tcW w:w="2600" w:type="dxa"/>
            <w:vAlign w:val="bottom"/>
            <w:gridSpan w:val="2"/>
          </w:tcPr>
          <w:p>
            <w:pPr>
              <w:ind w:left="21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Idar-Oberstein</w:t>
            </w:r>
          </w:p>
        </w:tc>
        <w:tc>
          <w:tcPr>
            <w:tcW w:w="26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Berlin &amp; United States</w:t>
            </w:r>
          </w:p>
        </w:tc>
        <w:tc>
          <w:tcPr>
            <w:tcW w:w="2600" w:type="dxa"/>
            <w:vAlign w:val="bottom"/>
            <w:gridSpan w:val="2"/>
          </w:tcPr>
          <w:p>
            <w:pPr>
              <w:ind w:left="210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gridSpan w:val="2"/>
            <w:shd w:val="clear" w:color="auto" w:fill="CCEEFF"/>
          </w:tcPr>
          <w:p>
            <w:pPr>
              <w:ind w:left="2180"/>
              <w:spacing w:after="0"/>
              <w:rPr>
                <w:sz w:val="20"/>
                <w:szCs w:val="20"/>
                <w:color w:val="auto"/>
              </w:rPr>
            </w:pPr>
            <w:r>
              <w:rPr>
                <w:rFonts w:ascii="Arial" w:cs="Arial" w:eastAsia="Arial" w:hAnsi="Arial"/>
                <w:sz w:val="18"/>
                <w:szCs w:val="18"/>
                <w:b w:val="1"/>
                <w:bCs w:val="1"/>
                <w:color w:val="auto"/>
                <w:w w:val="88"/>
              </w:rPr>
              <w:t>1,179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Since 2016, our workforce has grown by 141%, and we have plans to triple the size of our team at our Mainz manufacturing site over the next several years. Within the next several years, two further new production sites are planned to be built in Mainz and Idar-Oberstein.</w:t>
      </w:r>
    </w:p>
    <w:p>
      <w:pPr>
        <w:spacing w:after="0" w:line="14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None of our employees has engaged in any labor strikes. We have no collective bargaining agreements with our employees. We have a workers’ council at our Idar-Oberstein site. However, we consider our relationship with our employees to be positive and have not experienced any major labor disputes.</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XIX.</w:t>
      </w:r>
      <w:r>
        <w:rPr>
          <w:sz w:val="20"/>
          <w:szCs w:val="20"/>
          <w:color w:val="auto"/>
        </w:rPr>
        <w:tab/>
      </w:r>
      <w:r>
        <w:rPr>
          <w:rFonts w:ascii="Arial" w:cs="Arial" w:eastAsia="Arial" w:hAnsi="Arial"/>
          <w:sz w:val="18"/>
          <w:szCs w:val="18"/>
          <w:b w:val="1"/>
          <w:bCs w:val="1"/>
          <w:color w:val="auto"/>
        </w:rPr>
        <w:t>Properties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headquarters are located in Mainz, Germany, where we occupy:</w:t>
      </w:r>
    </w:p>
    <w:p>
      <w:pPr>
        <w:spacing w:after="0" w:line="131" w:lineRule="exact"/>
        <w:rPr>
          <w:sz w:val="20"/>
          <w:szCs w:val="20"/>
          <w:color w:val="auto"/>
        </w:rPr>
      </w:pPr>
    </w:p>
    <w:p>
      <w:pPr>
        <w:ind w:left="1180" w:right="260" w:hanging="436"/>
        <w:spacing w:after="0" w:line="264" w:lineRule="auto"/>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Approximately 9,416 square meters (equivalent to approximately 101,353 square feet) of laboratory, GMP manufacturing, storage and office space under a lease for the entire building located at An der Goldgrube 12, 55131 Mainz under a lease that has an initial term that expires on October 30, 2027, but which we have the option to extend until April 30, 2039.</w:t>
      </w:r>
    </w:p>
    <w:p>
      <w:pPr>
        <w:spacing w:after="0" w:line="86"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Approximately 1,069 square meters (equivalent to approximately 11,507 square feet) of office and GMP manufacturing space under a lease for part of the building located at Kupferbergterrasse 15, 17019, 44116 Mainz under a lease that expires in March 31, 2022.</w:t>
      </w:r>
    </w:p>
    <w:p>
      <w:pPr>
        <w:spacing w:after="0" w:line="51" w:lineRule="exact"/>
        <w:rPr>
          <w:rFonts w:ascii="Arial" w:cs="Arial" w:eastAsia="Arial" w:hAnsi="Arial"/>
          <w:sz w:val="17"/>
          <w:szCs w:val="17"/>
          <w:color w:val="auto"/>
        </w:rPr>
      </w:pPr>
    </w:p>
    <w:p>
      <w:pPr>
        <w:ind w:left="1180" w:right="20" w:hanging="436"/>
        <w:spacing w:after="0" w:line="302" w:lineRule="auto"/>
        <w:tabs>
          <w:tab w:leader="none" w:pos="11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Approximately 4,882 square meters (equivalent to approximately 52,549 square feet) of flexible use space under a lease for the entire building at Adam-Opel-Strasse 10, 55129 Mainz-Hechtsheim that has an initial term that expires on December 31, 2024, but which we have the option to extend until December 31, 2027. If the lease has not been terminated prior to December 31, 2024, and the option has not been exercised prior to this date, the lease will convert to an unlimited period terminable by either party on 12 months’ prior written notice.</w:t>
      </w:r>
    </w:p>
    <w:p>
      <w:pPr>
        <w:spacing w:after="0" w:line="59" w:lineRule="exact"/>
        <w:rPr>
          <w:rFonts w:ascii="Arial" w:cs="Arial" w:eastAsia="Arial" w:hAnsi="Arial"/>
          <w:sz w:val="16"/>
          <w:szCs w:val="16"/>
          <w:color w:val="auto"/>
        </w:rPr>
      </w:pPr>
    </w:p>
    <w:p>
      <w:pPr>
        <w:ind w:left="1180" w:hanging="436"/>
        <w:spacing w:after="0" w:line="264" w:lineRule="auto"/>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Approximately 82,881 square meters (equivalent to approximately 892,124 square feet) of office space and a further area of land associated with this office space of approximately 12,600 square meters (equivalent to approximately 135,625 square feet), which is owned by BioNTech.</w:t>
      </w:r>
    </w:p>
    <w:p>
      <w:pPr>
        <w:spacing w:after="0" w:line="86"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have entered into an agreement to lease 4,025 square meters (equivalent to 43,324 square feet) of office space under a lease for the entire building at Hechtsheimer Strasse 2,55131 Mainz-Hechtsheim,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9" w:lineRule="auto"/>
        <w:rPr>
          <w:sz w:val="20"/>
          <w:szCs w:val="20"/>
          <w:color w:val="auto"/>
        </w:rPr>
      </w:pPr>
      <w:r>
        <w:rPr>
          <w:rFonts w:ascii="Arial" w:cs="Arial" w:eastAsia="Arial" w:hAnsi="Arial"/>
          <w:sz w:val="18"/>
          <w:szCs w:val="18"/>
          <w:color w:val="auto"/>
        </w:rPr>
        <w:t>which commenced on July 1, 2019. The initial term of the lease expires on June 30, 2029, which we have the option to extend until June 30, 2034 and again until June 30, 2039. The grant of the lease is also conditional upon the Company purchasing a 8,753 square meter (equivalent to 94,216 square feet) plot of land at Hechtsheimer Strasse, 55131 Mainz-Hechtsheim, and being entered as the owner of such land in the property register by September 30, 2019.</w:t>
      </w:r>
    </w:p>
    <w:p>
      <w:pPr>
        <w:spacing w:after="0" w:line="92" w:lineRule="exact"/>
        <w:rPr>
          <w:sz w:val="20"/>
          <w:szCs w:val="20"/>
          <w:color w:val="auto"/>
        </w:rPr>
      </w:pPr>
    </w:p>
    <w:p>
      <w:pPr>
        <w:ind w:left="1180" w:right="240" w:hanging="436"/>
        <w:spacing w:after="0" w:line="286" w:lineRule="auto"/>
        <w:tabs>
          <w:tab w:leader="none" w:pos="11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We have entered into an agreement to purchase approximately 8,753 square meters (equivalent to 94,216 square feet) of land at Hechtsheimer Strasse, 55131 Mainz. We have paid the purchase price and the application to register us as the new owner of the land has been submitted. Our registration as owner of this land in the property register has not yet been completed.</w:t>
      </w:r>
    </w:p>
    <w:p>
      <w:pPr>
        <w:spacing w:after="0" w:line="166"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In addition, our BioNTech IMFS facility in Idar-Oberstein, Germany, occupies approximately 2,800 square meters (equivalent to approximately 30,140 square feet). This includes 650 square meters (approximately 7,000 square feet) of clean room area, and 700 square meters (approximately 7,500 square feet) of development and quality control laboratories. We occupy approximately 575 square meters (equivalent to approximately 6,200 square feet) of this space, which is used primarily for storage, under a lease that has an initial expiry date of October 1, 2021, but which we have the right to extend by an additional five years. We occupy approximately 100 square meters (equivalent to approximately 1,075 square feet) of this space, which is used primarily for storage, under a lease that can be terminated by either party on six months’ written notice (but not earlier than May 1, 2020). We occupy approximately 80 square meters (equivalent to approximately 860 square feet) of this space, which is used as office space, under a lease that can be terminated by either party on three months’ written notice. The rest of this facility, including the GMP-certified manufacturing suites, is owned by BioNTech. We also recently purchased a building of approximately 802 square meters (equivalent to 8,632 square feet) near our IMFS facility in Idar-Oberstein, which will be used as office space. Our registration as owner of the building in the property register has not yet been completed.</w:t>
      </w:r>
    </w:p>
    <w:p>
      <w:pPr>
        <w:spacing w:after="0" w:line="6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At our JPT facility in Berlin, Germany, we occupy approximately 1,755 square meters (equivalent to approximately 18,890 square feet) of office, laboratory and other space. Approximately 250 square meters of that space (equivalent to approximately 2,690 square feet) is occupied under a lease which has an initial expiry date of December 31, 2019 and will continue for further six-month periods, unless terminated by either party on three months’ prior written notice. The remaining 1,505 square meters (equivalent to approximately 16,199 square feet) is occupied under a lease for an indeterminate period of time but which may be terminated by either party on 12 months’ prior written notice.</w:t>
      </w:r>
    </w:p>
    <w:p>
      <w:pPr>
        <w:spacing w:after="0" w:line="6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Martinsried, Germany, we occupy approximately 1,681 square meters (equivalent to approximately 18,100 square feet) under a lease that has an initial term that expires on December 31, 2020, but which we have the option to extend until December 31, 2022.</w:t>
      </w:r>
    </w:p>
    <w:p>
      <w:pPr>
        <w:spacing w:after="0" w:line="62"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In Neuried, Germany, we occupy approximately 725 square meters (equivalent to approximately 7,800 square feet) of laboratory and office space under a lease that expires on December 31, 2021, but which we have the option to extend until December 31, 2026. If the lease is not terminated before December 31, 2021 (where the option is not exercised) or December 31, 2026 (where the option is exercised) the lease will renew automatically for an additional one-year periods until terminated by either party on 12 months’ prior written notice.</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San Diego, we occupy approximately 14,971 square feet of laboratory and office space under a lease to part of a building located at 11535 Sorrento Valley Road, San Diego, California, that expires on February 28, 2022.</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expand our capacity as follows:</w:t>
      </w:r>
    </w:p>
    <w:p>
      <w:pPr>
        <w:spacing w:after="0" w:line="131" w:lineRule="exact"/>
        <w:rPr>
          <w:sz w:val="20"/>
          <w:szCs w:val="20"/>
          <w:color w:val="auto"/>
        </w:rPr>
      </w:pPr>
    </w:p>
    <w:p>
      <w:pPr>
        <w:ind w:left="1180" w:hanging="436"/>
        <w:spacing w:after="0" w:line="259" w:lineRule="auto"/>
        <w:tabs>
          <w:tab w:leader="none" w:pos="11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2020, we anticipate completing the construction of two new buildings at our BioNTech IMFS facility in Idar-Oberstein, Germany, which we will own, and as a result of which we will occupy an additional 780 square meters (equivalent to approximately 8,395 square feet) of clean room space, 550 square meters (equivalent to approximately 5,900 square feet) of laboratory space, and 650 square meters (equivalent to approximately 7,000 square feet) of office space.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20"/>
          </w:cols>
          <w:pgMar w:left="24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59" w:lineRule="auto"/>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2022, we anticipate completing the construction of a new complex of building for our JPT business in Berlin, Germany, as a result of which we will occupy approximately 2,727 square meters (equivalent to approximately 29,353 square feet) of laboratory and office space and a total of approximately 5,000 square meters (equivalent to approximately 53,820 square feet) of useable floor space. Upon completion of the construction project we will own this new building.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on these additions to our facilities, see “—XIII. Manufacturing—Future Manufacturing Outlook.”</w:t>
      </w:r>
    </w:p>
    <w:p>
      <w:pPr>
        <w:spacing w:after="0" w:line="370" w:lineRule="exact"/>
        <w:rPr>
          <w:sz w:val="20"/>
          <w:szCs w:val="20"/>
          <w:color w:val="auto"/>
        </w:rPr>
      </w:pPr>
    </w:p>
    <w:p>
      <w:pPr>
        <w:ind w:left="740" w:hanging="536"/>
        <w:spacing w:after="0"/>
        <w:tabs>
          <w:tab w:leader="none" w:pos="7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From time to time, we may be involved in legal proceedings in the ordinary course of business. We are currently not a party to any material legal or administrative proceedings. In addition, we are not aware of any material legal or administrative proceedings contemplated to be brought against us. Regardless of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20"/>
          </w:cols>
          <w:pgMar w:left="240" w:top="460"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Board and Supervisory Board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Management Board (</w:t>
      </w:r>
      <w:r>
        <w:rPr>
          <w:rFonts w:ascii="Arial" w:cs="Arial" w:eastAsia="Arial" w:hAnsi="Arial"/>
          <w:sz w:val="18"/>
          <w:szCs w:val="18"/>
          <w:b w:val="1"/>
          <w:bCs w:val="1"/>
          <w:i w:val="1"/>
          <w:iCs w:val="1"/>
          <w:color w:val="auto"/>
        </w:rPr>
        <w:t>Vorstand</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names and functions of the current members of our Management Board, their ages and their terms: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40" w:type="dxa"/>
            <w:vAlign w:val="bottom"/>
            <w:gridSpan w:val="2"/>
          </w:tcPr>
          <w:p>
            <w:pPr>
              <w:ind w:left="162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6"/>
                <w:szCs w:val="16"/>
                <w:color w:val="auto"/>
              </w:rPr>
            </w:pPr>
          </w:p>
        </w:tc>
        <w:tc>
          <w:tcPr>
            <w:tcW w:w="6280" w:type="dxa"/>
            <w:vAlign w:val="bottom"/>
          </w:tcPr>
          <w:p>
            <w:pPr>
              <w:ind w:left="28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 Ugur Sahin, M.D.</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Chief Business Officer and Chief Commercial Officer</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Chief Medical Officer</w:t>
            </w:r>
          </w:p>
        </w:tc>
      </w:tr>
    </w:tbl>
    <w:p>
      <w:pPr>
        <w:spacing w:after="0" w:line="18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business address of the members of our Management Board is the same as our business address: An der Goldgrube 12, D-55131 Mainz, Germany.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brief summary of the business experience of the members of our Management Board:</w:t>
      </w:r>
    </w:p>
    <w:p>
      <w:pPr>
        <w:spacing w:after="0" w:line="221"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b w:val="1"/>
          <w:bCs w:val="1"/>
          <w:color w:val="auto"/>
        </w:rPr>
        <w:t xml:space="preserve">Prof. Ugur Sahin, M.D. </w:t>
      </w:r>
      <w:r>
        <w:rPr>
          <w:rFonts w:ascii="Arial" w:cs="Arial" w:eastAsia="Arial" w:hAnsi="Arial"/>
          <w:sz w:val="18"/>
          <w:szCs w:val="18"/>
          <w:color w:val="auto"/>
        </w:rPr>
        <w:t>co-founded BioNTech in 2008 and has served as our Chief Executive Officer since that time. Prof. Sahin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 of the Scientific Advisory Board of Ganymed Pharmaceuticals AG from 2008 until the company was acquired by Astellas Pharma Inc., or Astellas, in 2016. In 2010, Prof. Sahin co-founded TRON, and served as a Managing Director from 2010 until 2019. Prof. Sahin has also been a professor (W3) at the Mainz University Medical Center since 2014. Prof. Sahin co-founded the Ci3, the German Cluster Initiative of Individualized ImmunIntervention (Ci3), a non-profit organization. Prof. Sahin earned an M.D. in 1990 from the University of Cologne. Prof. Sahin is married to Dr. Özlem Türeci.</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b w:val="1"/>
          <w:bCs w:val="1"/>
          <w:color w:val="auto"/>
        </w:rPr>
        <w:t xml:space="preserve">Sean Marett </w:t>
      </w:r>
      <w:r>
        <w:rPr>
          <w:rFonts w:ascii="Arial" w:cs="Arial" w:eastAsia="Arial" w:hAnsi="Arial"/>
          <w:sz w:val="17"/>
          <w:szCs w:val="17"/>
          <w:color w:val="auto"/>
        </w:rPr>
        <w:t>joined BioNTech in 2012. Prior to joining BioNTech, he worked in global strategic and regional marketing and sales roles at</w:t>
      </w:r>
      <w:r>
        <w:rPr>
          <w:rFonts w:ascii="Arial" w:cs="Arial" w:eastAsia="Arial" w:hAnsi="Arial"/>
          <w:sz w:val="17"/>
          <w:szCs w:val="17"/>
          <w:b w:val="1"/>
          <w:bCs w:val="1"/>
          <w:color w:val="auto"/>
        </w:rPr>
        <w:t xml:space="preserve"> </w:t>
      </w:r>
      <w:r>
        <w:rPr>
          <w:rFonts w:ascii="Arial" w:cs="Arial" w:eastAsia="Arial" w:hAnsi="Arial"/>
          <w:sz w:val="17"/>
          <w:szCs w:val="17"/>
          <w:color w:val="auto"/>
        </w:rPr>
        <w:t>GlaxoSmithKline in the United States and Pfizer in Europe before taking business development executive roles at Evotec and Lorantis, the latter of which he helped to successfully sell to Celldex Therapeutics, Inc. He has successfully executed complex licensing transactions with large pharmaceutical companies, negotiated M&amp;A transactions and raised finance from investors. Mr. Marett built and ran a contract clinical manufacturing organization with operations across Europe and the United States for over half a decade for the contract manufacturer, NextPharma. Mr. Marett has been Chairman of PHMR Ltd, a company specializing in market access and pharmaceutical reimbursement, since 2017. He previously held non-executive directorship of KWS BioTest Ltd (successfully sold to Charles River) from 2011 until 2018 and was a member of the investment committee of Mann BioInvest Ltd, a fund dedicated to biotechnology and pharmaceutical company investments from 2013 until 2016. He holds a BSc (Hons) in Biochemistry from Kings College London and an MBA from Manchester Business School.</w:t>
      </w:r>
    </w:p>
    <w:p>
      <w:pPr>
        <w:spacing w:after="0" w:line="174" w:lineRule="exact"/>
        <w:rPr>
          <w:sz w:val="20"/>
          <w:szCs w:val="20"/>
          <w:color w:val="auto"/>
        </w:rPr>
      </w:pPr>
    </w:p>
    <w:p>
      <w:pPr>
        <w:ind w:left="200" w:right="200" w:firstLine="441"/>
        <w:spacing w:after="0" w:line="281" w:lineRule="auto"/>
        <w:rPr>
          <w:sz w:val="20"/>
          <w:szCs w:val="20"/>
          <w:color w:val="auto"/>
        </w:rPr>
      </w:pPr>
      <w:r>
        <w:rPr>
          <w:rFonts w:ascii="Arial" w:cs="Arial" w:eastAsia="Arial" w:hAnsi="Arial"/>
          <w:sz w:val="17"/>
          <w:szCs w:val="17"/>
          <w:b w:val="1"/>
          <w:bCs w:val="1"/>
          <w:color w:val="auto"/>
        </w:rPr>
        <w:t xml:space="preserve">Dr. Sierk Poetting </w:t>
      </w:r>
      <w:r>
        <w:rPr>
          <w:rFonts w:ascii="Arial" w:cs="Arial" w:eastAsia="Arial" w:hAnsi="Arial"/>
          <w:sz w:val="17"/>
          <w:szCs w:val="17"/>
          <w:color w:val="auto"/>
        </w:rPr>
        <w:t>is our Chief Financial Officer and Chief Operating Officer. Dr. Poetting joined BioNTech in September 2014 from Novartis,</w:t>
      </w:r>
      <w:r>
        <w:rPr>
          <w:rFonts w:ascii="Arial" w:cs="Arial" w:eastAsia="Arial" w:hAnsi="Arial"/>
          <w:sz w:val="17"/>
          <w:szCs w:val="17"/>
          <w:b w:val="1"/>
          <w:bCs w:val="1"/>
          <w:color w:val="auto"/>
        </w:rPr>
        <w:t xml:space="preserve"> </w:t>
      </w:r>
      <w:r>
        <w:rPr>
          <w:rFonts w:ascii="Arial" w:cs="Arial" w:eastAsia="Arial" w:hAnsi="Arial"/>
          <w:sz w:val="17"/>
          <w:szCs w:val="17"/>
          <w:color w:val="auto"/>
        </w:rPr>
        <w:t>where he served from May 2012 to August 2014 as Vice President and Chief Financial Officer for the Sandoz Division in North America. Dr. Poetting started his career as a consultant with McKinsey &amp; Company. A German citizen, Dr. Poetting holds a Master of Science in Optical Sciences from the University of Arizona and a Ph.D. in Physics from the Ludwig-Maximilians University in Munich.</w:t>
      </w:r>
    </w:p>
    <w:p>
      <w:pPr>
        <w:spacing w:after="0" w:line="165" w:lineRule="exact"/>
        <w:rPr>
          <w:sz w:val="20"/>
          <w:szCs w:val="20"/>
          <w:color w:val="auto"/>
        </w:rPr>
      </w:pPr>
    </w:p>
    <w:p>
      <w:pPr>
        <w:ind w:left="200" w:right="280" w:firstLine="441"/>
        <w:spacing w:after="0" w:line="258" w:lineRule="auto"/>
        <w:rPr>
          <w:sz w:val="20"/>
          <w:szCs w:val="20"/>
          <w:color w:val="auto"/>
        </w:rPr>
      </w:pPr>
      <w:r>
        <w:rPr>
          <w:rFonts w:ascii="Arial" w:cs="Arial" w:eastAsia="Arial" w:hAnsi="Arial"/>
          <w:sz w:val="18"/>
          <w:szCs w:val="18"/>
          <w:b w:val="1"/>
          <w:bCs w:val="1"/>
          <w:color w:val="auto"/>
        </w:rPr>
        <w:t xml:space="preserve">Dr. Özlem Türeci </w:t>
      </w:r>
      <w:r>
        <w:rPr>
          <w:rFonts w:ascii="Arial" w:cs="Arial" w:eastAsia="Arial" w:hAnsi="Arial"/>
          <w:sz w:val="18"/>
          <w:szCs w:val="18"/>
          <w:color w:val="auto"/>
        </w:rPr>
        <w:t>is our Chief Medical Officer. Dr. Türeci joined BioNTech in 2008 as a clinical and scientific advisory board member,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becoming our Chief Medical Officer in 2018. Dr. Türeci co-founded Ganymed Pharmaceuticals, now a subsidiary of Astellas, in 2001 as Chief Scientific Officer and became its Chief Executive Officer in 2008. Dr. Türeci is chairman and co-initiator of Ci3. Dr. Türeci is also President of the Association for Cancer Immunotherapy (CIMT). Dr. Türeci earned her M.D. from Saarland University Faculty of Medicine, Homburg. Dr. Türeci is married to Prof. Ugur Sahin, M.D.</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Supervisory Board (</w:t>
      </w:r>
      <w:r>
        <w:rPr>
          <w:rFonts w:ascii="Arial" w:cs="Arial" w:eastAsia="Arial" w:hAnsi="Arial"/>
          <w:sz w:val="18"/>
          <w:szCs w:val="18"/>
          <w:b w:val="1"/>
          <w:bCs w:val="1"/>
          <w:i w:val="1"/>
          <w:iCs w:val="1"/>
          <w:color w:val="auto"/>
        </w:rPr>
        <w:t>Aufsichtsrat</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the names and functions of the current members of our Supervisory Board, their ages, their terms (which expire on the date of the relevant year’s general shareholders’ meeting) and their principal occupations outside of our Company:</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Term</w:t>
            </w:r>
          </w:p>
        </w:tc>
        <w:tc>
          <w:tcPr>
            <w:tcW w:w="260" w:type="dxa"/>
            <w:vAlign w:val="bottom"/>
          </w:tcPr>
          <w:p>
            <w:pPr>
              <w:spacing w:after="0"/>
              <w:rPr>
                <w:sz w:val="14"/>
                <w:szCs w:val="14"/>
                <w:color w:val="auto"/>
              </w:rPr>
            </w:pPr>
          </w:p>
        </w:tc>
        <w:tc>
          <w:tcPr>
            <w:tcW w:w="600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Expires</w:t>
            </w:r>
          </w:p>
        </w:tc>
        <w:tc>
          <w:tcPr>
            <w:tcW w:w="26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Helmut Jeggle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Chief Executive Officer and Chief Operating Officer of ATHOS Service GmbH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Michael Motschmann</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62</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2023</w:t>
            </w:r>
          </w:p>
        </w:tc>
        <w:tc>
          <w:tcPr>
            <w:tcW w:w="626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Member of the Board of Management and Head of Equity Investments of MIG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60" w:type="dxa"/>
            <w:vAlign w:val="bottom"/>
            <w:gridSpan w:val="2"/>
          </w:tcPr>
          <w:p>
            <w:pPr>
              <w:ind w:left="260"/>
              <w:spacing w:after="0"/>
              <w:rPr>
                <w:sz w:val="20"/>
                <w:szCs w:val="20"/>
                <w:color w:val="auto"/>
              </w:rPr>
            </w:pPr>
            <w:r>
              <w:rPr>
                <w:rFonts w:ascii="Arial" w:cs="Arial" w:eastAsia="Arial" w:hAnsi="Arial"/>
                <w:sz w:val="18"/>
                <w:szCs w:val="18"/>
                <w:color w:val="auto"/>
              </w:rPr>
              <w:t>Verwaltungs AG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Prof. Christoph Huber, M.D.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6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Emeritus at the Johannes-Gutenberg University Mainz</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Dr. Ulrich Wandschneider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6260" w:type="dxa"/>
            <w:vAlign w:val="bottom"/>
            <w:gridSpan w:val="2"/>
          </w:tcPr>
          <w:p>
            <w:pPr>
              <w:ind w:left="260"/>
              <w:spacing w:after="0"/>
              <w:rPr>
                <w:sz w:val="20"/>
                <w:szCs w:val="20"/>
                <w:color w:val="auto"/>
              </w:rPr>
            </w:pPr>
            <w:r>
              <w:rPr>
                <w:rFonts w:ascii="Arial" w:cs="Arial" w:eastAsia="Arial" w:hAnsi="Arial"/>
                <w:sz w:val="18"/>
                <w:szCs w:val="18"/>
                <w:color w:val="auto"/>
              </w:rPr>
              <w:t>Independent consultant to life sciences companies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business address of the members of our Supervisory Board is the same as our business address: An der Goldgrube 12, D-55131 Mainz, Germany.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brief summary of the prior business experience of the members of our Supervisory Board:</w:t>
      </w:r>
    </w:p>
    <w:p>
      <w:pPr>
        <w:spacing w:after="0" w:line="2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b w:val="1"/>
          <w:bCs w:val="1"/>
          <w:color w:val="auto"/>
        </w:rPr>
        <w:t xml:space="preserve">Helmut Jeggle </w:t>
      </w:r>
      <w:r>
        <w:rPr>
          <w:rFonts w:ascii="Arial" w:cs="Arial" w:eastAsia="Arial" w:hAnsi="Arial"/>
          <w:sz w:val="18"/>
          <w:szCs w:val="18"/>
          <w:color w:val="auto"/>
        </w:rPr>
        <w:t>has served as the Chairman of our Supervisory Board since 2008. Mr. Jeggle has served as the Chief Executive Officer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ATHOS Service GmbH since 2015. From 2007 until 2015, Mr. Jeggle served as the Head of Direct Investments of ATHOS Service GmbH. From 2002 until 2007, Mr. Jeggle held various positions with Hexal AG, including Head of Business Planning &amp; Analyses. Mr. Jeggle is currently the Chief Executive Officer of each of Salvia GmbH (since 2014), Neula Holding GmbH (since 2010) and AT-Gruppe (since 2008) and a manager of Santo Group (since 2011). Mr. Jeggle is a member of numerous supervisory boards, including 4SC AG. Mr. Jeggle has a degree in business administration from the University of Applied Sciences Neu-Ulm and earned his Master of Business Administration from the Stuttgart Institute of Management and Technology.</w:t>
      </w:r>
    </w:p>
    <w:p>
      <w:pPr>
        <w:spacing w:after="0" w:line="189"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b w:val="1"/>
          <w:bCs w:val="1"/>
          <w:color w:val="auto"/>
        </w:rPr>
        <w:t xml:space="preserve">Michael Motschmann </w:t>
      </w:r>
      <w:r>
        <w:rPr>
          <w:rFonts w:ascii="Arial" w:cs="Arial" w:eastAsia="Arial" w:hAnsi="Arial"/>
          <w:sz w:val="18"/>
          <w:szCs w:val="18"/>
          <w:color w:val="auto"/>
        </w:rPr>
        <w:t>has served as a member of our Supervisory Board since 2008. Mr. Motschmann co-founded MIG Verwaltungs AG, or</w:t>
      </w:r>
      <w:r>
        <w:rPr>
          <w:rFonts w:ascii="Arial" w:cs="Arial" w:eastAsia="Arial" w:hAnsi="Arial"/>
          <w:sz w:val="18"/>
          <w:szCs w:val="18"/>
          <w:b w:val="1"/>
          <w:bCs w:val="1"/>
          <w:color w:val="auto"/>
        </w:rPr>
        <w:t xml:space="preserve"> </w:t>
      </w:r>
      <w:r>
        <w:rPr>
          <w:rFonts w:ascii="Arial" w:cs="Arial" w:eastAsia="Arial" w:hAnsi="Arial"/>
          <w:sz w:val="18"/>
          <w:szCs w:val="18"/>
          <w:color w:val="auto"/>
        </w:rPr>
        <w:t>MIG, in 2004, where he serves on the Management Board and as Head of Equity Investments. In his role with MIG, Mr. Motschmann currently serves on the supervisory boards of several private portfolio companies.</w:t>
      </w:r>
    </w:p>
    <w:p>
      <w:pPr>
        <w:spacing w:after="0" w:line="17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7"/>
          <w:szCs w:val="17"/>
          <w:b w:val="1"/>
          <w:bCs w:val="1"/>
          <w:color w:val="auto"/>
        </w:rPr>
        <w:t xml:space="preserve">Prof. Christoph Huber, M.D. </w:t>
      </w:r>
      <w:r>
        <w:rPr>
          <w:rFonts w:ascii="Arial" w:cs="Arial" w:eastAsia="Arial" w:hAnsi="Arial"/>
          <w:sz w:val="17"/>
          <w:szCs w:val="17"/>
          <w:color w:val="auto"/>
        </w:rPr>
        <w:t>is a co-founder of BioNTech and has served as a member of our Supervisory Board since 2008. Prof. Huber has</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50 years of professional experience in hematology, oncology and translational immunology. Prof. Huber has since 2014 served as Chairman Emeritus of the Department of Hematology and Oncology at the Johannes-Gutenberg University Mainz. Prof. Huber was a co-founder of Ganymed, now a subsidiary of Astellas Pharma Inc. He is an executive board member of CIMT and a board member of Ci3. From 2018 to April 2019, Prof. Huber served as a member of the supervisory board of TRON. Prof. Huber earned his M.D. at the University of Innsbruck.</w:t>
      </w:r>
    </w:p>
    <w:p>
      <w:pPr>
        <w:spacing w:after="0" w:line="168"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b w:val="1"/>
          <w:bCs w:val="1"/>
          <w:color w:val="auto"/>
        </w:rPr>
        <w:t xml:space="preserve">Dr. Ulrich Wandschneider, Ph.D. </w:t>
      </w:r>
      <w:r>
        <w:rPr>
          <w:rFonts w:ascii="Arial" w:cs="Arial" w:eastAsia="Arial" w:hAnsi="Arial"/>
          <w:sz w:val="16"/>
          <w:szCs w:val="16"/>
          <w:color w:val="auto"/>
        </w:rPr>
        <w:t>has served as a member of our Supervisory Board since 2018. Dr. Wandschneider has more than 20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healthcare sector as a manager in the operative business and as a member of boards and committees. From 2011 to 2016</w:t>
      </w:r>
    </w:p>
    <w:p>
      <w:pPr>
        <w:spacing w:after="0" w:line="1" w:lineRule="exact"/>
        <w:rPr>
          <w:sz w:val="20"/>
          <w:szCs w:val="20"/>
          <w:color w:val="auto"/>
        </w:rPr>
      </w:pPr>
    </w:p>
    <w:p>
      <w:pPr>
        <w:ind w:left="200" w:right="880"/>
        <w:spacing w:after="0" w:line="261" w:lineRule="auto"/>
        <w:rPr>
          <w:sz w:val="20"/>
          <w:szCs w:val="20"/>
          <w:color w:val="auto"/>
        </w:rPr>
      </w:pPr>
      <w:r>
        <w:rPr>
          <w:rFonts w:ascii="Arial" w:cs="Arial" w:eastAsia="Arial" w:hAnsi="Arial"/>
          <w:sz w:val="18"/>
          <w:szCs w:val="18"/>
          <w:color w:val="auto"/>
        </w:rPr>
        <w:t>Dr. Wandschneider served as Chief Executive Officer of Asklepios Kliniken GmbH &amp; Co. KGaA. Dr. Wandschneider currently serves on the supervisory board of Mediclin AG.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Two-Tiered Board Structure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a European public company with limited liability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or SE) (also referred to as European stock corporation, and in the official terminology of the European legislation referred to as European public limited-liability company), having its seat in Germany. We accordingly are subject to the European legislation on the </w:t>
      </w:r>
      <w:r>
        <w:rPr>
          <w:rFonts w:ascii="Arial" w:cs="Arial" w:eastAsia="Arial" w:hAnsi="Arial"/>
          <w:sz w:val="17"/>
          <w:szCs w:val="17"/>
          <w:i w:val="1"/>
          <w:iCs w:val="1"/>
          <w:color w:val="auto"/>
        </w:rPr>
        <w:t>Societas Europaea</w:t>
      </w:r>
      <w:r>
        <w:rPr>
          <w:rFonts w:ascii="Arial" w:cs="Arial" w:eastAsia="Arial" w:hAnsi="Arial"/>
          <w:sz w:val="17"/>
          <w:szCs w:val="17"/>
          <w:color w:val="auto"/>
        </w:rPr>
        <w:t>, namely the Council Regulation (EC) No 2157/2001 of October 8, 2001 on the Statute for a European company, or the SE Regulation; and the German Act on the Implementation of Council Regulation (EC) No 2157/2001 of October 8, 2001 on the Statute for a European company (SE) (</w:t>
      </w:r>
      <w:r>
        <w:rPr>
          <w:rFonts w:ascii="Arial" w:cs="Arial" w:eastAsia="Arial" w:hAnsi="Arial"/>
          <w:sz w:val="17"/>
          <w:szCs w:val="17"/>
          <w:i w:val="1"/>
          <w:iCs w:val="1"/>
          <w:color w:val="auto"/>
        </w:rPr>
        <w:t>Gesetz zur Ausführung der Verordnung</w:t>
      </w:r>
      <w:r>
        <w:rPr>
          <w:rFonts w:ascii="Arial" w:cs="Arial" w:eastAsia="Arial" w:hAnsi="Arial"/>
          <w:sz w:val="17"/>
          <w:szCs w:val="17"/>
          <w:color w:val="auto"/>
        </w:rPr>
        <w:t xml:space="preserve"> (EG) NR. 2157/2001 des Rates vom 8. Oktober 2001 über das Statut der Europäischen Gesellschaft (SE) (SE-</w:t>
      </w:r>
      <w:r>
        <w:rPr>
          <w:rFonts w:ascii="Arial" w:cs="Arial" w:eastAsia="Arial" w:hAnsi="Arial"/>
          <w:sz w:val="17"/>
          <w:szCs w:val="17"/>
          <w:i w:val="1"/>
          <w:iCs w:val="1"/>
          <w:color w:val="auto"/>
        </w:rPr>
        <w:t>Ausführungsgesetz</w:t>
      </w:r>
      <w:r>
        <w:rPr>
          <w:rFonts w:ascii="Arial" w:cs="Arial" w:eastAsia="Arial" w:hAnsi="Arial"/>
          <w:sz w:val="17"/>
          <w:szCs w:val="17"/>
          <w:color w:val="auto"/>
        </w:rPr>
        <w:t>—SEAG), as well as—insofar as applicable pursuant to the SE Regulation—to the German legislation on stock corporations, most importantly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In accordance with these statutes, we have chosen to have a two tiered structure. Hence, our corporate bodies are the Management Board (</w:t>
      </w:r>
      <w:r>
        <w:rPr>
          <w:rFonts w:ascii="Arial" w:cs="Arial" w:eastAsia="Arial" w:hAnsi="Arial"/>
          <w:sz w:val="17"/>
          <w:szCs w:val="17"/>
          <w:i w:val="1"/>
          <w:iCs w:val="1"/>
          <w:color w:val="auto"/>
        </w:rPr>
        <w:t>Vorstand</w:t>
      </w:r>
      <w:r>
        <w:rPr>
          <w:rFonts w:ascii="Arial" w:cs="Arial" w:eastAsia="Arial" w:hAnsi="Arial"/>
          <w:sz w:val="17"/>
          <w:szCs w:val="17"/>
          <w:color w:val="auto"/>
        </w:rPr>
        <w:t>), the Supervisory Board (</w:t>
      </w:r>
      <w:r>
        <w:rPr>
          <w:rFonts w:ascii="Arial" w:cs="Arial" w:eastAsia="Arial" w:hAnsi="Arial"/>
          <w:sz w:val="17"/>
          <w:szCs w:val="17"/>
          <w:i w:val="1"/>
          <w:iCs w:val="1"/>
          <w:color w:val="auto"/>
        </w:rPr>
        <w:t>Aufsichtsrat</w:t>
      </w:r>
      <w:r>
        <w:rPr>
          <w:rFonts w:ascii="Arial" w:cs="Arial" w:eastAsia="Arial" w:hAnsi="Arial"/>
          <w:sz w:val="17"/>
          <w:szCs w:val="17"/>
          <w:color w:val="auto"/>
        </w:rPr>
        <w:t>) and the shareholders’ meeting (</w:t>
      </w:r>
      <w:r>
        <w:rPr>
          <w:rFonts w:ascii="Arial" w:cs="Arial" w:eastAsia="Arial" w:hAnsi="Arial"/>
          <w:sz w:val="17"/>
          <w:szCs w:val="17"/>
          <w:i w:val="1"/>
          <w:iCs w:val="1"/>
          <w:color w:val="auto"/>
        </w:rPr>
        <w:t>Hauptversammlung</w:t>
      </w:r>
      <w:r>
        <w:rPr>
          <w:rFonts w:ascii="Arial" w:cs="Arial" w:eastAsia="Arial" w:hAnsi="Arial"/>
          <w:sz w:val="17"/>
          <w:szCs w:val="17"/>
          <w:color w:val="auto"/>
        </w:rPr>
        <w:t>). Our Management and Supervisory Boards are entirely separate, and, as a rule, no individual may simultaneously be a member of both boards.</w:t>
      </w:r>
    </w:p>
    <w:p>
      <w:pPr>
        <w:spacing w:after="0" w:line="17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Our Management Board is responsible for the day-to-day management of our business in accordance with applicable laws,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and the Management Board’s internal rules of procedure (</w:t>
      </w:r>
      <w:r>
        <w:rPr>
          <w:rFonts w:ascii="Arial" w:cs="Arial" w:eastAsia="Arial" w:hAnsi="Arial"/>
          <w:sz w:val="18"/>
          <w:szCs w:val="18"/>
          <w:i w:val="1"/>
          <w:iCs w:val="1"/>
          <w:color w:val="auto"/>
        </w:rPr>
        <w:t>Geschäftsordnung</w:t>
      </w:r>
      <w:r>
        <w:rPr>
          <w:rFonts w:ascii="Arial" w:cs="Arial" w:eastAsia="Arial" w:hAnsi="Arial"/>
          <w:sz w:val="18"/>
          <w:szCs w:val="18"/>
          <w:color w:val="auto"/>
        </w:rPr>
        <w:t>). Our Management Board represents us in our dealings with third parties.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8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Our Management Board and our Supervisory Board are solely responsible for and manage their own areas of competency (</w:t>
      </w:r>
      <w:r>
        <w:rPr>
          <w:rFonts w:ascii="Arial" w:cs="Arial" w:eastAsia="Arial" w:hAnsi="Arial"/>
          <w:sz w:val="16"/>
          <w:szCs w:val="16"/>
          <w:i w:val="1"/>
          <w:iCs w:val="1"/>
          <w:color w:val="auto"/>
        </w:rPr>
        <w:t>Kompetenztrennung</w:t>
      </w:r>
      <w:r>
        <w:rPr>
          <w:rFonts w:ascii="Arial" w:cs="Arial" w:eastAsia="Arial" w:hAnsi="Arial"/>
          <w:sz w:val="16"/>
          <w:szCs w:val="16"/>
          <w:color w:val="auto"/>
        </w:rPr>
        <w:t>); therefore, neither board may make decisions that, pursuant to applicable law, our Articles of Association or the internal rules of procedure are the responsibility of the other board. Members of both boards owe a duty of loyalty and care to us. In carrying out their duties, they are required to exercise the standard of care of a prudent and diligent businessperson. If they fail to observe the appropriate standard of care, they may become liable to us.</w:t>
      </w:r>
    </w:p>
    <w:p>
      <w:pPr>
        <w:spacing w:after="0" w:line="15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carrying out their duties, the members of both boards must take into account a broad range of considerations when making decisions, including our interests and the interests of our shareholders, employees, creditors and, to a limited extent, the general public, while respecting the rights of our shareholders to be treated on equal terms. Additionally, the Management Board is responsible for implementing an internal monitoring system for risk management purposes.</w:t>
      </w:r>
    </w:p>
    <w:p>
      <w:pPr>
        <w:spacing w:after="0" w:line="18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Supervisory Board has comprehensive monitoring responsibilities. To ensure that our Supervisory Board can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or any of its members is entitled to request special reports from the Management Board on all matters regarding the Company, our legal and business relations with affiliated companies and any business transactions and matters at such affiliated companies that may have a significant impact on our position at any time.</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Under German law, our shareholders have no direct recourse against the members of our Management Board or the members of our Supervisory Board in the event that they are believed to have breached their duty of loyalty and care to us. Apart from insolvency or other special circumstances, only we have the right to claim damages against the members of our two boards.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waive these claims to damages or settle these claims only if at least three years have passed since a claim associated with any violation of a duty has arisen and only if our shareholders approve the waiver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00"/>
          </w:cols>
          <w:pgMar w:left="240" w:top="460"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settlement at a shareholders’ meeting with a simple majority of the votes cast, provided that no shareholders who in the aggregate hold one-tenth or more of our share capital oppose the waiver or settlement and have their opposition formally recorded in the meeting’s minutes maintained by a German civil law notary.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German law requires that the Supervisory Board consists of at least three members, while a company’s articles of association may stipulate a certain higher number. Our Supervisory Board currently consists of four members.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we are not subject to co-determination, the members of our Supervisory Board are all elected by the shareholders’ meeting in accordance with the provisions of the SE Regulation and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German law does not require the majority of our Supervisory Board members to be independent and neither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nor the rules of procedure for our Supervisory Board provide otherwise. However, the rules of procedure for our Supervisory Board provide that the Supervisory Board should have an independent member with expertise in the field of accounting, internal control processes and auditing.</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Under European law, a member of a supervisory board of an SE may be elected for a maximum term to be specified in the articles of association, which must not exceed six years. Re-election, including repeated re-election, is permissible. The shareholders’ meeting may specify a term of office for individual members or all of the members of our Supervisory Board which is shorter than the standard term of office and, subject to statutory limits, may set different start and end dates for the terms of members of our Supervisory Board. Our Articles of Association provide for a term of approximately five years, depending on the date of the annual general shareholders’ meeting in the year in which the term of the relevant member is to expire.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shareholders’ meeting may, at the same time as it elects the members of the Supervisory Board, elect one or more substitute members. The substitute members replace members who cease to be members of our Supervisory Board and take their place for the remainder of their respective terms of office. Currently, no substitute members have been elected or have been proposed to be elected.</w:t>
      </w:r>
    </w:p>
    <w:p>
      <w:pPr>
        <w:spacing w:after="0" w:line="181"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Members of our Supervisory Board may be dismissed at any time during their term of office by a resolution of the shareholders’ meeting adopted by at least a simple majority of the votes cast. In addition, any member of our Supervisory Board may resign at any time by giving one month’s written notice—or, in the event of cause, giving written notice with immediate effect—of his or her resignation to the Management Board.</w:t>
      </w:r>
    </w:p>
    <w:p>
      <w:pPr>
        <w:spacing w:after="0" w:line="166"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Supervisory Board elects a chairperson and a deputy chairperson from its members. The deputy chairperson exercises the chairperson’s rights and obligations whenever the chairperson is unable to do so. The members of our Supervisory Board have elected Mr. Helmut Jeggle as chairperson and Dr. Ulrich Wandschneider as deputy chairperson, each for the term of their respective membership on our Supervisory Board.</w:t>
      </w:r>
    </w:p>
    <w:p>
      <w:pPr>
        <w:spacing w:after="0" w:line="14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Supervisory Board meets at least twice each calendar half-year. Our Articles of Association provide that a quorum of the Supervisory Board members is present if at least three of its members participate in the vote. Members of our Supervisory Board are deemed present if they attend the meeting via telephone or other (electronic) means of communication (including via video conference) or submit their written vote through another member. Additionally, our Articles of Association allow for resolutions to be taken via telephone or other (electronic) means of communications (including via video conference).</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Resolutions of our Supervisory Board are passed by the vote of a simple majority of the votes cast unless otherwise required by law, our Articles of Association or the rules of procedure of our Supervisory Board.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event of a tie, the chairperson of the Supervisory Board has the casting vote. Our Supervisory Board is not permitted to make management decisions, but in accordance with European and German law and in addition to its statutory responsibilities, it has determined that certain matters require its prior consent, including:</w:t>
      </w:r>
    </w:p>
    <w:p>
      <w:pPr>
        <w:spacing w:after="0" w:line="87" w:lineRule="exact"/>
        <w:rPr>
          <w:sz w:val="20"/>
          <w:szCs w:val="20"/>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conducting an initial public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entering into certain large transactions;</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creating or holding any interest in businesses (except wholly-owned subsidiaries) or disposing of shares in businesses (except for a sale of JPT);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issuing shares from authorized capital, unless the shares are issued pursuant to a redemption of stock appreciation rights;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acquiring treasury shares in return for valuable consideration.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Supervisory Board Practices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Decisions are generally made by our Supervisory Board as a whole, however decisions on certain matters may be delegated to committees of our Supervisory Board to the extent permitted by law. The chairperson, or if he or she is prevented from doing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 Our Supervisory Board may designate further types of actions as requiring its approval.</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addition, each member of the Supervisory Board is obliged to carry out his or her duties and responsibilities personally, and such duties and responsibilities cannot be generally and permanently delegated to third parties. However, the Supervisory Board and its committees have the right to appoint independent experts for the review and analysis of specific circumstances in accordance with its control and supervision duties under applicable European and German law. We would bear the costs for any such independent experts that are retained by the Supervisory Board or any of its committees.</w:t>
      </w:r>
    </w:p>
    <w:p>
      <w:pPr>
        <w:spacing w:after="0" w:line="18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Pursuant to Section 107 para. 3 of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the supervisory board may form committees from among its members and charge them with the performance of specific tasks. The committees’ tasks, authorizations and processes are determined by the supervisory board. Where permissible by law, important powers of the supervisory board may also be transferred to committees.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By resolution, the Supervisory Board has established an Audit Committee, a Remuneration, Nominating and Governance Committee and a Capital Markets Committee. Set forth in the table below are the current members of the Audit Committee, the Remuneration, Nominating and Corporate Governance Committee and the Capital Markets Committee.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4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Name of Committee</w:t>
            </w:r>
          </w:p>
        </w:tc>
        <w:tc>
          <w:tcPr>
            <w:tcW w:w="120" w:type="dxa"/>
            <w:vAlign w:val="bottom"/>
          </w:tcPr>
          <w:p>
            <w:pPr>
              <w:spacing w:after="0"/>
              <w:rPr>
                <w:sz w:val="16"/>
                <w:szCs w:val="16"/>
                <w:color w:val="auto"/>
              </w:rPr>
            </w:pPr>
          </w:p>
        </w:tc>
        <w:tc>
          <w:tcPr>
            <w:tcW w:w="39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Current Members</w:t>
            </w:r>
          </w:p>
        </w:tc>
      </w:tr>
      <w:tr>
        <w:trPr>
          <w:trHeight w:val="195"/>
        </w:trPr>
        <w:tc>
          <w:tcPr>
            <w:tcW w:w="20" w:type="dxa"/>
            <w:vAlign w:val="bottom"/>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color w:val="auto"/>
              </w:rPr>
              <w:t>Audit Committee</w:t>
            </w:r>
          </w:p>
        </w:tc>
        <w:tc>
          <w:tcPr>
            <w:tcW w:w="12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w w:val="93"/>
              </w:rPr>
              <w:t>Dr. Ulrich Wandschneider, Michael Motschmann and</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Helmut Jeggle</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Remuneration, Nominating and Corporate Governance Committee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w w:val="94"/>
              </w:rPr>
              <w:t>Michael Motschmann, Prof. Christopher Huber, M.D.</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and Dr. Ulrich Wandschneider</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Capital Markets Committee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Helmut Jeggle, Michael Motschmann</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Audit Committee consists of Dr. Ulrich Wandschneider, Michael Motschmann and Helmut Jeggle. Dr. Ulrich Wandschneider is the chair of the Audit Committee. The Audit Committee assists the Supervisory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Board in overseeing the accuracy and integrity of our financial statements, our accounting and financial reporting processes and audits of our financial statements, the effective functioning of our internal control system, our risk management system, our compliance with legal and regulatory requirements, our independent auditor’s qualifications and independence, the performance of the independent auditor and the effective functioning of our internal audit functions, and, subject to certain limitations, to adopt and implement pertinent decisions on behalf of the Supervisory Board. The Audit Committee’s duties and responsibilities to carry out its purpose, include, among others:</w:t>
      </w:r>
    </w:p>
    <w:p>
      <w:pPr>
        <w:spacing w:after="0" w:line="78" w:lineRule="exact"/>
        <w:rPr>
          <w:sz w:val="20"/>
          <w:szCs w:val="20"/>
          <w:color w:val="auto"/>
        </w:rPr>
      </w:pPr>
    </w:p>
    <w:p>
      <w:pPr>
        <w:ind w:left="1180" w:hanging="436"/>
        <w:spacing w:after="0"/>
        <w:tabs>
          <w:tab w:leader="none" w:pos="11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considering the commissioning of the audit engagement, as well as the compensation, retention and oversight of the independent auditor;</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the independent auditor;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pre-approving the audit and non-audit services to be performed by the independent auditor;</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annual audit plan, including critical accounting policies and practices to be used;</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adequacy and effectiveness of our internal accounting controls and critical accounting policies;</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results of our annual audit and the results of the review by our independent auditor of our quarterly unaudited financial statements;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any quarterly or annual earnings announcements;</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approving, as appropriate, any related party transactions and reviewing and monitoring potential conflict of interest situations on an ongoing basis for compliance with our policies and procedures;</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overseeing procedures for the receipt, retention and treatment of complaints received regarding accounting, internal accounting controls or auditing matters;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and evaluating the performance of the Audit Committee and its members.</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for so discharging its duties and responsibilities, without seeking approval of the Management Board or Supervisory Board. The Audit Committee has legal power to enter into the contract on our behalf and we will be bound to these and will be obliged to discharge any obligations as the Audit Committee may incur on our behalf for these purposes.</w:t>
      </w:r>
    </w:p>
    <w:p>
      <w:pPr>
        <w:spacing w:after="0" w:line="15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Dr. Wandschneider and Mr. Motschmann qualify as “independent directors” as such term is defined in Rule 10A-3 under the Exchange Act and Nasdaq Rule 5605. We intend to have a fully independent audit committee within one year from effectiveness of our initial public offering registration statement, as permitted by Rule 10A-3. Additionally, our Supervisory Board has determined that Dr. Ulrich Wandschneider qualifies as an “audit committee financial expert” as that term is defined under the Exchange Act.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Remuneration, Nominating and Corporate Governance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Remuneration, Nominating and Corporate Governance Committee consists of Michael Motschmann, Prof. Christopher Huber, M.D. and Dr.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Ulrich Wandschneider. Mr. Motschmann is the chair of the committee.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00"/>
          </w:cols>
          <w:pgMar w:left="240" w:top="460"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Remuneration, Nominating and Corporate Governance Committee’s duties and responsibilities to carry out its purpose include, among others:</w:t>
      </w:r>
    </w:p>
    <w:p>
      <w:pPr>
        <w:spacing w:after="0" w:line="142" w:lineRule="exact"/>
        <w:rPr>
          <w:sz w:val="20"/>
          <w:szCs w:val="20"/>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preparing and discussing with management policies relating to the remuneration of the members of our Management Board;</w:t>
      </w:r>
    </w:p>
    <w:p>
      <w:pPr>
        <w:spacing w:after="0" w:line="130"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reviewing and supervising corporate goals and objectives for the remuneration of the members of the Management Board, including evaluation of the performance of the members of the Management Board in light of these goals and proposals to the Supervisory Board for remuneration based on such evaluations;</w:t>
      </w:r>
    </w:p>
    <w:p>
      <w:pPr>
        <w:spacing w:after="0" w:line="86"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reviewing all equity-based compensation plans and arrangements and making recommendations to the Supervisory Board regarding such plans;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assisting with identifying and recruiting candidates to fill positions on the Management Board and the Supervisory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developing, recommending to the Supervisory Board and monitoring compliance with corporate governance policies;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delegated to it, overseeing the evaluation of the Supervisory Board and reporting on its performance and effectiveness;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reviewing and evaluating the performance of the Remuneration, Nominating and Corporate Governance Committee and its members.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Markets Committee</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Our Capital Markets Committee consists of Helmut Jeggle and Michael Motschmann. Mr. Jeggle is the chair of the committee. The Capital Markets Committee advises the Supervisory Board on issues in connection with capital measures and takeover, merger and acquisition activities. Its responsibilities include the following tasks:</w:t>
      </w:r>
    </w:p>
    <w:p>
      <w:pPr>
        <w:spacing w:after="0" w:line="87" w:lineRule="exact"/>
        <w:rPr>
          <w:sz w:val="20"/>
          <w:szCs w:val="20"/>
          <w:color w:val="auto"/>
        </w:rPr>
      </w:pPr>
    </w:p>
    <w:p>
      <w:pPr>
        <w:ind w:left="1180" w:right="180" w:hanging="436"/>
        <w:spacing w:after="0" w:line="277" w:lineRule="auto"/>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overseeing the activities of the Company relating to its capital structure and capital raising, including preparation for and implementation of initial public offerings and secondary share issuances;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overseeing the activities of the Company relating to takeovers, mergers and acquisitions activities.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Remuneration of Supervisory Board Members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Articles of Association provide for a fixed annual remuneration for each member of the Supervisory Board of €50,000 per year. However, the chairman is entitled to receive €150,000 per year and the vice chairman €75,000 per year. In addition, the chairman of the audit committee is entitled to be paid €20,000 per year. All members of the Supervisory Board are reimbursed for their expenses.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member of the Supervisory Board who serves for only a portion of a given fiscal year or who holds the position of chairman or vice chairman of the Supervisory Board or of chairman of the Audit Committee for only a portion of a given fiscal year shall only be remunerated pro rata. The same is true if the clause of the Articles of Association regarding the remuneration of the members of the Supervisory Board becomes ineffective (</w:t>
      </w:r>
      <w:r>
        <w:rPr>
          <w:rFonts w:ascii="Arial" w:cs="Arial" w:eastAsia="Arial" w:hAnsi="Arial"/>
          <w:sz w:val="18"/>
          <w:szCs w:val="18"/>
          <w:i w:val="1"/>
          <w:iCs w:val="1"/>
          <w:color w:val="auto"/>
        </w:rPr>
        <w:t>e.g</w:t>
      </w:r>
      <w:r>
        <w:rPr>
          <w:rFonts w:ascii="Arial" w:cs="Arial" w:eastAsia="Arial" w:hAnsi="Arial"/>
          <w:sz w:val="18"/>
          <w:szCs w:val="18"/>
          <w:color w:val="auto"/>
        </w:rPr>
        <w:t>., because it is repealed) during the course of a year.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case any remuneration or reimbursement of expenses is subject to value added tax, such amount shall be paid additionally by the Company.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Board and Senior Management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Management Board consists of at least two members. Our Supervisory Board determines the exact number of members of our Management Board. Pursuant to this amendment to the Articles, the Supervisory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Board may also appoint a chairperson or a spokesman of the Management Board. Prof. Ugur Sahin, M.D. has been appointed chairman of the Management Board.</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members of our Management Board are appointed by our Supervisory Board for a term of up to five years. They are eligible for reappointment or extension, including repeated re-appointment and extension, after the completion of their 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Supervisory Board prior to the expiration of his or her term.</w:t>
      </w:r>
    </w:p>
    <w:p>
      <w:pPr>
        <w:spacing w:after="0" w:line="154" w:lineRule="exact"/>
        <w:rPr>
          <w:sz w:val="20"/>
          <w:szCs w:val="20"/>
          <w:color w:val="auto"/>
        </w:rPr>
      </w:pPr>
    </w:p>
    <w:p>
      <w:pPr>
        <w:ind w:left="200" w:right="780" w:firstLine="441"/>
        <w:spacing w:after="0" w:line="259" w:lineRule="auto"/>
        <w:rPr>
          <w:sz w:val="20"/>
          <w:szCs w:val="20"/>
          <w:color w:val="auto"/>
        </w:rPr>
      </w:pPr>
      <w:r>
        <w:rPr>
          <w:rFonts w:ascii="Arial" w:cs="Arial" w:eastAsia="Arial" w:hAnsi="Arial"/>
          <w:sz w:val="18"/>
          <w:szCs w:val="18"/>
          <w:color w:val="auto"/>
        </w:rPr>
        <w:t>The members of our Management Board conduct the daily business of our company in accordance with applicable laws, our Articles of Association and the rules of procedure for the Management Board adopted by our Supervisory Board. They are generally responsible for the management of our company and for handling our daily business relations with third parties, the internal organization of our business and communications with our shareholders.</w:t>
      </w:r>
    </w:p>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 member of the management board of an SE governed by German law may not deal with or vote on matters relating to proposals, arrangements or contractual agreements between himself or herself and our company, and a member of our Management Board may be liable to us if he or she has a material interest in any contractual agreement between our company and a third party which is not disclosed to and approved by our Supervisory Board.</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rules of procedure for our Management Board provide that certain matters require a resolution of the entire Management Board, in addition to transactions for which a resolution adopted by the entire Management Board is required by law or required by our Articles of Association. In particular, the entire Management Board shall decide on, among others:</w:t>
      </w:r>
    </w:p>
    <w:p>
      <w:pPr>
        <w:spacing w:after="0" w:line="87" w:lineRule="exact"/>
        <w:rPr>
          <w:sz w:val="20"/>
          <w:szCs w:val="20"/>
          <w:color w:val="auto"/>
        </w:rPr>
      </w:pPr>
    </w:p>
    <w:p>
      <w:pPr>
        <w:ind w:left="1180" w:right="220" w:hanging="436"/>
        <w:spacing w:after="0" w:line="277" w:lineRule="auto"/>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budget plan for the following year, which is to be presented by the Management Board to the Supervisory Board by December 20 of each year;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reporting to the Supervisory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measures and transactions that require the Supervisory Board’s approval;</w:t>
      </w:r>
    </w:p>
    <w:p>
      <w:pPr>
        <w:spacing w:after="0" w:line="130"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measures and transactions relating to a business area that is of extraordinary importance to the us or involving an extraordinary economic risk;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taking on new lines of business or discontinuing existing lines of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investments with a total value above €100,000;</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acquisitions or sales of interests or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our initial public offering;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certain large transactions.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Remuneration of the Members of Our Management Board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agreements with all current members of our Management Board.</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believe that the agreements between us and the members of our Management Board provide for payments and benefits (including upon termination of employment) that are in line with customary market practice.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80"/>
          </w:cols>
          <w:pgMar w:left="240" w:top="460"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the end dates of the current service agreements of our Management Board:</w:t>
      </w:r>
    </w:p>
    <w:p>
      <w:pPr>
        <w:spacing w:after="0" w:line="131" w:lineRule="exact"/>
        <w:rPr>
          <w:sz w:val="20"/>
          <w:szCs w:val="20"/>
          <w:color w:val="auto"/>
        </w:rPr>
      </w:pPr>
    </w:p>
    <w:p>
      <w:pPr>
        <w:ind w:left="1180" w:hanging="436"/>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Prof. Ugur Sahin: December 31, 2022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Sean Marett: September 30, 2022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Dr. Sierk Poetting: September 30, 2022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Dr. Özlem Türeci: May 31, 2022</w:t>
      </w:r>
    </w:p>
    <w:p>
      <w:pPr>
        <w:spacing w:after="0" w:line="225"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From January 1, 2019 until August 31, 2019, the annual base salaries for our Management Board members, Prof. Ugur Sahin, Sean Marett, Dr. Sierk Poetting and Dr. Özlem Türeci, were €230,000, €360,000, €300,000 and €300,000, respectively. Effective September 1, 2019 the annual base salaries for Prof. Ugur Sahin, Sean Marett, Dr. Sierk Poetting and Dr. Özlem Türeci are 360,000, €400,000, €360,000 and €360,000, respectively.</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Effective September 1, 2019, we entered into new service agreements with our Management Board, which provide for short-term incentive compensation of up to a maximum of 50% of the annual base salary. The amount of such short-term incentive compensation will depend on the achievement of certain company goals in a particular fiscal year, which goals will be set uniformly for all members of the Management Board. Half of the incentive compensation will be paid promptly upon achievement of the applicable company goals, with the remaining amount payable one year later, subject to adjustment relative to our share price performance during that year. The provisions in relation to the short-term incentive compensation will take effect from the beginning of the first year after the year in which the Company’s ordinary shares or ADSs of the Company are listed on a stock exchange or other multilateral trading system, e.g., from the first year following the completion of the Offering.</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service agreements of our Management Board provide for long-term incentive compensation in terms of a yearly grant of options to purchase ordinary shares. The options granted each year will be subject to the terms, conditions, definitions and provisions of our ESOP and the applicable option agreement thereunder. The numbers of ordinary shares as to which options will be granted each year to Prof. Ugur Sahin, Sean Marett, Dr. Sierk Poetting and Dr. Özlem Türeci are €750,000, €300,000, €300,000 and €300,000, respectively, in each case divided by the amount by which a certain target share price set by our Supervisory Board (to which the stock price must have increased in order for the options to be exercisable) exceeds the exercise price (which in the case of each grant is equal to the stock price as of the time of that grant). These provisions in relation to the long-term incentive compensation again will take effect only from the beginning of the first year after the year in which the Company’s ordinary shares or ADSs of the Company are listed on a stock exchange or other multilateral trading system.</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year ended December 31, 2018, the members of our Management Board received aggregate remuneration of €7.2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aggregate compensation and benefits provided to our Management Board in the year ended December 31, 2018.</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2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Prof. Ugur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Sean</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Dr. Sierk</w:t>
            </w:r>
          </w:p>
        </w:tc>
        <w:tc>
          <w:tcPr>
            <w:tcW w:w="124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4"/>
              </w:rPr>
              <w:t>Dr. Özlem</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3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Sahin, M.D.</w:t>
            </w:r>
          </w:p>
        </w:tc>
        <w:tc>
          <w:tcPr>
            <w:tcW w:w="9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Marett</w:t>
            </w:r>
          </w:p>
        </w:tc>
        <w:tc>
          <w:tcPr>
            <w:tcW w:w="5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Poetting</w:t>
            </w:r>
          </w:p>
        </w:tc>
        <w:tc>
          <w:tcPr>
            <w:tcW w:w="540" w:type="dxa"/>
            <w:vAlign w:val="bottom"/>
          </w:tcPr>
          <w:p>
            <w:pPr>
              <w:spacing w:after="0"/>
              <w:rPr>
                <w:sz w:val="13"/>
                <w:szCs w:val="13"/>
                <w:color w:val="auto"/>
              </w:rPr>
            </w:pPr>
          </w:p>
        </w:tc>
        <w:tc>
          <w:tcPr>
            <w:tcW w:w="7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Türeci</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Fixed Compensation</w:t>
            </w:r>
          </w:p>
        </w:tc>
        <w:tc>
          <w:tcPr>
            <w:tcW w:w="2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Fringe Benefits</w:t>
            </w:r>
            <w:r>
              <w:rPr>
                <w:rFonts w:ascii="Arial" w:cs="Arial" w:eastAsia="Arial" w:hAnsi="Arial"/>
                <w:sz w:val="15"/>
                <w:szCs w:val="15"/>
                <w:color w:val="auto"/>
              </w:rPr>
              <w:t>(2)</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ESOP Plan Granted 2018</w:t>
            </w:r>
            <w:r>
              <w:rPr>
                <w:rFonts w:ascii="Arial" w:cs="Arial" w:eastAsia="Arial" w:hAnsi="Arial"/>
                <w:sz w:val="15"/>
                <w:szCs w:val="15"/>
                <w:color w:val="auto"/>
              </w:rPr>
              <w:t>(3)</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4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5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c>
          <w:tcPr>
            <w:tcW w:w="5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82550</wp:posOffset>
            </wp:positionV>
            <wp:extent cx="7632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hanging="436"/>
        <w:spacing w:after="0"/>
        <w:tabs>
          <w:tab w:leader="none" w:pos="6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Dr. Özlem Türeci commenced employment with us on June 1, 2018.</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Includes social security, health and additional insurance, company bike and travel expenses.</w:t>
      </w:r>
    </w:p>
    <w:p>
      <w:pPr>
        <w:spacing w:after="0" w:line="18" w:lineRule="exact"/>
        <w:rPr>
          <w:rFonts w:ascii="Arial" w:cs="Arial" w:eastAsia="Arial" w:hAnsi="Arial"/>
          <w:sz w:val="16"/>
          <w:szCs w:val="16"/>
          <w:color w:val="auto"/>
        </w:rPr>
      </w:pPr>
    </w:p>
    <w:p>
      <w:pPr>
        <w:ind w:left="640" w:right="120" w:hanging="436"/>
        <w:spacing w:after="0" w:line="288" w:lineRule="auto"/>
        <w:tabs>
          <w:tab w:leader="none" w:pos="6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fair value was determined pursuant to the regulations of IFRS 2 “Share-based Payments.” This table shows the pro-rata share of personnel expenses resulting from stock-based compensation for the respective financial year.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provides an overview of the share options granted to our Management Board in the year ended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8"/>
              </w:rPr>
              <w:t>Number of Ordinary</w:t>
            </w:r>
          </w:p>
        </w:tc>
        <w:tc>
          <w:tcPr>
            <w:tcW w:w="4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Underlying</w:t>
            </w:r>
          </w:p>
        </w:tc>
        <w:tc>
          <w:tcPr>
            <w:tcW w:w="18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Exercise Price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5580" w:type="dxa"/>
            <w:vAlign w:val="bottom"/>
            <w:gridSpan w:val="3"/>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 Options</w:t>
            </w:r>
            <w:r>
              <w:rPr>
                <w:rFonts w:ascii="Arial" w:cs="Arial" w:eastAsia="Arial" w:hAnsi="Arial"/>
                <w:sz w:val="12"/>
                <w:szCs w:val="12"/>
                <w:b w:val="1"/>
                <w:bCs w:val="1"/>
                <w:color w:val="auto"/>
                <w:w w:val="92"/>
              </w:rPr>
              <w:t>(3)</w:t>
            </w:r>
          </w:p>
        </w:tc>
        <w:tc>
          <w:tcPr>
            <w:tcW w:w="460" w:type="dxa"/>
            <w:vAlign w:val="bottom"/>
          </w:tcPr>
          <w:p>
            <w:pPr>
              <w:spacing w:after="0"/>
              <w:rPr>
                <w:sz w:val="13"/>
                <w:szCs w:val="13"/>
                <w:color w:val="auto"/>
              </w:rPr>
            </w:pPr>
          </w:p>
        </w:tc>
        <w:tc>
          <w:tcPr>
            <w:tcW w:w="13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Prof. Ugur Sahin, M.D.</w:t>
            </w: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11/15/2018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1,830,348</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10.14</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9/17/2026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11/15/2018</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610,110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9/17/2026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11/15/2018</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610,110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9/17/2026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11/15/2018</w:t>
            </w:r>
            <w:r>
              <w:rPr>
                <w:rFonts w:ascii="Arial" w:cs="Arial" w:eastAsia="Arial" w:hAnsi="Arial"/>
                <w:sz w:val="15"/>
                <w:szCs w:val="15"/>
                <w:color w:val="auto"/>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1,952,334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9/17/2026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5" w:lineRule="exact"/>
        <w:rPr>
          <w:sz w:val="20"/>
          <w:szCs w:val="20"/>
          <w:color w:val="auto"/>
        </w:rPr>
      </w:pPr>
    </w:p>
    <w:p>
      <w:pPr>
        <w:ind w:left="640" w:hanging="436"/>
        <w:spacing w:after="0"/>
        <w:tabs>
          <w:tab w:leader="none" w:pos="6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Except as otherwise indicated, all options fully vest on September 16, 2022.</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Options fully vested on March 16, 2019, however these options will not become exercisable until September 16, 2022.</w:t>
      </w:r>
    </w:p>
    <w:p>
      <w:pPr>
        <w:spacing w:after="0" w:line="18" w:lineRule="exact"/>
        <w:rPr>
          <w:rFonts w:ascii="Arial" w:cs="Arial" w:eastAsia="Arial" w:hAnsi="Arial"/>
          <w:sz w:val="16"/>
          <w:szCs w:val="16"/>
          <w:color w:val="auto"/>
        </w:rPr>
      </w:pPr>
    </w:p>
    <w:p>
      <w:pPr>
        <w:ind w:left="640" w:right="520" w:hanging="436"/>
        <w:spacing w:after="0" w:line="288" w:lineRule="auto"/>
        <w:tabs>
          <w:tab w:leader="none" w:pos="6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Share amounts assume an 18-for-1 stock split of our ordinary shares which became effective on September 18, 2019, upon registration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17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In September 2019, we agreed to grant Prof. Ugur Sahin, M.D., our co-founder and Chief Executive Officer, an option to purchase 4,374,963 of our ordinary shares, contingent on, and effective immediately following, the public offering, subject to Prof. Sahin’s continuous employment with us. The option will have a per share exercise price at the initial public offering price. The option will vest annually in equal installments after four years commencing on the first anniversary of our initial public offering and will be exercisable four years after our initial public offering. The option will be subject to the terms, conditions, definitions and provisions of our ESOP and the applicable option agreement thereunder.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Stock Ownership Plan</w:t>
      </w:r>
    </w:p>
    <w:p>
      <w:pPr>
        <w:spacing w:after="0" w:line="121"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Based on a pertinent authorization of the general meeting on August 18, 2017, we have established a share option program under which we grant selected employees options to receive our shares. The program is designed as an Employee Stock Ownership Plan, or ESOP. We have offered the participants a certain number of rights by explicit acceptance of the participants. The exercise of the option rights in accordance with the agreement gives the participants the right to obtain shares against payment of the exercise price. The option rights (other than Dr. Türeci’s options referred to above and the options of one other senior employee) generally fully vest after four years and can only be exercised if: (i) we have executed a public offering;</w:t>
      </w:r>
    </w:p>
    <w:p>
      <w:pPr>
        <w:spacing w:after="0" w:line="2" w:lineRule="exact"/>
        <w:rPr>
          <w:sz w:val="20"/>
          <w:szCs w:val="20"/>
          <w:color w:val="auto"/>
        </w:rPr>
      </w:pPr>
    </w:p>
    <w:p>
      <w:pPr>
        <w:ind w:left="200" w:right="200" w:firstLine="4"/>
        <w:spacing w:after="0" w:line="271" w:lineRule="auto"/>
        <w:tabs>
          <w:tab w:leader="none" w:pos="46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waiting period of four years has elapsed; and (iii) 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can be exercised at the latest eight years after the allocation date. If they have not been exercised by that date, they will forfeit without compensation.</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By way of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Also,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German Corporate Governance Code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German Corporate Governance Code, or the Corporate Governance Code, was originally published by the German Federal Ministry of Justice (</w:t>
      </w:r>
      <w:r>
        <w:rPr>
          <w:rFonts w:ascii="Arial" w:cs="Arial" w:eastAsia="Arial" w:hAnsi="Arial"/>
          <w:sz w:val="18"/>
          <w:szCs w:val="18"/>
          <w:i w:val="1"/>
          <w:iCs w:val="1"/>
          <w:color w:val="auto"/>
        </w:rPr>
        <w:t>Bundesministerium der Justiz</w:t>
      </w:r>
      <w:r>
        <w:rPr>
          <w:rFonts w:ascii="Arial" w:cs="Arial" w:eastAsia="Arial" w:hAnsi="Arial"/>
          <w:sz w:val="18"/>
          <w:szCs w:val="18"/>
          <w:color w:val="auto"/>
        </w:rPr>
        <w:t>) in 2002 and was most recently amended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on February 7, 2017 and published in the German Federal Gazette (</w:t>
      </w:r>
      <w:r>
        <w:rPr>
          <w:rFonts w:ascii="Arial" w:cs="Arial" w:eastAsia="Arial" w:hAnsi="Arial"/>
          <w:sz w:val="17"/>
          <w:szCs w:val="17"/>
          <w:i w:val="1"/>
          <w:iCs w:val="1"/>
          <w:color w:val="auto"/>
        </w:rPr>
        <w:t>Bundesanzeiger</w:t>
      </w:r>
      <w:r>
        <w:rPr>
          <w:rFonts w:ascii="Arial" w:cs="Arial" w:eastAsia="Arial" w:hAnsi="Arial"/>
          <w:sz w:val="17"/>
          <w:szCs w:val="17"/>
          <w:color w:val="auto"/>
        </w:rPr>
        <w:t>) on April 24, 2017. The Corporate Governance Code contains recommendations (</w:t>
      </w:r>
      <w:r>
        <w:rPr>
          <w:rFonts w:ascii="Arial" w:cs="Arial" w:eastAsia="Arial" w:hAnsi="Arial"/>
          <w:sz w:val="17"/>
          <w:szCs w:val="17"/>
          <w:i w:val="1"/>
          <w:iCs w:val="1"/>
          <w:color w:val="auto"/>
        </w:rPr>
        <w:t>Empfehlungen</w:t>
      </w:r>
      <w:r>
        <w:rPr>
          <w:rFonts w:ascii="Arial" w:cs="Arial" w:eastAsia="Arial" w:hAnsi="Arial"/>
          <w:sz w:val="17"/>
          <w:szCs w:val="17"/>
          <w:color w:val="auto"/>
        </w:rPr>
        <w:t>) and suggestions (</w:t>
      </w:r>
      <w:r>
        <w:rPr>
          <w:rFonts w:ascii="Arial" w:cs="Arial" w:eastAsia="Arial" w:hAnsi="Arial"/>
          <w:sz w:val="17"/>
          <w:szCs w:val="17"/>
          <w:i w:val="1"/>
          <w:iCs w:val="1"/>
          <w:color w:val="auto"/>
        </w:rPr>
        <w:t>Anregungen</w:t>
      </w:r>
      <w:r>
        <w:rPr>
          <w:rFonts w:ascii="Arial" w:cs="Arial" w:eastAsia="Arial" w:hAnsi="Arial"/>
          <w:sz w:val="17"/>
          <w:szCs w:val="17"/>
          <w:color w:val="auto"/>
        </w:rPr>
        <w:t xml:space="preserve">) relating to the management and supervision of German companies that are listed on a stock exchange. It follows internationally and nationally recognized standards for good and responsible corporate governance. The purpose of the Corporate Governance Code is to make the German system of corporate governance transparent for investors. The Corporate Governance Code includes corporate governance recommendations and suggestions with respect to shareholders and shareholders’ meetings, the management and supervisory boards, transparency, accounting policies and auditing. While the Corporate Governance Code was originally drafted with only the German stock corporation in mind, it is perceived to be also applicable to the two-tiered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and hence to us.</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There is no obligation to comply with the recommendations or suggestions of the Corporate Governance Code.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requires only that the management board and supervisory board of a German company listed on a trading facility (such as a stock exchange) regulated and supervised by government authorities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w:t>
      </w:r>
      <w:r>
        <w:rPr>
          <w:rFonts w:ascii="Arial" w:cs="Arial" w:eastAsia="Arial" w:hAnsi="Arial"/>
          <w:sz w:val="17"/>
          <w:szCs w:val="17"/>
          <w:i w:val="1"/>
          <w:iCs w:val="1"/>
          <w:color w:val="auto"/>
        </w:rPr>
        <w:t>Entsprechenserklärung</w:t>
      </w:r>
      <w:r>
        <w:rPr>
          <w:rFonts w:ascii="Arial" w:cs="Arial" w:eastAsia="Arial" w:hAnsi="Arial"/>
          <w:sz w:val="17"/>
          <w:szCs w:val="17"/>
          <w:color w:val="auto"/>
        </w:rPr>
        <w:t>). In addition, a listed company is also required to state in this annual declaration whether it intends to comply with the recommendations or list the recommendations it does not plan to comply with in the future. These declarations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8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While in our opinion it is doubtful whether the above legal requirements and hence the Corporate Governance Code will apply following our listing on the Nasdaq Global Select Market, we intend to issue the annual declaration described above on a voluntary basis. Therefore, our Management Board and Supervisory Board will comply with the Corporate Governance Code except for such provisions which are explicitly listed in the annual declaration and for which they provide an explanation of non-compliance.</w:t>
      </w:r>
    </w:p>
    <w:p>
      <w:pPr>
        <w:spacing w:after="0" w:line="18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 and Conflicts of Interest Policy</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our affiliates and employees. The full text of the Code of Conduct is available on our website at https://www.biontech.de. The information and other content appearing on our website are not part of this prospectus and our website address is included in this prospectus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our affiliates and employees, an actual, potential or perceived conflict of interest must be disclosed as soon as a Board member, director or employee discovers the conflict.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80"/>
          </w:cols>
          <w:pgMar w:left="240" w:top="460"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addition, we have implemented compliance policies that describe the compliance management systems that have been implemented for us and our subsidiaries. Our compliance policies are designed to ensure compliance with applicable legal requirements, while at the same time implementing high ethical standards that are mandatory for both management and each employee. The overall responsibility for the compliance management system lies with the Management Board. The Audit Committee will receive regular reports on the operation of the compliance management system.</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the Federal Republic of Germany, instead of those otherwise required under the rules of the Nasdaq Stock Market LLC, or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92" w:lineRule="exact"/>
        <w:rPr>
          <w:sz w:val="20"/>
          <w:szCs w:val="20"/>
          <w:color w:val="auto"/>
        </w:rPr>
      </w:pPr>
    </w:p>
    <w:p>
      <w:pPr>
        <w:ind w:left="1180" w:right="80" w:hanging="436"/>
        <w:spacing w:after="0" w:line="277" w:lineRule="auto"/>
        <w:tabs>
          <w:tab w:leader="none" w:pos="1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and providing current reports on Form 8-K disclosing significant events within four days of their occurrence (however, we intend to furnish quarterly financial information under cover of Form 6-K);</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the data provided to shareholders of U.S. companies that are subject to the Exchange Act; and</w:t>
      </w:r>
    </w:p>
    <w:p>
      <w:pPr>
        <w:spacing w:after="0" w:line="75" w:lineRule="exact"/>
        <w:rPr>
          <w:rFonts w:ascii="Arial" w:cs="Arial" w:eastAsia="Arial" w:hAnsi="Arial"/>
          <w:sz w:val="18"/>
          <w:szCs w:val="18"/>
          <w:color w:val="auto"/>
        </w:rPr>
      </w:pPr>
    </w:p>
    <w:p>
      <w:pPr>
        <w:ind w:left="1180" w:right="280" w:hanging="436"/>
        <w:spacing w:after="0" w:line="259" w:lineRule="auto"/>
        <w:tabs>
          <w:tab w:leader="none" w:pos="1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8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and the Voting Rights requirement (Rule 5640) and that we have an audit committee that satisfies Rule 5605(c)</w:t>
      </w:r>
    </w:p>
    <w:p>
      <w:pPr>
        <w:jc w:val="both"/>
        <w:ind w:left="200" w:right="140"/>
        <w:spacing w:after="0" w:line="254" w:lineRule="auto"/>
        <w:rPr>
          <w:sz w:val="20"/>
          <w:szCs w:val="20"/>
          <w:color w:val="auto"/>
        </w:rPr>
      </w:pPr>
      <w:r>
        <w:rPr>
          <w:rFonts w:ascii="Arial" w:cs="Arial" w:eastAsia="Arial" w:hAnsi="Arial"/>
          <w:sz w:val="18"/>
          <w:szCs w:val="18"/>
          <w:color w:val="auto"/>
        </w:rPr>
        <w:t>(3), consisting of committee members that meet the independence requirements of Rule 5605(c)(2)(A)(ii). Although we are permitted to follow certain corporate governance rules that conform to German requirements in lieu of many of the Nasdaq corporate governance rules, we intend to comply with the Nasdaq corporate governance rules applicable to foreign private issuers. We may utilize these exemptions for as long as we continue to qualify as a foreign private issuer.</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TRON</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 longstanding relationship with Translational Oncology at the University Medical Center of the Johannes Gutenberg University Mainz (Translationale Onkologie an der Universitätsmedizin der Johannes Gutenberg Universität Mainz gemeinnützige GmbH), or TRON. TRON is a non-profit limited liability company engaged in biopharmaceutical research. Prof. Ugur Sahin, M.D., our co-founder and Chief Executive Officer, co-founded TRON and serves as Managing Director for Science and Research at TRON. Prof. Sahin has notified TRON of his intention to resign from this position with TRON, effective September 10, 2019. Additionally, Prof. Christoph Huber, a member of our Supervisory Board, served on TRON’s supervisory board until his resignation in April 2019.</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January 1, 2015, we and certain of our subsidiaries entered into both a Master Agreement for Research Services and a License Agreement with TRON. During 2017 and 2018, we paid to TRON an aggregate of €17.7 million pursuant to these agreements. During the six months ended June 30, 2019, we paid to TRON an aggregate of €4.2 million pursuant to these agreements.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Santo Service GmbH</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several agreements with Santo Service GmbH, or Santo Service, pursuant to which Santo Service provides us with certain real property and custodial services. Santo Service is wholly owned by AT Impf GmbH, our controlling shareholder. During 2017 and 2018, we paid to Santo Service an aggregate of €8.4 million pursuant to these agreements. During the six months ended June 30, 2019, we paid to Santo Service an aggregate of €1.3 million pursuant to these agreements.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Sale and Purchase Agreement</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On April 26, 2016, our wholly owned subsidiary, BioNTech Small Molecules GmbH, entered into an asset sale and purchase agreement with 4SC Discovery GmbH. 4SC Discovery GmbH is a wholly owned subsidiary of 4SC AG. Certain of our investors possess a 50% shareholding in 4SC AG. Pursuant to this agreement, BioNTech Small Molecules GmbH acquired the drug discovery business of 4SC Discovery GmbH for €650,000.</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 with reBOOST Management GmbH</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On August 29, 2019, we entered into an agreement with reBOOST Management GmbH, or reBOOST, pursuant to which we will acquire all of the outstanding shares of reBOOST, which owns certain intellectual property, in exchange for total consideration of up to €300 thousand. reBOOST is wholly-owned by Prof. Ugur Sahin, M.D., our co-founder and Chief Executive Officer, who is also the Managing Director of reBOOST.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A Financing</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In February 2018, we issued an aggregate of 22,587,912 of our ordinary shares to certain new and existing shareholders at a price of $11.99 per share for aggregate proceeds of $270.9 million. The following table sets forth the aggregate number of ordinary shares that we issued and sold in this transaction to our related parties and the aggregate purchase price for such shares: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ORDINARY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8160" w:type="dxa"/>
            <w:vAlign w:val="bottom"/>
            <w:gridSpan w:val="3"/>
            <w:vMerge w:val="continue"/>
          </w:tcPr>
          <w:p>
            <w:pPr>
              <w:spacing w:after="0"/>
              <w:rPr>
                <w:sz w:val="13"/>
                <w:szCs w:val="13"/>
                <w:color w:val="auto"/>
              </w:rPr>
            </w:pPr>
          </w:p>
        </w:tc>
        <w:tc>
          <w:tcPr>
            <w:tcW w:w="12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 (#)</w:t>
            </w: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PURCHASE PRICE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5,002,812</w:t>
            </w: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59,997,612.58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hanging="436"/>
        <w:spacing w:after="0"/>
        <w:tabs>
          <w:tab w:leader="none" w:pos="6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See “Principal Shareholders” for additional information about shares held by this entity.</w:t>
      </w:r>
    </w:p>
    <w:p>
      <w:pPr>
        <w:spacing w:after="0" w:line="16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261</w:t>
      </w:r>
    </w:p>
    <w:p>
      <w:pPr>
        <w:sectPr>
          <w:pgSz w:w="11900" w:h="16838" w:orient="portrait"/>
          <w:cols w:equalWidth="0" w:num="1">
            <w:col w:w="11240"/>
          </w:cols>
          <w:pgMar w:left="24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B 2019 Financing</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June and August 2019, we issued an aggregate of 12,465,288 of our ordinary shares (excluding 5,524,506 ordinary shares which were issued to a Hong Kong-based investor and subsequently transferred to us for no consideration) to certain new and existing shareholders at a price of $18.10 per share for aggregate proceeds of €198.6 million ($225.6 million).</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following table sets forth the aggregate number of ordinary shares that we issued and sold in this transaction to our related parties and the aggregate purchase price for such shares: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ORDINARY</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8160" w:type="dxa"/>
            <w:vAlign w:val="bottom"/>
            <w:gridSpan w:val="3"/>
            <w:vMerge w:val="continue"/>
          </w:tcPr>
          <w:p>
            <w:pPr>
              <w:spacing w:after="0"/>
              <w:rPr>
                <w:sz w:val="13"/>
                <w:szCs w:val="13"/>
                <w:color w:val="auto"/>
              </w:rPr>
            </w:pPr>
          </w:p>
        </w:tc>
        <w:tc>
          <w:tcPr>
            <w:tcW w:w="13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SHARES (#)</w:t>
            </w: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 xml:space="preserve">PURCHASE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1,657,332</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29,999,550.68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hanging="436"/>
        <w:spacing w:after="0"/>
        <w:tabs>
          <w:tab w:leader="none" w:pos="6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See “Principal Shareholders” for additional information about shares held by this entity.</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We and all of our then-existing shareholders entered into a shareholders agreement on December 29, 2017, and amended it on July 20, 2018, May 31, 2019 and August 30, 2019 (as amended, the Shareholders’ Agreement). The Shareholders’ Agreement defined the rights and obligations of the parties thereto as our shareholders and included, among other things, provisions on the composition of our supervisory and management boards, voting and approval requirements, share disposal restrictions, rights of first refusal, tag-along and drag-along rights, potential redemption procedures and anti-dilution protections. The Shareholders’ Agreement will automatically terminate upon the start of trading on a stock exchange.</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following table presents information, as of October 9, 2019, regarding the beneficial ownership of our ordinary shares (i) prior to the consummation of this offering and (ii) as adjusted to reflect the sale of our ADSs in this offering, for:</w:t>
      </w:r>
    </w:p>
    <w:p>
      <w:pPr>
        <w:spacing w:after="0" w:line="76" w:lineRule="exact"/>
        <w:rPr>
          <w:sz w:val="20"/>
          <w:szCs w:val="20"/>
          <w:color w:val="auto"/>
        </w:rPr>
      </w:pPr>
    </w:p>
    <w:p>
      <w:pPr>
        <w:ind w:left="1180" w:hanging="436"/>
        <w:spacing w:after="0"/>
        <w:tabs>
          <w:tab w:leader="none" w:pos="1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member of our Supervisory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member of our Management Board;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members of our Supervisory Board and Management Board as a group.</w:t>
      </w:r>
    </w:p>
    <w:p>
      <w:pPr>
        <w:spacing w:after="0" w:line="225"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October 9, 2019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percentage of outstanding ordinary shares before this offering is computed on the basis of 216,262,336 ordinary shares outstanding as of October 9, 2019. This amount excludes 5,524,506 shares held in treasury.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percentage of shares beneficially owned on an adjusted basis after this offering is based on shares to be outstanding after this offering after giving effect to the completion of this offering, assuming no exercise of the underwriters’ option to purchase additional ADSs from us, and shares to be outstanding after this offering after giving effect to the completion of this offering and assuming full exercise of the underwriters’ option to purchase additional ADSs from us. Ordinary shares that a person has the right to acquire within 60 days of October 9, 2019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our Management Board as a group. Unless otherwise indicated, the address for each beneficial owner is An der Goldgrube 12, D-55131 Mainz, Germany.</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 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98"/>
              </w:rPr>
              <w:t>Shares Beneficially Owned</w:t>
            </w:r>
          </w:p>
        </w:tc>
        <w:tc>
          <w:tcPr>
            <w:tcW w:w="22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Shares Beneficially Owned</w:t>
            </w:r>
          </w:p>
        </w:tc>
        <w:tc>
          <w:tcPr>
            <w:tcW w:w="2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Shareholder</w:t>
            </w:r>
          </w:p>
        </w:tc>
        <w:tc>
          <w:tcPr>
            <w:tcW w:w="2480" w:type="dxa"/>
            <w:vAlign w:val="bottom"/>
            <w:gridSpan w:val="4"/>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gridSpan w:val="2"/>
            <w:vMerge w:val="continue"/>
          </w:tcPr>
          <w:p>
            <w:pPr>
              <w:spacing w:after="0"/>
              <w:rPr>
                <w:sz w:val="14"/>
                <w:szCs w:val="14"/>
                <w:color w:val="auto"/>
              </w:rPr>
            </w:pPr>
          </w:p>
        </w:tc>
        <w:tc>
          <w:tcPr>
            <w:tcW w:w="24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before This Offering</w:t>
            </w:r>
          </w:p>
        </w:tc>
        <w:tc>
          <w:tcPr>
            <w:tcW w:w="22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after This Offering</w:t>
            </w: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2"/>
                <w:szCs w:val="12"/>
                <w:color w:val="auto"/>
              </w:rPr>
            </w:pPr>
          </w:p>
        </w:tc>
        <w:tc>
          <w:tcPr>
            <w:tcW w:w="14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111,341,520</w:t>
            </w:r>
          </w:p>
        </w:tc>
        <w:tc>
          <w:tcPr>
            <w:tcW w:w="4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51.48%</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111,341,520</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Medine GmbH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Entities affiliated with MIG GmbH &amp; Co.</w:t>
            </w:r>
            <w:r>
              <w:rPr>
                <w:rFonts w:ascii="Arial" w:cs="Arial" w:eastAsia="Arial" w:hAnsi="Arial"/>
                <w:sz w:val="15"/>
                <w:szCs w:val="15"/>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6.27%</w:t>
            </w:r>
          </w:p>
        </w:tc>
        <w:tc>
          <w:tcPr>
            <w:tcW w:w="980" w:type="dxa"/>
            <w:vAlign w:val="bottom"/>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r>
              <w:rPr>
                <w:rFonts w:ascii="Arial" w:cs="Arial" w:eastAsia="Arial" w:hAnsi="Arial"/>
                <w:sz w:val="15"/>
                <w:szCs w:val="15"/>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10,889,676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10,889,676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 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98"/>
              </w:rPr>
              <w:t>Shares Beneficially Owned</w:t>
            </w:r>
          </w:p>
        </w:tc>
        <w:tc>
          <w:tcPr>
            <w:tcW w:w="22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Shares Beneficially Owned</w:t>
            </w:r>
          </w:p>
        </w:tc>
        <w:tc>
          <w:tcPr>
            <w:tcW w:w="2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Shareholder</w:t>
            </w:r>
          </w:p>
        </w:tc>
        <w:tc>
          <w:tcPr>
            <w:tcW w:w="2480" w:type="dxa"/>
            <w:vAlign w:val="bottom"/>
            <w:gridSpan w:val="4"/>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gridSpan w:val="2"/>
            <w:vMerge w:val="continue"/>
          </w:tcPr>
          <w:p>
            <w:pPr>
              <w:spacing w:after="0"/>
              <w:rPr>
                <w:sz w:val="14"/>
                <w:szCs w:val="14"/>
                <w:color w:val="auto"/>
              </w:rPr>
            </w:pPr>
          </w:p>
        </w:tc>
        <w:tc>
          <w:tcPr>
            <w:tcW w:w="24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before This Offering</w:t>
            </w:r>
          </w:p>
        </w:tc>
        <w:tc>
          <w:tcPr>
            <w:tcW w:w="22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after This Offering</w:t>
            </w: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2"/>
                <w:szCs w:val="12"/>
                <w:color w:val="auto"/>
              </w:rPr>
            </w:pPr>
          </w:p>
        </w:tc>
        <w:tc>
          <w:tcPr>
            <w:tcW w:w="14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Members of the Supervisory Board and the</w:t>
            </w:r>
          </w:p>
        </w:tc>
        <w:tc>
          <w:tcPr>
            <w:tcW w:w="10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Management Board</w:t>
            </w: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Prof. Ugur Sahin, M.D.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19.28%</w:t>
            </w:r>
          </w:p>
        </w:tc>
        <w:tc>
          <w:tcPr>
            <w:tcW w:w="980" w:type="dxa"/>
            <w:vAlign w:val="bottom"/>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Marett</w:t>
            </w:r>
            <w:r>
              <w:rPr>
                <w:rFonts w:ascii="Arial" w:cs="Arial" w:eastAsia="Arial" w:hAnsi="Arial"/>
                <w:sz w:val="15"/>
                <w:szCs w:val="15"/>
                <w:color w:val="auto"/>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1,091,502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1,091,502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Dr. Sierk Poetting</w:t>
            </w:r>
            <w:r>
              <w:rPr>
                <w:rFonts w:ascii="Arial" w:cs="Arial" w:eastAsia="Arial" w:hAnsi="Arial"/>
                <w:sz w:val="15"/>
                <w:szCs w:val="15"/>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711,828</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711,828</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Özlem Türeci</w:t>
            </w:r>
          </w:p>
        </w:tc>
        <w:tc>
          <w:tcPr>
            <w:tcW w:w="1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Helmut Jeggle</w:t>
            </w:r>
            <w:r>
              <w:rPr>
                <w:rFonts w:ascii="Arial" w:cs="Arial" w:eastAsia="Arial" w:hAnsi="Arial"/>
                <w:sz w:val="15"/>
                <w:szCs w:val="15"/>
                <w:color w:val="auto"/>
              </w:rPr>
              <w:t>(7)</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113,947,722</w:t>
            </w:r>
          </w:p>
        </w:tc>
        <w:tc>
          <w:tcPr>
            <w:tcW w:w="4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52.69%</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113,947,722</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50.36%</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Motschmann</w:t>
            </w:r>
            <w:r>
              <w:rPr>
                <w:rFonts w:ascii="Arial" w:cs="Arial" w:eastAsia="Arial" w:hAnsi="Arial"/>
                <w:sz w:val="15"/>
                <w:szCs w:val="15"/>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Prof. Christoph Huber, M.D.</w:t>
            </w:r>
            <w:r>
              <w:rPr>
                <w:rFonts w:ascii="Arial" w:cs="Arial" w:eastAsia="Arial" w:hAnsi="Arial"/>
                <w:sz w:val="15"/>
                <w:szCs w:val="15"/>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2,552,040</w:t>
            </w:r>
          </w:p>
        </w:tc>
        <w:tc>
          <w:tcPr>
            <w:tcW w:w="4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1.18%</w:t>
            </w:r>
          </w:p>
        </w:tc>
        <w:tc>
          <w:tcPr>
            <w:tcW w:w="980" w:type="dxa"/>
            <w:vAlign w:val="bottom"/>
          </w:tcPr>
          <w:p>
            <w:pPr>
              <w:jc w:val="right"/>
              <w:spacing w:after="0"/>
              <w:rPr>
                <w:sz w:val="20"/>
                <w:szCs w:val="20"/>
                <w:color w:val="auto"/>
              </w:rPr>
            </w:pPr>
            <w:r>
              <w:rPr>
                <w:rFonts w:ascii="Arial" w:cs="Arial" w:eastAsia="Arial" w:hAnsi="Arial"/>
                <w:sz w:val="18"/>
                <w:szCs w:val="18"/>
                <w:color w:val="auto"/>
              </w:rPr>
              <w:t>2,552,040</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Ulrich Wandschneider</w:t>
            </w:r>
            <w:r>
              <w:rPr>
                <w:rFonts w:ascii="Arial" w:cs="Arial" w:eastAsia="Arial" w:hAnsi="Arial"/>
                <w:sz w:val="15"/>
                <w:szCs w:val="15"/>
                <w:color w:val="auto"/>
              </w:rPr>
              <w:t>(10)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All members of our Supervisory Board and Management</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Board, as a group</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173,554,848</w:t>
            </w:r>
          </w:p>
        </w:tc>
        <w:tc>
          <w:tcPr>
            <w:tcW w:w="4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80.25%</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173,554,848</w:t>
            </w:r>
          </w:p>
        </w:tc>
        <w:tc>
          <w:tcPr>
            <w:tcW w:w="4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76.71%</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hanging="436"/>
        <w:spacing w:after="0"/>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640" w:right="160" w:hanging="436"/>
        <w:spacing w:after="0" w:line="264" w:lineRule="auto"/>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Consists of 111,341,520 ordinary shares held by AT Impf GmbH. Members of the Strüngmann family wholly own AT Impf GmbH. Dr. Andreas Strüngmann and Dr. Thomas Strüngmann may be deemed to beneficially own any or all of these shares.</w:t>
      </w:r>
    </w:p>
    <w:p>
      <w:pPr>
        <w:ind w:left="640" w:right="60" w:hanging="436"/>
        <w:spacing w:after="0" w:line="264" w:lineRule="auto"/>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Consists of (a) 5,495,148 ordinary shares held by MIG GmbH &amp; Co. Fonds 7 KG, Munich, (b) 1,780,002 ordinary shares held by MIG GmbH &amp; Co. Fonds 8 KG, Munich and (c) 6,280,956 ordinary shares held by MIG GmbH &amp; Co. Fonds 9 KG, Munich.</w:t>
      </w:r>
    </w:p>
    <w:p>
      <w:pPr>
        <w:ind w:left="640" w:right="80" w:hanging="436"/>
        <w:spacing w:after="0" w:line="281" w:lineRule="auto"/>
        <w:tabs>
          <w:tab w:leader="none" w:pos="6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Consists of 3,351,258 ordinary shares held by Fidelity Mt. Vernon Street Trust: Fidelity Growth Company Fund, 2,478,636 ordinary shares held by Fidelity Growth Company Commingled Pool, 1,638,432 ordinary shares held by Fidelity Select Portfolios:Health Care Portfolio, 898,650 ordinary shares held by Fidelity Advisor Series VII:Fidelity Advisor Health Care Fund, 825,102 ordinary shares held by Fidelity Mt. Vernon Street Trust: Fidelity Series Growth Company Fund, 580,752 ordinary shares held by Fidelity Central Investment Portfolios LLC:Fidelity Health Care Central Fund, 397,530 ordinary shares held by Variable Insurance Products Fund:Growth Portfolio, 234,612 ordinary shares held by Fidelity Advisor Series I: Fidelity Advisor Equity Growth Fund, 186,138 ordinary shares held by Variable Insurance Products Fund IV:Health Care Portfolio, 129,132 ordinary shares held by Fidelity Hastings Street Trust:Fidelity Growth Discovery Fund, 96,948 ordinary shares held by Fidelity Select Portfolios: Pharmaceuticals Portfolio, 69,642 ordinary shares held by Fidelity Advisor Series Equity Growth Fund and 2,844 ordinary shares held by Fidelity Funds - Equity Growth.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0" w:lineRule="exact"/>
        <w:rPr>
          <w:rFonts w:ascii="Arial" w:cs="Arial" w:eastAsia="Arial" w:hAnsi="Arial"/>
          <w:sz w:val="15"/>
          <w:szCs w:val="15"/>
          <w:color w:val="auto"/>
        </w:rPr>
      </w:pPr>
    </w:p>
    <w:p>
      <w:pPr>
        <w:ind w:left="640" w:hanging="436"/>
        <w:spacing w:after="0"/>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Consists of the shares described in note 2 above. Prof. Sahin is the sole shareholder of Medine GmbH.</w:t>
      </w:r>
    </w:p>
    <w:p>
      <w:pPr>
        <w:spacing w:after="0" w:line="18" w:lineRule="exact"/>
        <w:rPr>
          <w:rFonts w:ascii="Arial" w:cs="Arial" w:eastAsia="Arial" w:hAnsi="Arial"/>
          <w:sz w:val="16"/>
          <w:szCs w:val="16"/>
          <w:color w:val="auto"/>
        </w:rPr>
      </w:pPr>
    </w:p>
    <w:p>
      <w:pPr>
        <w:ind w:left="640" w:hanging="436"/>
        <w:spacing w:after="0"/>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Consists of 1,091,502 ordinary shares held by RLG GmbH. Mr. Marett is the sole shareholder of RLG GmbH.</w:t>
      </w:r>
    </w:p>
    <w:p>
      <w:pPr>
        <w:spacing w:after="0" w:line="18" w:lineRule="exact"/>
        <w:rPr>
          <w:rFonts w:ascii="Arial" w:cs="Arial" w:eastAsia="Arial" w:hAnsi="Arial"/>
          <w:sz w:val="16"/>
          <w:szCs w:val="16"/>
          <w:color w:val="auto"/>
        </w:rPr>
      </w:pPr>
    </w:p>
    <w:p>
      <w:pPr>
        <w:ind w:left="640" w:right="240" w:hanging="436"/>
        <w:spacing w:after="0" w:line="264" w:lineRule="auto"/>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Consists of 711,828 shares held by Tofino GmbH. Does not include 487,800 shares held on behalf of other beneficial owners in his capacity as trustee of Tofino GmbH.</w:t>
      </w:r>
    </w:p>
    <w:p>
      <w:pPr>
        <w:ind w:left="640" w:right="400" w:hanging="436"/>
        <w:spacing w:after="0" w:line="288" w:lineRule="auto"/>
        <w:tabs>
          <w:tab w:leader="none" w:pos="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Consists of (a) the shares described in note 1 above, (b) 332,316 ordinary shares held directly by Mr. Jeggle and (c) 2,273, 886 ordinary shares held by Salvia GmbH. Mr. Jeggle has no voting or dispositive power with regard to such</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240" w:top="460" w:right="4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40" w:right="60"/>
        <w:spacing w:after="0" w:line="266" w:lineRule="auto"/>
        <w:rPr>
          <w:sz w:val="20"/>
          <w:szCs w:val="20"/>
          <w:color w:val="auto"/>
        </w:rPr>
      </w:pPr>
      <w:r>
        <w:rPr>
          <w:rFonts w:ascii="Arial" w:cs="Arial" w:eastAsia="Arial" w:hAnsi="Arial"/>
          <w:sz w:val="16"/>
          <w:szCs w:val="16"/>
          <w:color w:val="auto"/>
        </w:rPr>
        <w:t>shares described in note 1 above and in clause (c) of this note and disclaims beneficial ownership of such shares except to the extent of his pecuniary interest therein.</w:t>
      </w:r>
    </w:p>
    <w:p>
      <w:pPr>
        <w:spacing w:after="0" w:line="1" w:lineRule="exact"/>
        <w:rPr>
          <w:sz w:val="20"/>
          <w:szCs w:val="20"/>
          <w:color w:val="auto"/>
        </w:rPr>
      </w:pPr>
    </w:p>
    <w:p>
      <w:pPr>
        <w:ind w:left="640" w:right="300" w:hanging="436"/>
        <w:spacing w:after="0" w:line="264" w:lineRule="auto"/>
        <w:tabs>
          <w:tab w:leader="none" w:pos="6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Consists of the shares described in note 3 above. Mr. Motschmann has no voting or dispositive power with regard to such shares and disclaims beneficial ownership of such shares except to the extent of his pecuniary interest therein.</w:t>
      </w:r>
    </w:p>
    <w:p>
      <w:pPr>
        <w:ind w:left="640" w:hanging="436"/>
        <w:spacing w:after="0"/>
        <w:tabs>
          <w:tab w:leader="none" w:pos="6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Consists of 2,552,040 ordinary shares held by CHuber 2008 GmbH. Prof. Huber is the sole shareholder of CHuber 2008 GmbH.</w:t>
      </w:r>
    </w:p>
    <w:p>
      <w:pPr>
        <w:spacing w:after="0" w:line="18" w:lineRule="exact"/>
        <w:rPr>
          <w:rFonts w:ascii="Arial" w:cs="Arial" w:eastAsia="Arial" w:hAnsi="Arial"/>
          <w:sz w:val="16"/>
          <w:szCs w:val="16"/>
          <w:color w:val="auto"/>
        </w:rPr>
      </w:pPr>
    </w:p>
    <w:p>
      <w:pPr>
        <w:ind w:left="640" w:hanging="436"/>
        <w:spacing w:after="0"/>
        <w:tabs>
          <w:tab w:leader="none" w:pos="6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Consists of 4,680 shares held by Tofino GmbH.</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Holdings by U.S. Shareholders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Prior to the completion of this offering, we estimate that approximately 8.97% of our outstanding ordinary shares were held by 26 U.S. record holders.</w:t>
      </w:r>
    </w:p>
    <w:p>
      <w:pPr>
        <w:spacing w:after="0" w:line="10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0860"/>
          </w:cols>
          <w:pgMar w:left="240" w:top="460" w:right="7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DESCRIPTION OF SHARE CAPITAL AND ARTICLES OF ASSOCIATION (</w:t>
      </w:r>
      <w:r>
        <w:rPr>
          <w:rFonts w:ascii="Arial" w:cs="Arial" w:eastAsia="Arial" w:hAnsi="Arial"/>
          <w:sz w:val="18"/>
          <w:szCs w:val="18"/>
          <w:b w:val="1"/>
          <w:bCs w:val="1"/>
          <w:i w:val="1"/>
          <w:iCs w:val="1"/>
          <w:color w:val="auto"/>
        </w:rPr>
        <w:t>SATZUNG</w:t>
      </w:r>
      <w:r>
        <w:rPr>
          <w:rFonts w:ascii="Arial" w:cs="Arial" w:eastAsia="Arial" w:hAnsi="Arial"/>
          <w:sz w:val="18"/>
          <w:szCs w:val="18"/>
          <w:b w:val="1"/>
          <w:bCs w:val="1"/>
          <w:color w:val="auto"/>
        </w:rPr>
        <w: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were incorporated as a German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with the legal name Petersberg 91. V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xml:space="preserve">) of Mainz, Germany, we converted to a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with the legal name BioNTech SE.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7"/>
          <w:szCs w:val="17"/>
          <w:i w:val="1"/>
          <w:iCs w:val="1"/>
          <w:color w:val="auto"/>
        </w:rPr>
        <w:t>Gesetz zur Ausführung</w:t>
      </w:r>
      <w:r>
        <w:rPr>
          <w:rFonts w:ascii="Arial" w:cs="Arial" w:eastAsia="Arial" w:hAnsi="Arial"/>
          <w:sz w:val="17"/>
          <w:szCs w:val="17"/>
          <w:color w:val="auto"/>
        </w:rPr>
        <w:t xml:space="preserve"> </w:t>
      </w:r>
      <w:r>
        <w:rPr>
          <w:rFonts w:ascii="Arial" w:cs="Arial" w:eastAsia="Arial" w:hAnsi="Arial"/>
          <w:sz w:val="17"/>
          <w:szCs w:val="17"/>
          <w:i w:val="1"/>
          <w:iCs w:val="1"/>
          <w:color w:val="auto"/>
        </w:rPr>
        <w:t>der Verordnung (EG) NR. 2157/2001 des Rates vom 8. Oktober 2001 über das Statut der Europäischen Gesellschaft (SE) (SE-Ausführungsgesetz—SEAG)</w:t>
      </w:r>
      <w:r>
        <w:rPr>
          <w:rFonts w:ascii="Arial" w:cs="Arial" w:eastAsia="Arial" w:hAnsi="Arial"/>
          <w:sz w:val="17"/>
          <w:szCs w:val="17"/>
          <w:color w:val="auto"/>
        </w:rPr>
        <w:t>) and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in each case as amended.</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are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will be publicly available from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at the local court of Mainz, Germany, electronically at www.unternehmensregister.de and as an exhibit to the registration statement of which this prospectus forms a part.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have share capital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in the amount of €221,786,842, which is divided into 221,786,842 registered shares (</w:t>
      </w:r>
      <w:r>
        <w:rPr>
          <w:rFonts w:ascii="Arial" w:cs="Arial" w:eastAsia="Arial" w:hAnsi="Arial"/>
          <w:sz w:val="18"/>
          <w:szCs w:val="18"/>
          <w:i w:val="1"/>
          <w:iCs w:val="1"/>
          <w:color w:val="auto"/>
        </w:rPr>
        <w:t>Namensaktien</w:t>
      </w:r>
      <w:r>
        <w:rPr>
          <w:rFonts w:ascii="Arial" w:cs="Arial" w:eastAsia="Arial" w:hAnsi="Arial"/>
          <w:sz w:val="18"/>
          <w:szCs w:val="18"/>
          <w:color w:val="auto"/>
        </w:rPr>
        <w:t>). All shares are shares with no par value (</w:t>
      </w:r>
      <w:r>
        <w:rPr>
          <w:rFonts w:ascii="Arial" w:cs="Arial" w:eastAsia="Arial" w:hAnsi="Arial"/>
          <w:sz w:val="18"/>
          <w:szCs w:val="18"/>
          <w:i w:val="1"/>
          <w:iCs w:val="1"/>
          <w:color w:val="auto"/>
        </w:rPr>
        <w:t>Stückaktien ohne Nennbetrag</w:t>
      </w:r>
      <w:r>
        <w:rPr>
          <w:rFonts w:ascii="Arial" w:cs="Arial" w:eastAsia="Arial" w:hAnsi="Arial"/>
          <w:sz w:val="18"/>
          <w:szCs w:val="18"/>
          <w:color w:val="auto"/>
        </w:rPr>
        <w:t>) with a notional amount attributable to each ordinary share of €1. Each issued ordinary share is fully paid.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Certification and Transferability of Shares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shares are freely transferable under German law.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Our Share Capital During the Last Three Fiscal Years</w:t>
      </w:r>
    </w:p>
    <w:p>
      <w:pPr>
        <w:spacing w:after="0" w:line="121"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amounts to 221,786,842. Since January 1, 2016, without giving effect to the 18-to-1 stock split which became effective on September 18, 2019, our share capital has changed as follows:</w:t>
      </w:r>
    </w:p>
    <w:p>
      <w:pPr>
        <w:spacing w:after="0" w:line="52" w:lineRule="exact"/>
        <w:rPr>
          <w:sz w:val="20"/>
          <w:szCs w:val="20"/>
          <w:color w:val="auto"/>
        </w:rPr>
      </w:pPr>
    </w:p>
    <w:p>
      <w:pPr>
        <w:ind w:left="1180" w:hanging="436"/>
        <w:spacing w:after="0" w:line="277" w:lineRule="auto"/>
        <w:tabs>
          <w:tab w:leader="none" w:pos="11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On September 14, 2017,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9,083,000 shares;</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On February 1,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1,254,884 shares;</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On September 12,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32,373 shares;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40"/>
          </w:cols>
          <w:pgMar w:left="240" w:top="459" w:right="51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0" w:hanging="436"/>
        <w:spacing w:after="0" w:line="277" w:lineRule="auto"/>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October 18,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186,715 shares;</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January 29,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282,678 shares;</w:t>
      </w:r>
    </w:p>
    <w:p>
      <w:pPr>
        <w:spacing w:after="0" w:line="75" w:lineRule="exact"/>
        <w:rPr>
          <w:rFonts w:ascii="Arial" w:cs="Arial" w:eastAsia="Arial" w:hAnsi="Arial"/>
          <w:sz w:val="18"/>
          <w:szCs w:val="18"/>
          <w:color w:val="auto"/>
        </w:rPr>
      </w:pPr>
    </w:p>
    <w:p>
      <w:pPr>
        <w:ind w:left="1180" w:right="120" w:hanging="436"/>
        <w:spacing w:after="0" w:line="308" w:lineRule="auto"/>
        <w:tabs>
          <w:tab w:leader="none" w:pos="11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On April 24,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131,933 shares against contributions in kind (swap of shares in our company against shares in one of our subsidiary companies);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On June 26, 2019, our share capital 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was increased by issuing 666,123 shares;</w:t>
      </w:r>
    </w:p>
    <w:p>
      <w:pPr>
        <w:spacing w:after="0" w:line="153" w:lineRule="exact"/>
        <w:rPr>
          <w:rFonts w:ascii="Arial" w:cs="Arial" w:eastAsia="Arial" w:hAnsi="Arial"/>
          <w:sz w:val="16"/>
          <w:szCs w:val="16"/>
          <w:color w:val="auto"/>
        </w:rPr>
      </w:pPr>
    </w:p>
    <w:p>
      <w:pPr>
        <w:ind w:left="1180" w:right="460" w:hanging="436"/>
        <w:spacing w:after="0" w:line="277" w:lineRule="auto"/>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August 16,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333,310 shares;</w:t>
      </w:r>
    </w:p>
    <w:p>
      <w:pPr>
        <w:spacing w:after="0" w:line="75" w:lineRule="exact"/>
        <w:rPr>
          <w:rFonts w:ascii="Arial" w:cs="Arial" w:eastAsia="Arial" w:hAnsi="Arial"/>
          <w:sz w:val="18"/>
          <w:szCs w:val="18"/>
          <w:color w:val="auto"/>
        </w:rPr>
      </w:pPr>
    </w:p>
    <w:p>
      <w:pPr>
        <w:ind w:left="1180" w:right="840" w:hanging="436"/>
        <w:spacing w:after="0" w:line="308" w:lineRule="auto"/>
        <w:tabs>
          <w:tab w:leader="none" w:pos="11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On September 18,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206,595,492 shares by way of a capital increase from our funds; thus, no contribution by investors was made; and</w:t>
      </w:r>
    </w:p>
    <w:p>
      <w:pPr>
        <w:spacing w:after="0" w:line="51" w:lineRule="exact"/>
        <w:rPr>
          <w:rFonts w:ascii="Arial" w:cs="Arial" w:eastAsia="Arial" w:hAnsi="Arial"/>
          <w:sz w:val="17"/>
          <w:szCs w:val="17"/>
          <w:color w:val="auto"/>
        </w:rPr>
      </w:pPr>
    </w:p>
    <w:p>
      <w:pPr>
        <w:ind w:left="1180" w:hanging="436"/>
        <w:spacing w:after="0" w:line="259" w:lineRule="auto"/>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August 30, 2019, we entered into an agreement with BMGF pursuant to which BMGF agreed to purchase up to 3,038,674 of our ordinary shares. This capital increase from our authorized capital was resolved upon by our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with the consent of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on September 18, 2019 and came into effect upon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 of Our Charter Documents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Future Changes to the Share Capital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relevant law, the general meeting of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governed by German law can authorize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Management Board to, with the consent of the Supervisory Board, issue shares in a specified aggregate nominal amount of up to 50% of the issued share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of such company at the time the resolution becomes effective. The shareholders’ authorization becomes effective upon registration in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and may extend for a period of no more than five years thereafter. Under § 4(5) of our Articles of Association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Satzung</w:t>
      </w:r>
      <w:r>
        <w:rPr>
          <w:rFonts w:ascii="Arial" w:cs="Arial" w:eastAsia="Arial" w:hAnsi="Arial"/>
          <w:sz w:val="16"/>
          <w:szCs w:val="16"/>
          <w:color w:val="auto"/>
        </w:rPr>
        <w:t>), the Management Board is authorized to increase our share capital, on one or more occasions, by a total of up to €106,335,410 by issuing,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one or more occasions, up to 106,335,410 new, registered shares with no par value (</w:t>
      </w:r>
      <w:r>
        <w:rPr>
          <w:rFonts w:ascii="Arial" w:cs="Arial" w:eastAsia="Arial" w:hAnsi="Arial"/>
          <w:sz w:val="16"/>
          <w:szCs w:val="16"/>
          <w:i w:val="1"/>
          <w:iCs w:val="1"/>
          <w:color w:val="auto"/>
        </w:rPr>
        <w:t>Genehmigtes Kapital</w:t>
      </w:r>
      <w:r>
        <w:rPr>
          <w:rFonts w:ascii="Arial" w:cs="Arial" w:eastAsia="Arial" w:hAnsi="Arial"/>
          <w:sz w:val="16"/>
          <w:szCs w:val="16"/>
          <w:color w:val="auto"/>
        </w:rPr>
        <w:t>), in each case with consent of the Supervisory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This authorization expires on August 18, 2024.</w:t>
      </w:r>
    </w:p>
    <w:p>
      <w:pPr>
        <w:spacing w:after="0" w:line="21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Any new shares issued from the authorized capital will participate in the profits starting with the fiscal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Conditional Capital</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Pursuant to § 4(6)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our share capital is conditionally increased by €21,874,806 through issuance of new, registered shares with no par value (</w:t>
      </w:r>
      <w:r>
        <w:rPr>
          <w:rFonts w:ascii="Arial" w:cs="Arial" w:eastAsia="Arial" w:hAnsi="Arial"/>
          <w:sz w:val="17"/>
          <w:szCs w:val="17"/>
          <w:i w:val="1"/>
          <w:iCs w:val="1"/>
          <w:color w:val="auto"/>
        </w:rPr>
        <w:t>Bedingtes Kapital ESOP 2017/2019</w:t>
      </w:r>
      <w:r>
        <w:rPr>
          <w:rFonts w:ascii="Arial" w:cs="Arial" w:eastAsia="Arial" w:hAnsi="Arial"/>
          <w:sz w:val="17"/>
          <w:szCs w:val="17"/>
          <w:color w:val="auto"/>
        </w:rPr>
        <w:t>). The conditional capital may only be used to issue shares to the holders of option rights granted under our ESOP to members of our Management Board and to certain of our employees.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conditional capital increase will only be implemented to the extent that stock options under our ESOP are exercised and said stock options are not serviced by our providing treasury shares or through cash payments. Any new shares issued under the conditional capital pursuant to the said § 4(6)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Pursuant to § 4(7)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our share capital is conditionally increased by €87,499,260 through issuance of new, registered shares with no par value (</w:t>
      </w:r>
      <w:r>
        <w:rPr>
          <w:rFonts w:ascii="Arial" w:cs="Arial" w:eastAsia="Arial" w:hAnsi="Arial"/>
          <w:sz w:val="17"/>
          <w:szCs w:val="17"/>
          <w:i w:val="1"/>
          <w:iCs w:val="1"/>
          <w:color w:val="auto"/>
        </w:rPr>
        <w:t>Bedingtes Kapital WSV 2019</w:t>
      </w:r>
      <w:r>
        <w:rPr>
          <w:rFonts w:ascii="Arial" w:cs="Arial" w:eastAsia="Arial" w:hAnsi="Arial"/>
          <w:sz w:val="17"/>
          <w:szCs w:val="17"/>
          <w:color w:val="auto"/>
        </w:rPr>
        <w:t>).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utilised for servicing.</w:t>
      </w:r>
    </w:p>
    <w:p>
      <w:pPr>
        <w:spacing w:after="0" w:line="17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8"/>
          <w:szCs w:val="18"/>
          <w:i w:val="1"/>
          <w:iCs w:val="1"/>
          <w:color w:val="auto"/>
        </w:rPr>
        <w:t>mittelbares Bezugsrecht</w:t>
      </w:r>
      <w:r>
        <w:rPr>
          <w:rFonts w:ascii="Arial" w:cs="Arial" w:eastAsia="Arial" w:hAnsi="Arial"/>
          <w:sz w:val="18"/>
          <w:szCs w:val="18"/>
          <w:color w:val="auto"/>
        </w:rPr>
        <w:t>).</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Further, it is possible for a shareholder resolution approved by three-quarters of the share capital voting on the resolution to exclude preemptive rights both where the general meeting itself resolves that the new securities to be issued and in relation to the authorized capital, </w:t>
      </w:r>
      <w:r>
        <w:rPr>
          <w:rFonts w:ascii="Arial" w:cs="Arial" w:eastAsia="Arial" w:hAnsi="Arial"/>
          <w:sz w:val="16"/>
          <w:szCs w:val="16"/>
          <w:i w:val="1"/>
          <w:iCs w:val="1"/>
          <w:color w:val="auto"/>
        </w:rPr>
        <w:t>i.e.,</w:t>
      </w:r>
      <w:r>
        <w:rPr>
          <w:rFonts w:ascii="Arial" w:cs="Arial" w:eastAsia="Arial" w:hAnsi="Arial"/>
          <w:sz w:val="16"/>
          <w:szCs w:val="16"/>
          <w:color w:val="auto"/>
        </w:rPr>
        <w:t xml:space="preserve"> an authorization to the Management Board to, with the consent of the Supervisory Board, resolve on the issuance of new securities; provided, however, that in each case the exclusion or the authorization to so exclude preemptive rights, respectively, must be justified by specific facts, in accordance with established case law of the German Federal Court of Justice (</w:t>
      </w:r>
      <w:r>
        <w:rPr>
          <w:rFonts w:ascii="Arial" w:cs="Arial" w:eastAsia="Arial" w:hAnsi="Arial"/>
          <w:sz w:val="16"/>
          <w:szCs w:val="16"/>
          <w:i w:val="1"/>
          <w:iCs w:val="1"/>
          <w:color w:val="auto"/>
        </w:rPr>
        <w:t>BGH</w:t>
      </w:r>
      <w:r>
        <w:rPr>
          <w:rFonts w:ascii="Arial" w:cs="Arial" w:eastAsia="Arial" w:hAnsi="Arial"/>
          <w:sz w:val="16"/>
          <w:szCs w:val="16"/>
          <w:color w:val="auto"/>
        </w:rPr>
        <w:t>). The German Federal Court of Justice (</w:t>
      </w:r>
      <w:r>
        <w:rPr>
          <w:rFonts w:ascii="Arial" w:cs="Arial" w:eastAsia="Arial" w:hAnsi="Arial"/>
          <w:sz w:val="16"/>
          <w:szCs w:val="16"/>
          <w:i w:val="1"/>
          <w:iCs w:val="1"/>
          <w:color w:val="auto"/>
        </w:rPr>
        <w:t>BGH</w:t>
      </w:r>
      <w:r>
        <w:rPr>
          <w:rFonts w:ascii="Arial" w:cs="Arial" w:eastAsia="Arial" w:hAnsi="Arial"/>
          <w:sz w:val="16"/>
          <w:szCs w:val="16"/>
          <w:color w:val="auto"/>
        </w:rPr>
        <w:t>) considers the exclusion of subscription rights justified if it</w:t>
      </w:r>
    </w:p>
    <w:p>
      <w:pPr>
        <w:spacing w:after="0" w:line="2" w:lineRule="exact"/>
        <w:rPr>
          <w:sz w:val="20"/>
          <w:szCs w:val="20"/>
          <w:color w:val="auto"/>
        </w:rPr>
      </w:pPr>
    </w:p>
    <w:p>
      <w:pPr>
        <w:ind w:left="200" w:firstLine="4"/>
        <w:spacing w:after="0" w:line="323" w:lineRule="auto"/>
        <w:tabs>
          <w:tab w:leader="none" w:pos="41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3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Accordingly, under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the Management Board may, with the consent of the Supervisory Board, exclude such preemptive rights in a capital increase from the authorized capital in the following circumstances:</w:t>
      </w:r>
    </w:p>
    <w:p>
      <w:pPr>
        <w:spacing w:after="0" w:line="76" w:lineRule="exact"/>
        <w:rPr>
          <w:sz w:val="20"/>
          <w:szCs w:val="20"/>
          <w:color w:val="auto"/>
        </w:rPr>
      </w:pPr>
    </w:p>
    <w:p>
      <w:pPr>
        <w:ind w:left="1180" w:hanging="436"/>
        <w:spacing w:after="0"/>
        <w:tabs>
          <w:tab w:leader="none" w:pos="1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exclude fractional amounts from the subscription right;</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a capital increase against cash contributions, if the issue price of the new shares is not significantly lower than the market price of the company’s shares already listed on the stock exchange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00"/>
          </w:cols>
          <w:pgMar w:left="24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spacing w:after="0" w:line="270" w:lineRule="auto"/>
        <w:rPr>
          <w:sz w:val="20"/>
          <w:szCs w:val="20"/>
          <w:color w:val="auto"/>
        </w:rPr>
      </w:pPr>
      <w:r>
        <w:rPr>
          <w:rFonts w:ascii="Arial" w:cs="Arial" w:eastAsia="Arial" w:hAnsi="Arial"/>
          <w:sz w:val="17"/>
          <w:szCs w:val="17"/>
          <w:color w:val="auto"/>
        </w:rPr>
        <w:t>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87" w:lineRule="exact"/>
        <w:rPr>
          <w:sz w:val="20"/>
          <w:szCs w:val="20"/>
          <w:color w:val="auto"/>
        </w:rPr>
      </w:pPr>
    </w:p>
    <w:p>
      <w:pPr>
        <w:ind w:left="1180" w:right="380" w:hanging="436"/>
        <w:spacing w:after="0" w:line="342" w:lineRule="auto"/>
        <w:tabs>
          <w:tab w:leader="none" w:pos="11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29" w:lineRule="exact"/>
        <w:rPr>
          <w:rFonts w:ascii="Arial" w:cs="Arial" w:eastAsia="Arial" w:hAnsi="Arial"/>
          <w:sz w:val="16"/>
          <w:szCs w:val="16"/>
          <w:color w:val="auto"/>
        </w:rPr>
      </w:pPr>
    </w:p>
    <w:p>
      <w:pPr>
        <w:ind w:left="1180" w:hanging="436"/>
        <w:spacing w:after="0" w:line="264" w:lineRule="auto"/>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86"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implement an election dividend by which shareholders are given the option to contribute their dividend entitlements (either in whole or part) as a contribution in kind against issuance of our new shares;</w:t>
      </w:r>
    </w:p>
    <w:p>
      <w:pPr>
        <w:spacing w:after="0" w:line="75" w:lineRule="exact"/>
        <w:rPr>
          <w:rFonts w:ascii="Arial" w:cs="Arial" w:eastAsia="Arial" w:hAnsi="Arial"/>
          <w:sz w:val="18"/>
          <w:szCs w:val="18"/>
          <w:color w:val="auto"/>
        </w:rPr>
      </w:pPr>
    </w:p>
    <w:p>
      <w:pPr>
        <w:ind w:left="1180" w:right="160" w:hanging="436"/>
        <w:spacing w:after="0" w:line="259" w:lineRule="auto"/>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shares are issued to investors or in connection therewith to shareholders by way of so-called co-investments on the basis of agreements concluded by June 30, 2020 at an issue price (including any further payment agreed under the law of obligations) of at least $18.10, whereas further details are stipulated in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This authority to exclude the subscription right lapses following listing on Nasdaq;</w:t>
      </w:r>
    </w:p>
    <w:p>
      <w:pPr>
        <w:spacing w:after="0" w:line="92" w:lineRule="exact"/>
        <w:rPr>
          <w:rFonts w:ascii="Arial" w:cs="Arial" w:eastAsia="Arial" w:hAnsi="Arial"/>
          <w:sz w:val="18"/>
          <w:szCs w:val="18"/>
          <w:color w:val="auto"/>
        </w:rPr>
      </w:pPr>
    </w:p>
    <w:p>
      <w:pPr>
        <w:ind w:left="1180" w:right="140" w:hanging="436"/>
        <w:spacing w:after="0" w:line="259" w:lineRule="auto"/>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case shares are to be issued to a member of our Management Board or to another person who is employed by us or one of our affiliates and a minimum holding period of at least one year and the obligation to transfer back the shares in the event that the beneficiary is not employed by us or one of our affiliated companies for the entire duration of the holding period or any other agreed period is agreed upon. Additional restrictions with regard to the shares issued may be agreed upon;</w:t>
      </w:r>
    </w:p>
    <w:p>
      <w:pPr>
        <w:spacing w:after="0" w:line="92" w:lineRule="exact"/>
        <w:rPr>
          <w:rFonts w:ascii="Arial" w:cs="Arial" w:eastAsia="Arial" w:hAnsi="Arial"/>
          <w:sz w:val="18"/>
          <w:szCs w:val="18"/>
          <w:color w:val="auto"/>
        </w:rPr>
      </w:pPr>
    </w:p>
    <w:p>
      <w:pPr>
        <w:ind w:left="1180" w:right="140" w:hanging="436"/>
        <w:spacing w:after="0" w:line="302" w:lineRule="auto"/>
        <w:tabs>
          <w:tab w:leader="none" w:pos="11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after listing on Nasdaq,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such declaration, does not exceed the extent necessary for a successful placement.</w:t>
      </w:r>
    </w:p>
    <w:p>
      <w:pPr>
        <w:spacing w:after="0" w:line="59" w:lineRule="exact"/>
        <w:rPr>
          <w:rFonts w:ascii="Arial" w:cs="Arial" w:eastAsia="Arial" w:hAnsi="Arial"/>
          <w:sz w:val="16"/>
          <w:szCs w:val="16"/>
          <w:color w:val="auto"/>
        </w:rPr>
      </w:pPr>
    </w:p>
    <w:p>
      <w:pPr>
        <w:ind w:left="1180" w:right="180" w:hanging="436"/>
        <w:spacing w:after="0" w:line="277" w:lineRule="auto"/>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total number of new shares issued from the authorized capital and under exclusion of subscription rights pursuant to bullets one through three and eight above may not exceed 20% of the share capital, either at the time this authorization becomes effective or, if lower, at the time it is utilized.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00"/>
          </w:cols>
          <w:pgMar w:left="240" w:top="460"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term of this authorization (except in the case of certain exceptions of the resolution to item no. 8 of the general meeting of August 19, 2019).</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Purpose of our Company</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Our business objective, as described in § 2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is to research and develop, as well as to manufacture and market immunological and RNA-based drugs and test methods for the diagnosis, prevention and treatment of cancer, infectious diseases and other serious diseases.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Meetings and Voting Rights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Pursuant to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shareholders’ meetings may be held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Invitations to shareholders’ meetings must be published in the German Federal Gazette (</w:t>
      </w:r>
      <w:r>
        <w:rPr>
          <w:rFonts w:ascii="Arial" w:cs="Arial" w:eastAsia="Arial" w:hAnsi="Arial"/>
          <w:sz w:val="17"/>
          <w:szCs w:val="17"/>
          <w:i w:val="1"/>
          <w:iCs w:val="1"/>
          <w:color w:val="auto"/>
        </w:rPr>
        <w:t>Bundesanzeiger</w:t>
      </w:r>
      <w:r>
        <w:rPr>
          <w:rFonts w:ascii="Arial" w:cs="Arial" w:eastAsia="Arial" w:hAnsi="Arial"/>
          <w:sz w:val="17"/>
          <w:szCs w:val="17"/>
          <w:color w:val="auto"/>
        </w:rPr>
        <w:t>) at least 36 days before the meeting.</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Shareholders may participate in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18"/>
          <w:szCs w:val="18"/>
          <w:i w:val="1"/>
          <w:iCs w:val="1"/>
          <w:color w:val="auto"/>
        </w:rPr>
        <w:t>Stimmrechtsvertreter</w:t>
      </w:r>
      <w:r>
        <w:rPr>
          <w:rFonts w:ascii="Arial" w:cs="Arial" w:eastAsia="Arial" w:hAnsi="Arial"/>
          <w:sz w:val="18"/>
          <w:szCs w:val="18"/>
          <w:color w:val="auto"/>
        </w:rPr>
        <w:t>)— must register for the meeting, which registration must occur no later than six days before the meeting (or at a later date, if so determined by our Management Board).</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share carries one vote at a shareholders’ meeting. Resolutions are, in accordance with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Claims against Directors and Shareholders’ Derivative Actions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5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20"/>
          </w:cols>
          <w:pgMar w:left="240" w:top="460"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German law, distributions of dividends on shares for a given fiscal year are generally determined by a process in which the Management Board and Supervisory Board submit a proposal to the company’s annual general shareholders’ meeting held in the subsequent fiscal year and such annual general shareholders’ meeting adopts a resolution.</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7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Authorization to Purchase and Sell Our Own Shares</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Squeeze-Out of Minority Shareholders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80"/>
          </w:cols>
          <w:pgMar w:left="24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11180"/>
          </w:cols>
          <w:pgMar w:left="240" w:top="460" w:right="479" w:bottom="1440" w:gutter="0" w:footer="0" w:header="0"/>
        </w:sectPr>
      </w:pP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960" w:type="dxa"/>
            <w:vAlign w:val="bottom"/>
            <w:vMerge w:val="restart"/>
          </w:tcPr>
          <w:p>
            <w:pPr>
              <w:spacing w:after="0"/>
              <w:rPr>
                <w:sz w:val="20"/>
                <w:szCs w:val="20"/>
                <w:color w:val="auto"/>
              </w:rPr>
            </w:pPr>
            <w:r>
              <w:rPr>
                <w:rFonts w:ascii="Arial" w:cs="Arial" w:eastAsia="Arial" w:hAnsi="Arial"/>
                <w:sz w:val="18"/>
                <w:szCs w:val="18"/>
                <w:color w:val="auto"/>
              </w:rPr>
              <w:t>Board System</w:t>
            </w:r>
          </w:p>
        </w:tc>
        <w:tc>
          <w:tcPr>
            <w:tcW w:w="480" w:type="dxa"/>
            <w:vAlign w:val="bottom"/>
          </w:tcPr>
          <w:p>
            <w:pPr>
              <w:spacing w:after="0"/>
              <w:rPr>
                <w:sz w:val="16"/>
                <w:szCs w:val="16"/>
                <w:color w:val="auto"/>
              </w:rPr>
            </w:pPr>
          </w:p>
        </w:tc>
        <w:tc>
          <w:tcPr>
            <w:tcW w:w="43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European Union / Federal Republic of Germany</w:t>
            </w: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A European stock corporation may choose to have a</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8"/>
              </w:rPr>
              <w:t>two-tier board structure composed of the Management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0"/>
              </w:rPr>
              <w:t>Board (</w:t>
            </w:r>
            <w:r>
              <w:rPr>
                <w:rFonts w:ascii="Arial" w:cs="Arial" w:eastAsia="Arial" w:hAnsi="Arial"/>
                <w:sz w:val="18"/>
                <w:szCs w:val="18"/>
                <w:i w:val="1"/>
                <w:iCs w:val="1"/>
                <w:color w:val="auto"/>
                <w:w w:val="90"/>
              </w:rPr>
              <w:t>Vorstand</w:t>
            </w:r>
            <w:r>
              <w:rPr>
                <w:rFonts w:ascii="Arial" w:cs="Arial" w:eastAsia="Arial" w:hAnsi="Arial"/>
                <w:sz w:val="18"/>
                <w:szCs w:val="18"/>
                <w:color w:val="auto"/>
                <w:w w:val="90"/>
              </w:rPr>
              <w:t>) and the Supervisory Board (</w:t>
            </w:r>
            <w:r>
              <w:rPr>
                <w:rFonts w:ascii="Arial" w:cs="Arial" w:eastAsia="Arial" w:hAnsi="Arial"/>
                <w:sz w:val="18"/>
                <w:szCs w:val="18"/>
                <w:i w:val="1"/>
                <w:iCs w:val="1"/>
                <w:color w:val="auto"/>
                <w:w w:val="90"/>
              </w:rPr>
              <w:t>Aufsichtsrat</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We have chosen this structure.</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9"/>
              </w:rPr>
              <w:t>The Management Board is responsible for running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company’s affairs and representing the company in</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dealings with third parties.</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6"/>
              </w:rPr>
              <w:t>The Supervisory Board of a European stock corporation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2"/>
              </w:rPr>
              <w:t>under German law has a control and supervisory function.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The Supervisory Board does not actively manage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5"/>
              </w:rPr>
              <w:t>company but certain Management Board actions require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the approval of the Supervisory Board.</w:t>
            </w:r>
          </w:p>
        </w:tc>
        <w:tc>
          <w:tcPr>
            <w:tcW w:w="0" w:type="dxa"/>
            <w:vAlign w:val="bottom"/>
          </w:tcPr>
          <w:p>
            <w:pPr>
              <w:spacing w:after="0"/>
              <w:rPr>
                <w:sz w:val="1"/>
                <w:szCs w:val="1"/>
                <w:color w:val="auto"/>
              </w:rPr>
            </w:pPr>
          </w:p>
        </w:tc>
      </w:tr>
      <w:tr>
        <w:trPr>
          <w:trHeight w:val="431"/>
        </w:trPr>
        <w:tc>
          <w:tcPr>
            <w:tcW w:w="1960" w:type="dxa"/>
            <w:vAlign w:val="bottom"/>
          </w:tcPr>
          <w:p>
            <w:pPr>
              <w:spacing w:after="0"/>
              <w:rPr>
                <w:sz w:val="20"/>
                <w:szCs w:val="20"/>
                <w:color w:val="auto"/>
              </w:rPr>
            </w:pPr>
            <w:r>
              <w:rPr>
                <w:rFonts w:ascii="Arial" w:cs="Arial" w:eastAsia="Arial" w:hAnsi="Arial"/>
                <w:sz w:val="18"/>
                <w:szCs w:val="18"/>
                <w:color w:val="auto"/>
              </w:rPr>
              <w:t>Appointment and</w:t>
            </w: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3"/>
              </w:rPr>
              <w:t>Under applicable European and German law, a European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Number of Directors</w:t>
            </w: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6"/>
              </w:rPr>
              <w:t>stock corporation governed by German law with a share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6"/>
              </w:rPr>
              <w:t>capital of at least €3 million generally must have at least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1"/>
              </w:rPr>
              <w:t>two members on its Management Board and the number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0"/>
              </w:rPr>
              <w:t>members shall be determined by or in the manner provided</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in the company’s articles of association.</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1"/>
              </w:rPr>
              <w:t>The Supervisory Board must consist of at least three but—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depending on the share capital—no more than 21</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Supervisory Board members, whereby the number of</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4"/>
                <w:szCs w:val="24"/>
                <w:color w:val="auto"/>
              </w:rPr>
            </w:pPr>
          </w:p>
        </w:tc>
        <w:tc>
          <w:tcPr>
            <w:tcW w:w="4780" w:type="dxa"/>
            <w:vAlign w:val="bottom"/>
            <w:gridSpan w:val="2"/>
          </w:tcPr>
          <w:p>
            <w:pPr>
              <w:ind w:left="34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w:t>
      </w:r>
    </w:p>
    <w:p>
      <w:pPr>
        <w:sectPr>
          <w:pgSz w:w="11900" w:h="16838" w:orient="portrait"/>
          <w:cols w:equalWidth="0" w:num="2">
            <w:col w:w="6940" w:space="200"/>
            <w:col w:w="4040"/>
          </w:cols>
          <w:pgMar w:left="240" w:top="460" w:right="479" w:bottom="1440" w:gutter="0" w:footer="0" w:header="0"/>
          <w:type w:val="continuous"/>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Supervisory Board members must be divisible by three if</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this is necessary for the fulfilment of co-determination</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requirements. The articles of association of the company</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must specify if the Supervisory Board has more than three</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members.</w:t>
            </w:r>
          </w:p>
        </w:tc>
      </w:tr>
      <w:tr>
        <w:trPr>
          <w:trHeight w:val="445"/>
        </w:trPr>
        <w:tc>
          <w:tcPr>
            <w:tcW w:w="24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Supervisory Board members are either appointed by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meeting or delegated by one or more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individual shareholders if so provided for in the company’s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articles of association. If the Supervisory Board consists of</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fewer members than is required to meet the quorum for</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resolutions (either statutory or pursuant to the company’s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articles of association), a competent court may appoint</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additional members as needed to meet the quorum.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provisions of German law in relation to employees’ co-</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determination do not apply to the Company.</w:t>
            </w:r>
          </w:p>
        </w:tc>
      </w:tr>
      <w:tr>
        <w:trPr>
          <w:trHeight w:val="431"/>
        </w:trPr>
        <w:tc>
          <w:tcPr>
            <w:tcW w:w="2440" w:type="dxa"/>
            <w:vAlign w:val="bottom"/>
          </w:tcPr>
          <w:p>
            <w:pPr>
              <w:spacing w:after="0"/>
              <w:rPr>
                <w:sz w:val="20"/>
                <w:szCs w:val="20"/>
                <w:color w:val="auto"/>
              </w:rPr>
            </w:pPr>
            <w:r>
              <w:rPr>
                <w:rFonts w:ascii="Arial" w:cs="Arial" w:eastAsia="Arial" w:hAnsi="Arial"/>
                <w:sz w:val="18"/>
                <w:szCs w:val="18"/>
                <w:color w:val="auto"/>
              </w:rPr>
              <w:t>Removal of Directors</w:t>
            </w:r>
          </w:p>
        </w:tc>
        <w:tc>
          <w:tcPr>
            <w:tcW w:w="4300" w:type="dxa"/>
            <w:vAlign w:val="bottom"/>
          </w:tcPr>
          <w:p>
            <w:pPr>
              <w:spacing w:after="0"/>
              <w:rPr>
                <w:sz w:val="20"/>
                <w:szCs w:val="20"/>
                <w:color w:val="auto"/>
              </w:rPr>
            </w:pPr>
            <w:r>
              <w:rPr>
                <w:rFonts w:ascii="Arial" w:cs="Arial" w:eastAsia="Arial" w:hAnsi="Arial"/>
                <w:sz w:val="18"/>
                <w:szCs w:val="18"/>
                <w:color w:val="auto"/>
                <w:w w:val="94"/>
              </w:rPr>
              <w:t>Members of the Management Board of a European stock</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corporation are appointed by the Supervisory Board for a</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maximum period of six years with an opportunity to be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reelected. The articles of association may provide for a</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shorter term, which in our case is up to five years.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89"/>
              </w:rPr>
              <w:t>members of the Management Board may be reelected, even</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repeatedly. The Supervisory Board may remove a member</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of the Management Board prior to the expiration of his or</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her term only for cause, such as gross breach of duties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grobe Pflichtverletzung</w:t>
            </w:r>
            <w:r>
              <w:rPr>
                <w:rFonts w:ascii="Arial" w:cs="Arial" w:eastAsia="Arial" w:hAnsi="Arial"/>
                <w:sz w:val="18"/>
                <w:szCs w:val="18"/>
                <w:color w:val="auto"/>
              </w:rPr>
              <w:t>), the inability to manage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business properly (</w:t>
            </w:r>
            <w:r>
              <w:rPr>
                <w:rFonts w:ascii="Arial" w:cs="Arial" w:eastAsia="Arial" w:hAnsi="Arial"/>
                <w:sz w:val="18"/>
                <w:szCs w:val="18"/>
                <w:i w:val="1"/>
                <w:iCs w:val="1"/>
                <w:color w:val="auto"/>
                <w:w w:val="99"/>
              </w:rPr>
              <w:t>Unfähigkeit zur ordnungsgemäßen</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w w:val="99"/>
              </w:rPr>
              <w:t>Pflichtausübung</w:t>
            </w:r>
            <w:r>
              <w:rPr>
                <w:rFonts w:ascii="Arial" w:cs="Arial" w:eastAsia="Arial" w:hAnsi="Arial"/>
                <w:sz w:val="18"/>
                <w:szCs w:val="18"/>
                <w:color w:val="auto"/>
                <w:w w:val="99"/>
              </w:rPr>
              <w:t>) or a vote of no-confidence during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meeting (</w:t>
            </w:r>
            <w:r>
              <w:rPr>
                <w:rFonts w:ascii="Arial" w:cs="Arial" w:eastAsia="Arial" w:hAnsi="Arial"/>
                <w:sz w:val="18"/>
                <w:szCs w:val="18"/>
                <w:i w:val="1"/>
                <w:iCs w:val="1"/>
                <w:color w:val="auto"/>
              </w:rPr>
              <w:t>Vertrauensentzug</w:t>
            </w:r>
            <w:r>
              <w:rPr>
                <w:rFonts w:ascii="Arial" w:cs="Arial" w:eastAsia="Arial" w:hAnsi="Arial"/>
                <w:sz w:val="18"/>
                <w:szCs w:val="18"/>
                <w:color w:val="auto"/>
              </w:rPr>
              <w:t>).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shareholders themselves are not entitled to appoint or</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dismiss the members of the Management Board.</w:t>
            </w:r>
          </w:p>
        </w:tc>
      </w:tr>
      <w:tr>
        <w:trPr>
          <w:trHeight w:val="445"/>
        </w:trPr>
        <w:tc>
          <w:tcPr>
            <w:tcW w:w="24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Under European law, a member of the Supervisory Board</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of a company may be elected for a term of up to six years.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The articles of association may provide for a shorter term.</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Our Supervisory Board members are, if the general</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meeting does not resolve on a shorter term, elected for a</w:t>
            </w:r>
          </w:p>
        </w:tc>
      </w:tr>
      <w:tr>
        <w:trPr>
          <w:trHeight w:val="378"/>
        </w:trPr>
        <w:tc>
          <w:tcPr>
            <w:tcW w:w="2440" w:type="dxa"/>
            <w:vAlign w:val="bottom"/>
          </w:tcPr>
          <w:p>
            <w:pPr>
              <w:spacing w:after="0"/>
              <w:rPr>
                <w:sz w:val="24"/>
                <w:szCs w:val="24"/>
                <w:color w:val="auto"/>
              </w:rPr>
            </w:pPr>
          </w:p>
        </w:tc>
        <w:tc>
          <w:tcPr>
            <w:tcW w:w="4300" w:type="dxa"/>
            <w:vAlign w:val="bottom"/>
          </w:tcPr>
          <w:p>
            <w:pPr>
              <w:ind w:left="2940"/>
              <w:spacing w:after="0"/>
              <w:rPr>
                <w:sz w:val="20"/>
                <w:szCs w:val="20"/>
                <w:color w:val="auto"/>
              </w:rPr>
            </w:pPr>
            <w:r>
              <w:rPr>
                <w:rFonts w:ascii="Arial" w:cs="Arial" w:eastAsia="Arial" w:hAnsi="Arial"/>
                <w:sz w:val="18"/>
                <w:szCs w:val="18"/>
                <w:color w:val="auto"/>
              </w:rPr>
              <w:t>273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ectPr>
          <w:pgSz w:w="11900" w:h="16838" w:orient="portrait"/>
          <w:cols w:equalWidth="0" w:num="2">
            <w:col w:w="6940" w:space="200"/>
            <w:col w:w="4080"/>
          </w:cols>
          <w:pgMar w:left="24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Vacancies on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-627380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27273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1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w:t>
      </w:r>
    </w:p>
    <w:p>
      <w:pPr>
        <w:spacing w:after="0" w:line="6"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574" w:lineRule="exact"/>
        <w:rPr>
          <w:sz w:val="20"/>
          <w:szCs w:val="20"/>
          <w:color w:val="auto"/>
        </w:rPr>
      </w:pPr>
    </w:p>
    <w:p>
      <w:pPr>
        <w:sectPr>
          <w:pgSz w:w="11900" w:h="16838" w:orient="portrait"/>
          <w:cols w:equalWidth="0" w:num="3">
            <w:col w:w="2100" w:space="540"/>
            <w:col w:w="4260" w:space="240"/>
            <w:col w:w="4060"/>
          </w:cols>
          <w:pgMar w:left="240" w:top="460" w:right="459" w:bottom="1440" w:gutter="0" w:footer="0" w:header="0"/>
        </w:sectPr>
      </w:pPr>
    </w:p>
    <w:p>
      <w:pPr>
        <w:ind w:left="200"/>
        <w:spacing w:after="0"/>
        <w:rPr>
          <w:sz w:val="20"/>
          <w:szCs w:val="20"/>
          <w:color w:val="auto"/>
        </w:rPr>
      </w:pPr>
      <w:r>
        <w:rPr>
          <w:rFonts w:ascii="Arial" w:cs="Arial" w:eastAsia="Arial" w:hAnsi="Arial"/>
          <w:sz w:val="16"/>
          <w:szCs w:val="16"/>
          <w:color w:val="auto"/>
        </w:rPr>
        <w:t>Annual General Meeting</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A European stock corporation which is governed by German 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996" w:lineRule="exact"/>
        <w:rPr>
          <w:sz w:val="20"/>
          <w:szCs w:val="20"/>
          <w:color w:val="auto"/>
        </w:rPr>
      </w:pPr>
    </w:p>
    <w:p>
      <w:pPr>
        <w:sectPr>
          <w:pgSz w:w="11900" w:h="16838" w:orient="portrait"/>
          <w:cols w:equalWidth="0" w:num="3">
            <w:col w:w="2000" w:space="640"/>
            <w:col w:w="4140" w:space="360"/>
            <w:col w:w="4060"/>
          </w:cols>
          <w:pgMar w:left="240" w:top="460"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5"/>
          <w:szCs w:val="15"/>
          <w:color w:val="auto"/>
        </w:rPr>
        <w:t>Under the law, extraordinary shareholders’ meetings, in addition to the annual 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w:t>
      </w:r>
    </w:p>
    <w:p>
      <w:pPr>
        <w:spacing w:after="0" w:line="8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274</w:t>
      </w:r>
    </w:p>
    <w:p>
      <w:pPr>
        <w:spacing w:after="0" w:line="20" w:lineRule="exact"/>
        <w:rPr>
          <w:sz w:val="20"/>
          <w:szCs w:val="20"/>
          <w:color w:val="auto"/>
        </w:rPr>
      </w:pPr>
      <w:r>
        <w:rPr>
          <w:sz w:val="20"/>
          <w:szCs w:val="20"/>
          <w:color w:val="auto"/>
        </w:rPr>
        <w:br w:type="column"/>
      </w:r>
    </w:p>
    <w:p>
      <w:pPr>
        <w:ind w:right="100"/>
        <w:spacing w:after="0" w:line="279" w:lineRule="auto"/>
        <w:rPr>
          <w:sz w:val="20"/>
          <w:szCs w:val="20"/>
          <w:color w:val="auto"/>
        </w:rPr>
      </w:pPr>
      <w:r>
        <w:rPr>
          <w:rFonts w:ascii="Arial" w:cs="Arial" w:eastAsia="Arial" w:hAnsi="Arial"/>
          <w:sz w:val="17"/>
          <w:szCs w:val="17"/>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3">
            <w:col w:w="1920" w:space="720"/>
            <w:col w:w="4280" w:space="220"/>
            <w:col w:w="4060"/>
          </w:cols>
          <w:pgMar w:left="240" w:top="460" w:right="459" w:bottom="1440" w:gutter="0" w:footer="0" w:header="0"/>
          <w:type w:val="continuous"/>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4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54540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shareholders or their representative to convene the</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meeting themselves.</w:t>
      </w:r>
    </w:p>
    <w:p>
      <w:pPr>
        <w:sectPr>
          <w:pgSz w:w="11900" w:h="16838" w:orient="portrait"/>
          <w:cols w:equalWidth="0" w:num="1">
            <w:col w:w="11220"/>
          </w:cols>
          <w:pgMar w:left="240" w:top="460" w:right="439" w:bottom="1440" w:gutter="0" w:footer="0" w:header="0"/>
        </w:sectPr>
      </w:pPr>
    </w:p>
    <w:p>
      <w:pPr>
        <w:spacing w:after="0" w:line="211"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Under applicable European and German law, unless a</w:t>
      </w:r>
    </w:p>
    <w:p>
      <w:pPr>
        <w:spacing w:after="0" w:line="23" w:lineRule="exact"/>
        <w:rPr>
          <w:sz w:val="20"/>
          <w:szCs w:val="20"/>
          <w:color w:val="auto"/>
        </w:rPr>
      </w:pPr>
    </w:p>
    <w:p>
      <w:pPr>
        <w:ind w:left="2640" w:right="80"/>
        <w:spacing w:after="0" w:line="267" w:lineRule="auto"/>
        <w:rPr>
          <w:sz w:val="20"/>
          <w:szCs w:val="20"/>
          <w:color w:val="auto"/>
        </w:rPr>
      </w:pPr>
      <w:r>
        <w:rPr>
          <w:rFonts w:ascii="Arial" w:cs="Arial" w:eastAsia="Arial" w:hAnsi="Arial"/>
          <w:sz w:val="17"/>
          <w:szCs w:val="17"/>
          <w:color w:val="auto"/>
        </w:rPr>
        <w:t>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212" w:lineRule="exact"/>
        <w:rPr>
          <w:sz w:val="20"/>
          <w:szCs w:val="20"/>
          <w:color w:val="auto"/>
        </w:rPr>
      </w:pPr>
    </w:p>
    <w:p>
      <w:pPr>
        <w:ind w:left="2640" w:right="60"/>
        <w:spacing w:after="0" w:line="279" w:lineRule="auto"/>
        <w:rPr>
          <w:sz w:val="20"/>
          <w:szCs w:val="20"/>
          <w:color w:val="auto"/>
        </w:rPr>
      </w:pPr>
      <w:r>
        <w:rPr>
          <w:rFonts w:ascii="Arial" w:cs="Arial" w:eastAsia="Arial" w:hAnsi="Arial"/>
          <w:sz w:val="17"/>
          <w:szCs w:val="17"/>
          <w:color w:val="auto"/>
        </w:rPr>
        <w:t>If all shareholders entitled to attend the shareholders’ meeting are present or represented and do not object to the meeting being held, the formalities of calling and holding of a shareholders’ meeting do not apply.</w:t>
      </w:r>
    </w:p>
    <w:p>
      <w:pPr>
        <w:spacing w:after="0" w:line="185"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7"/>
          <w:szCs w:val="17"/>
          <w:color w:val="auto"/>
        </w:rPr>
        <w:t>Proxy</w:t>
      </w:r>
      <w:r>
        <w:rPr>
          <w:sz w:val="20"/>
          <w:szCs w:val="20"/>
          <w:color w:val="auto"/>
        </w:rPr>
        <w:tab/>
      </w:r>
      <w:r>
        <w:rPr>
          <w:rFonts w:ascii="Arial" w:cs="Arial" w:eastAsia="Arial" w:hAnsi="Arial"/>
          <w:sz w:val="17"/>
          <w:szCs w:val="17"/>
          <w:color w:val="auto"/>
        </w:rPr>
        <w:t>A shareholder may designate another person to attend,</w:t>
      </w:r>
    </w:p>
    <w:p>
      <w:pPr>
        <w:spacing w:after="0" w:line="35" w:lineRule="exact"/>
        <w:rPr>
          <w:sz w:val="20"/>
          <w:szCs w:val="20"/>
          <w:color w:val="auto"/>
        </w:rPr>
      </w:pPr>
    </w:p>
    <w:p>
      <w:pPr>
        <w:ind w:left="2640" w:right="120"/>
        <w:spacing w:after="0" w:line="261" w:lineRule="auto"/>
        <w:rPr>
          <w:sz w:val="20"/>
          <w:szCs w:val="20"/>
          <w:color w:val="auto"/>
        </w:rPr>
      </w:pPr>
      <w:r>
        <w:rPr>
          <w:rFonts w:ascii="Arial" w:cs="Arial" w:eastAsia="Arial" w:hAnsi="Arial"/>
          <w:sz w:val="18"/>
          <w:szCs w:val="18"/>
          <w:color w:val="auto"/>
        </w:rPr>
        <w:t>speak and vote at a shareholders’ meeting of the company on such shareholder’s behalf by proxy.</w:t>
      </w:r>
    </w:p>
    <w:p>
      <w:pPr>
        <w:spacing w:after="0" w:line="211" w:lineRule="exact"/>
        <w:rPr>
          <w:sz w:val="20"/>
          <w:szCs w:val="20"/>
          <w:color w:val="auto"/>
        </w:rPr>
      </w:pPr>
    </w:p>
    <w:p>
      <w:pPr>
        <w:ind w:left="2640" w:right="220"/>
        <w:spacing w:after="0" w:line="312" w:lineRule="auto"/>
        <w:rPr>
          <w:sz w:val="20"/>
          <w:szCs w:val="20"/>
          <w:color w:val="auto"/>
        </w:rPr>
      </w:pPr>
      <w:r>
        <w:rPr>
          <w:rFonts w:ascii="Arial" w:cs="Arial" w:eastAsia="Arial" w:hAnsi="Arial"/>
          <w:sz w:val="16"/>
          <w:szCs w:val="16"/>
          <w:color w:val="auto"/>
        </w:rPr>
        <w:t>With respect to Management Board meetings, a Management Board member may transmit its (written or verbal) vote via another Management Board member.</w:t>
      </w:r>
    </w:p>
    <w:p>
      <w:pPr>
        <w:spacing w:after="0" w:line="174" w:lineRule="exact"/>
        <w:rPr>
          <w:sz w:val="20"/>
          <w:szCs w:val="20"/>
          <w:color w:val="auto"/>
        </w:rPr>
      </w:pPr>
    </w:p>
    <w:p>
      <w:pPr>
        <w:ind w:left="2640" w:right="20"/>
        <w:spacing w:after="0" w:line="257" w:lineRule="auto"/>
        <w:rPr>
          <w:sz w:val="20"/>
          <w:szCs w:val="20"/>
          <w:color w:val="auto"/>
        </w:rPr>
      </w:pPr>
      <w:r>
        <w:rPr>
          <w:rFonts w:ascii="Arial" w:cs="Arial" w:eastAsia="Arial" w:hAnsi="Arial"/>
          <w:sz w:val="18"/>
          <w:szCs w:val="18"/>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2"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the law applicable to European stock corporations</w:t>
      </w:r>
    </w:p>
    <w:p>
      <w:pPr>
        <w:spacing w:after="0" w:line="23" w:lineRule="exact"/>
        <w:rPr>
          <w:sz w:val="20"/>
          <w:szCs w:val="20"/>
          <w:color w:val="auto"/>
        </w:rPr>
      </w:pPr>
    </w:p>
    <w:p>
      <w:pPr>
        <w:ind w:left="2640"/>
        <w:spacing w:after="0" w:line="295" w:lineRule="auto"/>
        <w:rPr>
          <w:sz w:val="20"/>
          <w:szCs w:val="20"/>
          <w:color w:val="auto"/>
        </w:rPr>
      </w:pPr>
      <w:r>
        <w:rPr>
          <w:rFonts w:ascii="Arial" w:cs="Arial" w:eastAsia="Arial" w:hAnsi="Arial"/>
          <w:sz w:val="16"/>
          <w:szCs w:val="16"/>
          <w:color w:val="auto"/>
        </w:rPr>
        <w:t>governed by German law, existing shareholders have a statutory subscription right for any additional issue of shares or any security convertible into shares pro rata to the nominal value of their respective holdings in the company,</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920" w:space="220"/>
            <w:col w:w="4080"/>
          </w:cols>
          <w:pgMar w:left="240" w:top="460" w:right="439"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4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54540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unless (i) shareholders representing three-quarters of the</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registered share capital present at the shareholders’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meeting have resolved upon the whole or partial exclusion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of the subscription right and (ii) there exists good and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objective cause for such exclusion. No separate resolution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on the exclusion of subscription rights is required if all</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shareholders waive their statutory subscription rights.</w:t>
      </w:r>
    </w:p>
    <w:p>
      <w:pPr>
        <w:sectPr>
          <w:pgSz w:w="11900" w:h="16838" w:orient="portrait"/>
          <w:cols w:equalWidth="0" w:num="1">
            <w:col w:w="11220"/>
          </w:cols>
          <w:pgMar w:left="240" w:top="460" w:right="439" w:bottom="1440" w:gutter="0" w:footer="0" w:header="0"/>
        </w:sectPr>
      </w:pPr>
    </w:p>
    <w:p>
      <w:pPr>
        <w:spacing w:after="0" w:line="211"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applicable European and German law, the</w:t>
      </w:r>
    </w:p>
    <w:p>
      <w:pPr>
        <w:spacing w:after="0" w:line="23" w:lineRule="exact"/>
        <w:rPr>
          <w:sz w:val="20"/>
          <w:szCs w:val="20"/>
          <w:color w:val="auto"/>
        </w:rPr>
      </w:pPr>
    </w:p>
    <w:p>
      <w:pPr>
        <w:ind w:left="2640"/>
        <w:spacing w:after="0" w:line="252" w:lineRule="auto"/>
        <w:rPr>
          <w:sz w:val="20"/>
          <w:szCs w:val="20"/>
          <w:color w:val="auto"/>
        </w:rPr>
      </w:pPr>
      <w:r>
        <w:rPr>
          <w:rFonts w:ascii="Arial" w:cs="Arial" w:eastAsia="Arial" w:hAnsi="Arial"/>
          <w:sz w:val="18"/>
          <w:szCs w:val="18"/>
          <w:color w:val="auto"/>
        </w:rPr>
        <w:t>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93" w:lineRule="exact"/>
        <w:rPr>
          <w:sz w:val="20"/>
          <w:szCs w:val="20"/>
          <w:color w:val="auto"/>
        </w:rPr>
      </w:pPr>
    </w:p>
    <w:p>
      <w:pPr>
        <w:sectPr>
          <w:pgSz w:w="11900" w:h="16838" w:orient="portrait"/>
          <w:cols w:equalWidth="0" w:num="2">
            <w:col w:w="6900" w:space="240"/>
            <w:col w:w="4080"/>
          </w:cols>
          <w:pgMar w:left="240" w:top="460" w:right="439" w:bottom="1440" w:gutter="0" w:footer="0" w:header="0"/>
          <w:type w:val="continuous"/>
        </w:sectPr>
      </w:pPr>
    </w:p>
    <w:p>
      <w:pPr>
        <w:ind w:left="200"/>
        <w:spacing w:after="0"/>
        <w:tabs>
          <w:tab w:leader="none" w:pos="2620" w:val="left"/>
        </w:tabs>
        <w:rPr>
          <w:sz w:val="20"/>
          <w:szCs w:val="20"/>
          <w:color w:val="auto"/>
        </w:rPr>
      </w:pPr>
      <w:r>
        <w:rPr>
          <w:rFonts w:ascii="Arial" w:cs="Arial" w:eastAsia="Arial" w:hAnsi="Arial"/>
          <w:sz w:val="18"/>
          <w:szCs w:val="18"/>
          <w:color w:val="auto"/>
        </w:rPr>
        <w:t>Liability of Directors and</w:t>
      </w:r>
      <w:r>
        <w:rPr>
          <w:sz w:val="20"/>
          <w:szCs w:val="20"/>
          <w:color w:val="auto"/>
        </w:rPr>
        <w:tab/>
      </w:r>
      <w:r>
        <w:rPr>
          <w:rFonts w:ascii="Arial" w:cs="Arial" w:eastAsia="Arial" w:hAnsi="Arial"/>
          <w:sz w:val="16"/>
          <w:szCs w:val="16"/>
          <w:color w:val="auto"/>
        </w:rPr>
        <w:t>Under German law, any provision, whether contained in</w:t>
      </w:r>
    </w:p>
    <w:p>
      <w:pPr>
        <w:spacing w:after="0" w:line="23"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7"/>
          <w:szCs w:val="17"/>
          <w:color w:val="auto"/>
        </w:rPr>
        <w:t>Officers</w:t>
      </w:r>
      <w:r>
        <w:rPr>
          <w:sz w:val="20"/>
          <w:szCs w:val="20"/>
          <w:color w:val="auto"/>
        </w:rPr>
        <w:tab/>
      </w:r>
      <w:r>
        <w:rPr>
          <w:rFonts w:ascii="Arial" w:cs="Arial" w:eastAsia="Arial" w:hAnsi="Arial"/>
          <w:sz w:val="17"/>
          <w:szCs w:val="17"/>
          <w:color w:val="auto"/>
        </w:rPr>
        <w:t>the company’s articles of association or any contract or</w:t>
      </w:r>
    </w:p>
    <w:p>
      <w:pPr>
        <w:spacing w:after="0" w:line="21" w:lineRule="exact"/>
        <w:rPr>
          <w:sz w:val="20"/>
          <w:szCs w:val="20"/>
          <w:color w:val="auto"/>
        </w:rPr>
      </w:pPr>
    </w:p>
    <w:p>
      <w:pPr>
        <w:ind w:left="2640"/>
        <w:spacing w:after="0" w:line="271" w:lineRule="auto"/>
        <w:rPr>
          <w:sz w:val="20"/>
          <w:szCs w:val="20"/>
          <w:color w:val="auto"/>
        </w:rPr>
      </w:pPr>
      <w:r>
        <w:rPr>
          <w:rFonts w:ascii="Arial" w:cs="Arial" w:eastAsia="Arial" w:hAnsi="Arial"/>
          <w:sz w:val="17"/>
          <w:szCs w:val="17"/>
          <w:color w:val="auto"/>
        </w:rPr>
        <w:t>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84" w:lineRule="exact"/>
        <w:rPr>
          <w:sz w:val="20"/>
          <w:szCs w:val="20"/>
          <w:color w:val="auto"/>
        </w:rPr>
      </w:pPr>
    </w:p>
    <w:p>
      <w:pPr>
        <w:ind w:left="2640" w:right="20"/>
        <w:spacing w:after="0" w:line="270" w:lineRule="auto"/>
        <w:rPr>
          <w:sz w:val="20"/>
          <w:szCs w:val="20"/>
          <w:color w:val="auto"/>
        </w:rPr>
      </w:pPr>
      <w:r>
        <w:rPr>
          <w:rFonts w:ascii="Arial" w:cs="Arial" w:eastAsia="Arial" w:hAnsi="Arial"/>
          <w:sz w:val="17"/>
          <w:szCs w:val="17"/>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 or Supervisory Board member only after the expiry of three years.</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br w:type="column"/>
      </w:r>
    </w:p>
    <w:p>
      <w:pPr>
        <w:ind w:right="120"/>
        <w:spacing w:after="0" w:line="293"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70" w:lineRule="exact"/>
        <w:rPr>
          <w:sz w:val="20"/>
          <w:szCs w:val="20"/>
          <w:color w:val="auto"/>
        </w:rPr>
      </w:pPr>
    </w:p>
    <w:p>
      <w:pPr>
        <w:ind w:left="720" w:right="100" w:hanging="264"/>
        <w:spacing w:after="0" w:line="308" w:lineRule="auto"/>
        <w:tabs>
          <w:tab w:leader="none" w:pos="70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51" w:lineRule="exact"/>
        <w:rPr>
          <w:rFonts w:ascii="Arial" w:cs="Arial" w:eastAsia="Arial" w:hAnsi="Arial"/>
          <w:sz w:val="17"/>
          <w:szCs w:val="17"/>
          <w:color w:val="auto"/>
        </w:rPr>
      </w:pPr>
    </w:p>
    <w:p>
      <w:pPr>
        <w:ind w:left="720" w:right="120" w:hanging="264"/>
        <w:spacing w:after="0" w:line="264" w:lineRule="auto"/>
        <w:tabs>
          <w:tab w:leader="none" w:pos="70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86" w:lineRule="exact"/>
        <w:rPr>
          <w:rFonts w:ascii="Arial" w:cs="Arial" w:eastAsia="Arial" w:hAnsi="Arial"/>
          <w:sz w:val="18"/>
          <w:szCs w:val="18"/>
          <w:color w:val="auto"/>
        </w:rPr>
      </w:pPr>
    </w:p>
    <w:p>
      <w:pPr>
        <w:jc w:val="both"/>
        <w:ind w:left="720" w:right="100" w:hanging="264"/>
        <w:spacing w:after="0" w:line="264" w:lineRule="auto"/>
        <w:tabs>
          <w:tab w:leader="none" w:pos="70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86" w:lineRule="exact"/>
        <w:rPr>
          <w:rFonts w:ascii="Arial" w:cs="Arial" w:eastAsia="Arial" w:hAnsi="Arial"/>
          <w:sz w:val="18"/>
          <w:szCs w:val="18"/>
          <w:color w:val="auto"/>
        </w:rPr>
      </w:pPr>
    </w:p>
    <w:p>
      <w:pPr>
        <w:ind w:left="720" w:right="520" w:hanging="264"/>
        <w:spacing w:after="0" w:line="342" w:lineRule="auto"/>
        <w:tabs>
          <w:tab w:leader="none" w:pos="70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ectPr>
          <w:pgSz w:w="11900" w:h="16838" w:orient="portrait"/>
          <w:cols w:equalWidth="0" w:num="2">
            <w:col w:w="6900" w:space="240"/>
            <w:col w:w="4080"/>
          </w:cols>
          <w:pgMar w:left="240" w:top="460" w:right="439" w:bottom="1440" w:gutter="0" w:footer="0" w:header="0"/>
          <w:type w:val="continuous"/>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European Union / Federal Republic of Germany</w:t>
            </w:r>
          </w:p>
        </w:tc>
      </w:tr>
      <w:tr>
        <w:trPr>
          <w:trHeight w:val="398"/>
        </w:trPr>
        <w:tc>
          <w:tcPr>
            <w:tcW w:w="1720" w:type="dxa"/>
            <w:vAlign w:val="bottom"/>
          </w:tcPr>
          <w:p>
            <w:pPr>
              <w:spacing w:after="0"/>
              <w:rPr>
                <w:sz w:val="20"/>
                <w:szCs w:val="20"/>
                <w:color w:val="auto"/>
              </w:rPr>
            </w:pPr>
            <w:r>
              <w:rPr>
                <w:rFonts w:ascii="Arial" w:cs="Arial" w:eastAsia="Arial" w:hAnsi="Arial"/>
                <w:sz w:val="18"/>
                <w:szCs w:val="18"/>
                <w:color w:val="auto"/>
              </w:rPr>
              <w:t>Voting Rights</w:t>
            </w: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0"/>
              </w:rPr>
              <w:t>Under the relevant European and German law, each share,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9"/>
              </w:rPr>
              <w:t>except for statutory non-voting preferred shares (</w:t>
            </w:r>
            <w:r>
              <w:rPr>
                <w:rFonts w:ascii="Arial" w:cs="Arial" w:eastAsia="Arial" w:hAnsi="Arial"/>
                <w:sz w:val="18"/>
                <w:szCs w:val="18"/>
                <w:i w:val="1"/>
                <w:iCs w:val="1"/>
                <w:color w:val="auto"/>
                <w:w w:val="99"/>
              </w:rPr>
              <w:t>nicht</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i w:val="1"/>
                <w:iCs w:val="1"/>
                <w:color w:val="auto"/>
                <w:w w:val="91"/>
              </w:rPr>
              <w:t>stimmberechtigte Vorzugsaktien</w:t>
            </w:r>
            <w:r>
              <w:rPr>
                <w:rFonts w:ascii="Arial" w:cs="Arial" w:eastAsia="Arial" w:hAnsi="Arial"/>
                <w:sz w:val="18"/>
                <w:szCs w:val="18"/>
                <w:color w:val="auto"/>
                <w:w w:val="91"/>
              </w:rPr>
              <w:t>), entitles its holder to vote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7"/>
              </w:rPr>
              <w:t>at the shareholders’ meeting with, in the case of no-par</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value shares, each share conferring one vote. While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5"/>
              </w:rPr>
              <w:t>German law does not provide for a minimum attendance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1"/>
              </w:rPr>
              <w:t>quorum for shareholders’ meetings, the company’s articles</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of association may so provide. In general, resolutions</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5"/>
              </w:rPr>
              <w:t>adopted at a shareholders’ meeting may be passed by a</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6"/>
              </w:rPr>
              <w:t>simple majority of votes cast, unless a higher majority is</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required by law or under the company’s articles of</w:t>
            </w:r>
          </w:p>
        </w:tc>
      </w:tr>
      <w:tr>
        <w:trPr>
          <w:trHeight w:val="230"/>
        </w:trPr>
        <w:tc>
          <w:tcPr>
            <w:tcW w:w="1720" w:type="dxa"/>
            <w:vAlign w:val="bottom"/>
          </w:tcPr>
          <w:p>
            <w:pPr>
              <w:spacing w:after="0"/>
              <w:rPr>
                <w:sz w:val="20"/>
                <w:szCs w:val="20"/>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association.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1913" w:lineRule="exact"/>
        <w:rPr>
          <w:sz w:val="20"/>
          <w:szCs w:val="20"/>
          <w:color w:val="auto"/>
        </w:rPr>
      </w:pPr>
    </w:p>
    <w:p>
      <w:pPr>
        <w:sectPr>
          <w:pgSz w:w="11900" w:h="16838" w:orient="portrait"/>
          <w:cols w:equalWidth="0" w:num="2">
            <w:col w:w="6940" w:space="200"/>
            <w:col w:w="4060"/>
          </w:cols>
          <w:pgMar w:left="240" w:top="460" w:right="459" w:bottom="1440" w:gutter="0" w:footer="0" w:header="0"/>
        </w:sectPr>
      </w:pPr>
    </w:p>
    <w:p>
      <w:pPr>
        <w:spacing w:after="0" w:line="2"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Shareholder Vote on Certain</w:t>
      </w:r>
      <w:r>
        <w:rPr>
          <w:sz w:val="20"/>
          <w:szCs w:val="20"/>
          <w:color w:val="auto"/>
        </w:rPr>
        <w:tab/>
      </w:r>
      <w:r>
        <w:rPr>
          <w:rFonts w:ascii="Arial" w:cs="Arial" w:eastAsia="Arial" w:hAnsi="Arial"/>
          <w:sz w:val="16"/>
          <w:szCs w:val="16"/>
          <w:color w:val="auto"/>
        </w:rPr>
        <w:t>Under applicable European and German law, certain</w:t>
      </w:r>
    </w:p>
    <w:p>
      <w:pPr>
        <w:spacing w:after="0" w:line="23"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shareholders’ resolutions of fundamental importance</w:t>
      </w:r>
    </w:p>
    <w:p>
      <w:pPr>
        <w:spacing w:after="0" w:line="9" w:lineRule="exact"/>
        <w:rPr>
          <w:sz w:val="20"/>
          <w:szCs w:val="20"/>
          <w:color w:val="auto"/>
        </w:rPr>
      </w:pPr>
    </w:p>
    <w:p>
      <w:pPr>
        <w:ind w:left="2640" w:right="20"/>
        <w:spacing w:after="0" w:line="267" w:lineRule="auto"/>
        <w:rPr>
          <w:sz w:val="20"/>
          <w:szCs w:val="20"/>
          <w:color w:val="auto"/>
        </w:rPr>
      </w:pPr>
      <w:r>
        <w:rPr>
          <w:rFonts w:ascii="Arial" w:cs="Arial" w:eastAsia="Arial" w:hAnsi="Arial"/>
          <w:sz w:val="17"/>
          <w:szCs w:val="17"/>
          <w:color w:val="auto"/>
        </w:rPr>
        <w:t>require the vote of at least three-quarters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7"/>
          <w:szCs w:val="17"/>
          <w:i w:val="1"/>
          <w:iCs w:val="1"/>
          <w:color w:val="auto"/>
        </w:rPr>
        <w:t>Unternehmensverträge</w:t>
      </w:r>
      <w:r>
        <w:rPr>
          <w:rFonts w:ascii="Arial" w:cs="Arial" w:eastAsia="Arial" w:hAnsi="Arial"/>
          <w:sz w:val="17"/>
          <w:szCs w:val="17"/>
          <w:color w:val="auto"/>
        </w:rPr>
        <w:t>), in particular domination agreements (</w:t>
      </w:r>
      <w:r>
        <w:rPr>
          <w:rFonts w:ascii="Arial" w:cs="Arial" w:eastAsia="Arial" w:hAnsi="Arial"/>
          <w:sz w:val="17"/>
          <w:szCs w:val="17"/>
          <w:i w:val="1"/>
          <w:iCs w:val="1"/>
          <w:color w:val="auto"/>
        </w:rPr>
        <w:t>Beherrschungsverträge</w:t>
      </w:r>
      <w:r>
        <w:rPr>
          <w:rFonts w:ascii="Arial" w:cs="Arial" w:eastAsia="Arial" w:hAnsi="Arial"/>
          <w:sz w:val="17"/>
          <w:szCs w:val="17"/>
          <w:color w:val="auto"/>
        </w:rPr>
        <w:t>) and profit and loss transfer agreements (</w:t>
      </w:r>
      <w:r>
        <w:rPr>
          <w:rFonts w:ascii="Arial" w:cs="Arial" w:eastAsia="Arial" w:hAnsi="Arial"/>
          <w:sz w:val="17"/>
          <w:szCs w:val="17"/>
          <w:i w:val="1"/>
          <w:iCs w:val="1"/>
          <w:color w:val="auto"/>
        </w:rPr>
        <w:t>Ergebnisabführungsverträge</w:t>
      </w:r>
      <w:r>
        <w:rPr>
          <w:rFonts w:ascii="Arial" w:cs="Arial" w:eastAsia="Arial" w:hAnsi="Arial"/>
          <w:sz w:val="17"/>
          <w:szCs w:val="17"/>
          <w:color w:val="auto"/>
        </w:rPr>
        <w:t>).</w:t>
      </w:r>
    </w:p>
    <w:p>
      <w:pPr>
        <w:spacing w:after="0" w:line="185"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Standard of Conduct for</w:t>
      </w:r>
      <w:r>
        <w:rPr>
          <w:sz w:val="20"/>
          <w:szCs w:val="20"/>
          <w:color w:val="auto"/>
        </w:rPr>
        <w:tab/>
      </w:r>
      <w:r>
        <w:rPr>
          <w:rFonts w:ascii="Arial" w:cs="Arial" w:eastAsia="Arial" w:hAnsi="Arial"/>
          <w:sz w:val="16"/>
          <w:szCs w:val="16"/>
          <w:color w:val="auto"/>
        </w:rPr>
        <w:t>Under applicable European and German law, both</w:t>
      </w:r>
    </w:p>
    <w:p>
      <w:pPr>
        <w:spacing w:after="0" w:line="23"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Management and Supervisory Board members must</w:t>
      </w:r>
    </w:p>
    <w:p>
      <w:pPr>
        <w:spacing w:after="0" w:line="9" w:lineRule="exact"/>
        <w:rPr>
          <w:sz w:val="20"/>
          <w:szCs w:val="20"/>
          <w:color w:val="auto"/>
        </w:rPr>
      </w:pPr>
    </w:p>
    <w:p>
      <w:pPr>
        <w:ind w:left="2640"/>
        <w:spacing w:after="0" w:line="292" w:lineRule="auto"/>
        <w:rPr>
          <w:sz w:val="20"/>
          <w:szCs w:val="20"/>
          <w:color w:val="auto"/>
        </w:rPr>
      </w:pPr>
      <w:r>
        <w:rPr>
          <w:rFonts w:ascii="Arial" w:cs="Arial" w:eastAsia="Arial" w:hAnsi="Arial"/>
          <w:sz w:val="16"/>
          <w:szCs w:val="16"/>
          <w:color w:val="auto"/>
        </w:rPr>
        <w:t>conduct their affairs with “the care and diligence of a prudent business man” and act in the best interest of the company. The scope of the fiduciary duties of Management and Supervisory Board members is generally determined by European and German legislation and by the courts.</w:t>
      </w:r>
    </w:p>
    <w:p>
      <w:pPr>
        <w:spacing w:after="0" w:line="19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Management Board to the company include, among others: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277</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85" w:lineRule="exact"/>
        <w:rPr>
          <w:sz w:val="20"/>
          <w:szCs w:val="20"/>
          <w:color w:val="auto"/>
        </w:rPr>
      </w:pPr>
    </w:p>
    <w:p>
      <w:pPr>
        <w:ind w:left="720" w:hanging="264"/>
        <w:spacing w:after="0"/>
        <w:tabs>
          <w:tab w:leader="none" w:pos="7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approval of the board of directors; and</w:t>
      </w:r>
    </w:p>
    <w:p>
      <w:pPr>
        <w:spacing w:after="0" w:line="142" w:lineRule="exact"/>
        <w:rPr>
          <w:rFonts w:ascii="Arial" w:cs="Arial" w:eastAsia="Arial" w:hAnsi="Arial"/>
          <w:sz w:val="17"/>
          <w:szCs w:val="17"/>
          <w:color w:val="auto"/>
        </w:rPr>
      </w:pPr>
    </w:p>
    <w:p>
      <w:pPr>
        <w:ind w:left="720" w:right="80" w:hanging="264"/>
        <w:spacing w:after="0" w:line="293" w:lineRule="auto"/>
        <w:tabs>
          <w:tab w:leader="none" w:pos="70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3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0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stockholders. The duty of care generally requires that a</w:t>
      </w:r>
    </w:p>
    <w:p>
      <w:pPr>
        <w:sectPr>
          <w:pgSz w:w="11900" w:h="16838" w:orient="portrait"/>
          <w:cols w:equalWidth="0" w:num="2">
            <w:col w:w="6920" w:space="220"/>
            <w:col w:w="4060"/>
          </w:cols>
          <w:pgMar w:left="240" w:top="460" w:right="459" w:bottom="1440" w:gutter="0" w:footer="0" w:header="0"/>
          <w:type w:val="continuous"/>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27273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46" w:lineRule="exact"/>
        <w:rPr>
          <w:sz w:val="20"/>
          <w:szCs w:val="20"/>
          <w:color w:val="auto"/>
        </w:rPr>
      </w:pPr>
    </w:p>
    <w:p>
      <w:pPr>
        <w:jc w:val="both"/>
        <w:ind w:left="3360" w:right="60" w:hanging="275"/>
        <w:spacing w:after="0" w:line="312" w:lineRule="auto"/>
        <w:tabs>
          <w:tab w:leader="none" w:pos="334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act in accordance with the law, the company’s articles of association and the rules of procedure for the Management Board, if any;</w:t>
      </w:r>
    </w:p>
    <w:p>
      <w:pPr>
        <w:spacing w:after="0" w:line="52" w:lineRule="exact"/>
        <w:rPr>
          <w:rFonts w:ascii="Arial" w:cs="Arial" w:eastAsia="Arial" w:hAnsi="Arial"/>
          <w:sz w:val="16"/>
          <w:szCs w:val="16"/>
          <w:color w:val="auto"/>
        </w:rPr>
      </w:pPr>
    </w:p>
    <w:p>
      <w:pPr>
        <w:jc w:val="both"/>
        <w:ind w:left="3360" w:right="140" w:hanging="275"/>
        <w:spacing w:after="0" w:line="342" w:lineRule="auto"/>
        <w:tabs>
          <w:tab w:leader="none" w:pos="334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report to the Supervisory Board on a regular basis as well as on certain important occasions;</w:t>
      </w:r>
    </w:p>
    <w:p>
      <w:pPr>
        <w:spacing w:after="0" w:line="29" w:lineRule="exact"/>
        <w:rPr>
          <w:rFonts w:ascii="Arial" w:cs="Arial" w:eastAsia="Arial" w:hAnsi="Arial"/>
          <w:sz w:val="16"/>
          <w:szCs w:val="16"/>
          <w:color w:val="auto"/>
        </w:rPr>
      </w:pPr>
    </w:p>
    <w:p>
      <w:pPr>
        <w:ind w:left="3340" w:hanging="255"/>
        <w:spacing w:after="0"/>
        <w:tabs>
          <w:tab w:leader="none" w:pos="33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to exercise reasonable care, skill and diligence;</w:t>
      </w:r>
    </w:p>
    <w:p>
      <w:pPr>
        <w:spacing w:after="0" w:line="153" w:lineRule="exact"/>
        <w:rPr>
          <w:rFonts w:ascii="Arial" w:cs="Arial" w:eastAsia="Arial" w:hAnsi="Arial"/>
          <w:sz w:val="16"/>
          <w:szCs w:val="16"/>
          <w:color w:val="auto"/>
        </w:rPr>
      </w:pPr>
    </w:p>
    <w:p>
      <w:pPr>
        <w:ind w:left="3340" w:hanging="255"/>
        <w:spacing w:after="0"/>
        <w:tabs>
          <w:tab w:leader="none" w:pos="3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maintain a proper accounting system;</w:t>
      </w:r>
    </w:p>
    <w:p>
      <w:pPr>
        <w:spacing w:after="0" w:line="130" w:lineRule="exact"/>
        <w:rPr>
          <w:rFonts w:ascii="Arial" w:cs="Arial" w:eastAsia="Arial" w:hAnsi="Arial"/>
          <w:sz w:val="18"/>
          <w:szCs w:val="18"/>
          <w:color w:val="auto"/>
        </w:rPr>
      </w:pPr>
    </w:p>
    <w:p>
      <w:pPr>
        <w:ind w:left="3360" w:right="80" w:hanging="275"/>
        <w:spacing w:after="0" w:line="264" w:lineRule="auto"/>
        <w:tabs>
          <w:tab w:leader="none" w:pos="334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not compete, directly or indirectly, with the company without permission by the supervisory board; and</w:t>
      </w:r>
    </w:p>
    <w:p>
      <w:pPr>
        <w:spacing w:after="0" w:line="86" w:lineRule="exact"/>
        <w:rPr>
          <w:rFonts w:ascii="Arial" w:cs="Arial" w:eastAsia="Arial" w:hAnsi="Arial"/>
          <w:sz w:val="18"/>
          <w:szCs w:val="18"/>
          <w:color w:val="auto"/>
        </w:rPr>
      </w:pPr>
    </w:p>
    <w:p>
      <w:pPr>
        <w:ind w:left="3360" w:right="60" w:hanging="275"/>
        <w:spacing w:after="0" w:line="277" w:lineRule="auto"/>
        <w:tabs>
          <w:tab w:leader="none" w:pos="334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secure that no further transactions are made in case of insolvency.</w:t>
      </w:r>
    </w:p>
    <w:p>
      <w:pPr>
        <w:spacing w:after="0" w:line="19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Supervisory Board to the company include, among others:</w:t>
      </w:r>
    </w:p>
    <w:p>
      <w:pPr>
        <w:spacing w:after="0" w:line="139" w:lineRule="exact"/>
        <w:rPr>
          <w:sz w:val="20"/>
          <w:szCs w:val="20"/>
          <w:color w:val="auto"/>
        </w:rPr>
      </w:pPr>
    </w:p>
    <w:p>
      <w:pPr>
        <w:ind w:left="3360" w:right="40" w:hanging="275"/>
        <w:spacing w:after="0" w:line="277" w:lineRule="auto"/>
        <w:tabs>
          <w:tab w:leader="none" w:pos="334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effectively supervise the Management Board’s handling of the company’s affairs;</w:t>
      </w:r>
    </w:p>
    <w:p>
      <w:pPr>
        <w:spacing w:after="0" w:line="75" w:lineRule="exact"/>
        <w:rPr>
          <w:rFonts w:ascii="Arial" w:cs="Arial" w:eastAsia="Arial" w:hAnsi="Arial"/>
          <w:sz w:val="18"/>
          <w:szCs w:val="18"/>
          <w:color w:val="auto"/>
        </w:rPr>
      </w:pPr>
    </w:p>
    <w:p>
      <w:pPr>
        <w:ind w:left="3360" w:right="60" w:hanging="275"/>
        <w:spacing w:after="0" w:line="259" w:lineRule="auto"/>
        <w:tabs>
          <w:tab w:leader="none" w:pos="334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evaluate and issue a resolution on certain transactions which can only be conducted by the Management Board after approval of the Supervisory Board;</w:t>
      </w:r>
    </w:p>
    <w:p>
      <w:pPr>
        <w:spacing w:after="0" w:line="92" w:lineRule="exact"/>
        <w:rPr>
          <w:rFonts w:ascii="Arial" w:cs="Arial" w:eastAsia="Arial" w:hAnsi="Arial"/>
          <w:sz w:val="18"/>
          <w:szCs w:val="18"/>
          <w:color w:val="auto"/>
        </w:rPr>
      </w:pPr>
    </w:p>
    <w:p>
      <w:pPr>
        <w:ind w:left="3340" w:hanging="255"/>
        <w:spacing w:after="0"/>
        <w:tabs>
          <w:tab w:leader="none" w:pos="33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approve the company’s financial statements;</w:t>
      </w:r>
    </w:p>
    <w:p>
      <w:pPr>
        <w:spacing w:after="0" w:line="142" w:lineRule="exact"/>
        <w:rPr>
          <w:rFonts w:ascii="Arial" w:cs="Arial" w:eastAsia="Arial" w:hAnsi="Arial"/>
          <w:sz w:val="17"/>
          <w:szCs w:val="17"/>
          <w:color w:val="auto"/>
        </w:rPr>
      </w:pPr>
    </w:p>
    <w:p>
      <w:pPr>
        <w:ind w:left="3360" w:hanging="275"/>
        <w:spacing w:after="0" w:line="259" w:lineRule="auto"/>
        <w:tabs>
          <w:tab w:leader="none" w:pos="334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appoint the Management Board members and to represent the company in transactions between the company and members of the Management Board; and</w:t>
      </w:r>
    </w:p>
    <w:p>
      <w:pPr>
        <w:spacing w:after="0" w:line="92" w:lineRule="exact"/>
        <w:rPr>
          <w:rFonts w:ascii="Arial" w:cs="Arial" w:eastAsia="Arial" w:hAnsi="Arial"/>
          <w:sz w:val="18"/>
          <w:szCs w:val="18"/>
          <w:color w:val="auto"/>
        </w:rPr>
      </w:pPr>
    </w:p>
    <w:p>
      <w:pPr>
        <w:ind w:left="3360" w:right="120" w:hanging="275"/>
        <w:spacing w:after="0" w:line="264" w:lineRule="auto"/>
        <w:tabs>
          <w:tab w:leader="none" w:pos="334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approve service contracts between individual members of the Supervisory Board and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710" w:lineRule="exact"/>
        <w:rPr>
          <w:sz w:val="20"/>
          <w:szCs w:val="20"/>
          <w:color w:val="auto"/>
        </w:rPr>
      </w:pPr>
    </w:p>
    <w:p>
      <w:pPr>
        <w:sectPr>
          <w:pgSz w:w="11900" w:h="16838" w:orient="portrait"/>
          <w:cols w:equalWidth="0" w:num="2">
            <w:col w:w="6900" w:space="240"/>
            <w:col w:w="4080"/>
          </w:cols>
          <w:pgMar w:left="240" w:top="459" w:right="439" w:bottom="1440" w:gutter="0" w:footer="0" w:header="0"/>
        </w:sectPr>
      </w:pPr>
    </w:p>
    <w:p>
      <w:pPr>
        <w:ind w:left="200"/>
        <w:spacing w:after="0"/>
        <w:tabs>
          <w:tab w:leader="none" w:pos="2620" w:val="left"/>
        </w:tabs>
        <w:rPr>
          <w:sz w:val="20"/>
          <w:szCs w:val="20"/>
          <w:color w:val="auto"/>
        </w:rPr>
      </w:pPr>
      <w:r>
        <w:rPr>
          <w:rFonts w:ascii="Arial" w:cs="Arial" w:eastAsia="Arial" w:hAnsi="Arial"/>
          <w:sz w:val="18"/>
          <w:szCs w:val="18"/>
          <w:color w:val="auto"/>
        </w:rPr>
        <w:t>Stockholder Actions</w:t>
      </w:r>
      <w:r>
        <w:rPr>
          <w:sz w:val="20"/>
          <w:szCs w:val="20"/>
          <w:color w:val="auto"/>
        </w:rPr>
        <w:tab/>
      </w:r>
      <w:r>
        <w:rPr>
          <w:rFonts w:ascii="Arial" w:cs="Arial" w:eastAsia="Arial" w:hAnsi="Arial"/>
          <w:sz w:val="16"/>
          <w:szCs w:val="16"/>
          <w:color w:val="auto"/>
        </w:rPr>
        <w:t>Under German law, generally, the company, rather than its</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shareholders, is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Under Delaware law, a stockholder may initiate a derivative action to enforce a</w:t>
      </w:r>
    </w:p>
    <w:p>
      <w:pPr>
        <w:sectPr>
          <w:pgSz w:w="11900" w:h="16838" w:orient="portrait"/>
          <w:cols w:equalWidth="0" w:num="2">
            <w:col w:w="6840" w:space="300"/>
            <w:col w:w="4080"/>
          </w:cols>
          <w:pgMar w:left="240" w:top="459" w:right="439" w:bottom="1440" w:gutter="0" w:footer="0" w:header="0"/>
          <w:type w:val="continuous"/>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2727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 w:lineRule="exact"/>
        <w:rPr>
          <w:sz w:val="20"/>
          <w:szCs w:val="20"/>
          <w:color w:val="auto"/>
        </w:rPr>
      </w:pPr>
    </w:p>
    <w:p>
      <w:pPr>
        <w:ind w:left="2640" w:right="80"/>
        <w:spacing w:after="0" w:line="291" w:lineRule="auto"/>
        <w:rPr>
          <w:sz w:val="20"/>
          <w:szCs w:val="20"/>
          <w:color w:val="auto"/>
        </w:rPr>
      </w:pPr>
      <w:r>
        <w:rPr>
          <w:rFonts w:ascii="Arial" w:cs="Arial" w:eastAsia="Arial" w:hAnsi="Arial"/>
          <w:sz w:val="16"/>
          <w:szCs w:val="16"/>
          <w:color w:val="auto"/>
        </w:rPr>
        <w:t>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192" w:lineRule="exact"/>
        <w:rPr>
          <w:sz w:val="20"/>
          <w:szCs w:val="20"/>
          <w:color w:val="auto"/>
        </w:rPr>
      </w:pPr>
    </w:p>
    <w:p>
      <w:pPr>
        <w:ind w:left="2640"/>
        <w:spacing w:after="0" w:line="279" w:lineRule="auto"/>
        <w:rPr>
          <w:sz w:val="20"/>
          <w:szCs w:val="20"/>
          <w:color w:val="auto"/>
        </w:rPr>
      </w:pPr>
      <w:r>
        <w:rPr>
          <w:rFonts w:ascii="Arial" w:cs="Arial" w:eastAsia="Arial" w:hAnsi="Arial"/>
          <w:sz w:val="17"/>
          <w:szCs w:val="17"/>
          <w:color w:val="auto"/>
        </w:rPr>
        <w:t>Additionally, pursuant to German case law, the Supervisory Board is obliged to pursue the company’s claims against the Management Board, unless the interest of the company keeps them from doing so.</w:t>
      </w:r>
    </w:p>
    <w:p>
      <w:pPr>
        <w:spacing w:after="0" w:line="198" w:lineRule="exact"/>
        <w:rPr>
          <w:sz w:val="20"/>
          <w:szCs w:val="20"/>
          <w:color w:val="auto"/>
        </w:rPr>
      </w:pPr>
    </w:p>
    <w:p>
      <w:pPr>
        <w:ind w:left="2640" w:right="20"/>
        <w:spacing w:after="0" w:line="291" w:lineRule="auto"/>
        <w:rPr>
          <w:sz w:val="20"/>
          <w:szCs w:val="20"/>
          <w:color w:val="auto"/>
        </w:rPr>
      </w:pPr>
      <w:r>
        <w:rPr>
          <w:rFonts w:ascii="Arial" w:cs="Arial" w:eastAsia="Arial" w:hAnsi="Arial"/>
          <w:sz w:val="16"/>
          <w:szCs w:val="16"/>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194" w:lineRule="exact"/>
        <w:rPr>
          <w:sz w:val="20"/>
          <w:szCs w:val="20"/>
          <w:color w:val="auto"/>
        </w:rPr>
      </w:pPr>
    </w:p>
    <w:p>
      <w:pPr>
        <w:ind w:left="2640" w:right="540"/>
        <w:spacing w:after="0" w:line="302" w:lineRule="auto"/>
        <w:rPr>
          <w:sz w:val="20"/>
          <w:szCs w:val="20"/>
          <w:color w:val="auto"/>
        </w:rPr>
      </w:pPr>
      <w:r>
        <w:rPr>
          <w:rFonts w:ascii="Arial" w:cs="Arial" w:eastAsia="Arial" w:hAnsi="Arial"/>
          <w:sz w:val="16"/>
          <w:szCs w:val="16"/>
          <w:color w:val="auto"/>
        </w:rPr>
        <w:t>If the company is unable to fulfill its third-party obligations, the company’s creditors may pursue the company’s damage claims against members of the Management Board for certain wrongdoings.</w:t>
      </w:r>
    </w:p>
    <w:p>
      <w:pPr>
        <w:spacing w:after="0" w:line="181" w:lineRule="exact"/>
        <w:rPr>
          <w:sz w:val="20"/>
          <w:szCs w:val="20"/>
          <w:color w:val="auto"/>
        </w:rPr>
      </w:pPr>
    </w:p>
    <w:p>
      <w:pPr>
        <w:ind w:left="2640" w:right="20"/>
        <w:spacing w:after="0" w:line="290" w:lineRule="auto"/>
        <w:rPr>
          <w:sz w:val="20"/>
          <w:szCs w:val="20"/>
          <w:color w:val="auto"/>
        </w:rPr>
      </w:pPr>
      <w:r>
        <w:rPr>
          <w:rFonts w:ascii="Arial" w:cs="Arial" w:eastAsia="Arial" w:hAnsi="Arial"/>
          <w:sz w:val="16"/>
          <w:szCs w:val="16"/>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right of a corporation if the corporation fails to enforce the right itself. The complaint must:</w:t>
      </w:r>
    </w:p>
    <w:p>
      <w:pPr>
        <w:spacing w:after="0" w:line="77" w:lineRule="exact"/>
        <w:rPr>
          <w:sz w:val="20"/>
          <w:szCs w:val="20"/>
          <w:color w:val="auto"/>
        </w:rPr>
      </w:pPr>
    </w:p>
    <w:p>
      <w:pPr>
        <w:ind w:left="720" w:hanging="264"/>
        <w:spacing w:after="0" w:line="257" w:lineRule="auto"/>
        <w:tabs>
          <w:tab w:leader="none" w:pos="70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93" w:lineRule="exact"/>
        <w:rPr>
          <w:rFonts w:ascii="Arial" w:cs="Arial" w:eastAsia="Arial" w:hAnsi="Arial"/>
          <w:sz w:val="18"/>
          <w:szCs w:val="18"/>
          <w:color w:val="auto"/>
        </w:rPr>
      </w:pPr>
    </w:p>
    <w:p>
      <w:pPr>
        <w:ind w:left="720" w:right="20" w:hanging="264"/>
        <w:spacing w:after="0" w:line="273" w:lineRule="auto"/>
        <w:tabs>
          <w:tab w:leader="none" w:pos="70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pacing w:after="0" w:line="3483" w:lineRule="exact"/>
        <w:rPr>
          <w:sz w:val="20"/>
          <w:szCs w:val="20"/>
          <w:color w:val="auto"/>
        </w:rPr>
      </w:pPr>
    </w:p>
    <w:p>
      <w:pPr>
        <w:sectPr>
          <w:pgSz w:w="11900" w:h="16838" w:orient="portrait"/>
          <w:cols w:equalWidth="0" w:num="2">
            <w:col w:w="6920" w:space="220"/>
            <w:col w:w="4020"/>
          </w:cols>
          <w:pgMar w:left="240" w:top="460" w:right="499" w:bottom="1440" w:gutter="0" w:footer="0" w:header="0"/>
        </w:sectPr>
      </w:pP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applied to list the ADSs representing our ordinary shares on the Nasdaq Global Select Market under the symbol “BNTX.”</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160"/>
          </w:cols>
          <w:pgMar w:left="240" w:top="460" w:right="499" w:bottom="1440" w:gutter="0" w:footer="0" w:header="0"/>
          <w:type w:val="continuous"/>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Bank of New York Mellon, as depositary, will register and deliver the American Depositary Shares, or the ADSs. Each ADS will</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represent one share (or a right to receive one share) deposited with The Bank of New York Mellon SA/NV as custodian for the depositary in Germany.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ADS will also represent any other securities, cash or other property which may be held by the depositary. The deposited shares together with 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securities, cash or other property held by the depositary are referred to as the deposited securities. The depositary’s office at which the ADSs will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 administered and its principal executive office are located at 240 Greenwich Street, New York, New York 10286.</w:t>
      </w:r>
    </w:p>
    <w:p>
      <w:pPr>
        <w:spacing w:after="0" w:line="21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200" w:right="480" w:firstLine="441"/>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ADS holders receive dividends and other distributions on the shares?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“Taxation” included elsewhere in this prospectus. The depositary will distribute only whole U.S. dollars and cents and will round fractional cents to the nearest whole cent.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the exchange rates fluctuate during a time when the depositary cannot convert the foreign currency, you may lose some of the value of the distribution.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00"/>
          </w:cols>
          <w:pgMar w:left="240" w:top="460"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b w:val="1"/>
          <w:b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8"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7"/>
          <w:szCs w:val="17"/>
          <w:b w:val="1"/>
          <w:bCs w:val="1"/>
          <w:color w:val="auto"/>
        </w:rPr>
        <w:t>This means that you may not receive the distributions we make on 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or any value for them if it is illegal or impractical for us to make them available to you.</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20"/>
          </w:cols>
          <w:pgMar w:left="240" w:top="460"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vote?</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4"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7"/>
          <w:szCs w:val="17"/>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7"/>
          <w:szCs w:val="17"/>
          <w:color w:val="auto"/>
        </w:rPr>
        <w:t>In any event, the depositary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78" w:lineRule="exact"/>
        <w:rPr>
          <w:sz w:val="20"/>
          <w:szCs w:val="20"/>
          <w:color w:val="auto"/>
        </w:rPr>
      </w:pPr>
    </w:p>
    <w:p>
      <w:pPr>
        <w:ind w:left="1180" w:hanging="436"/>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we wish the depositary to vote uninstructed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we reasonably do not know of any substantial shareholder opposition to a particular question;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particular question is not materially adverse to the interests of shareholders,</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200" w:right="780"/>
        <w:spacing w:after="0" w:line="261" w:lineRule="auto"/>
        <w:rPr>
          <w:sz w:val="20"/>
          <w:szCs w:val="20"/>
          <w:color w:val="auto"/>
        </w:rPr>
      </w:pPr>
      <w:r>
        <w:rPr>
          <w:rFonts w:ascii="Arial" w:cs="Arial" w:eastAsia="Arial" w:hAnsi="Arial"/>
          <w:sz w:val="18"/>
          <w:szCs w:val="18"/>
          <w:b w:val="1"/>
          <w:bCs w:val="1"/>
          <w:color w:val="auto"/>
        </w:rPr>
        <w:t>This means that you may not be able to exercise voting rights and there may be nothing you can do if your shares are not voted as you requested.</w:t>
      </w:r>
    </w:p>
    <w:p>
      <w:pPr>
        <w:spacing w:after="0" w:line="18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20"/>
          </w:cols>
          <w:pgMar w:left="24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256"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i w:val="1"/>
          <w:iCs w:val="1"/>
          <w:color w:val="auto"/>
        </w:rPr>
        <w:t>Persons depositing or withdrawing</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i w:val="1"/>
          <w:iCs w:val="1"/>
          <w:color w:val="auto"/>
        </w:rPr>
        <w:t>shares or ADS holders must pay</w:t>
      </w:r>
      <w:r>
        <w:rPr>
          <w:rFonts w:ascii="Arial" w:cs="Arial" w:eastAsia="Arial" w:hAnsi="Arial"/>
          <w:sz w:val="18"/>
          <w:szCs w:val="18"/>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w:t>
      </w:r>
    </w:p>
    <w:p>
      <w:pPr>
        <w:spacing w:after="0" w:line="266" w:lineRule="exact"/>
        <w:rPr>
          <w:sz w:val="20"/>
          <w:szCs w:val="20"/>
          <w:color w:val="auto"/>
        </w:rPr>
      </w:pPr>
    </w:p>
    <w:p>
      <w:pPr>
        <w:ind w:left="200"/>
        <w:spacing w:after="0" w:line="381"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2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200" w:lineRule="exact"/>
        <w:rPr>
          <w:sz w:val="20"/>
          <w:szCs w:val="20"/>
          <w:color w:val="auto"/>
        </w:rPr>
      </w:pPr>
    </w:p>
    <w:p>
      <w:pPr>
        <w:sectPr>
          <w:pgSz w:w="11900" w:h="16838" w:orient="portrait"/>
          <w:cols w:equalWidth="0" w:num="2">
            <w:col w:w="5720" w:space="340"/>
            <w:col w:w="5120"/>
          </w:cols>
          <w:pgMar w:left="240" w:top="460" w:right="479" w:bottom="1440" w:gutter="0" w:footer="0" w:header="0"/>
        </w:sectPr>
      </w:pPr>
    </w:p>
    <w:p>
      <w:pPr>
        <w:spacing w:after="0" w:line="31"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Expenses of the depositary</w:t>
      </w:r>
      <w:r>
        <w:rPr>
          <w:sz w:val="20"/>
          <w:szCs w:val="20"/>
          <w:color w:val="auto"/>
        </w:rPr>
        <w:tab/>
      </w:r>
      <w:r>
        <w:rPr>
          <w:rFonts w:ascii="Arial" w:cs="Arial" w:eastAsia="Arial" w:hAnsi="Arial"/>
          <w:sz w:val="16"/>
          <w:szCs w:val="16"/>
          <w:color w:val="auto"/>
        </w:rPr>
        <w:t>Cable and facsimile transmissions (when expressly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provided in the deposit agreement)</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Converting foreign currency to U.S. dollars</w:t>
      </w:r>
    </w:p>
    <w:p>
      <w:pPr>
        <w:spacing w:after="0" w:line="266"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Taxes and other governmental charges the depositary or the custodian has to</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pay on any ADSs or shares underlying ADSs, such as stock transfer taxes,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stamp duty or withholding taxes</w:t>
      </w:r>
    </w:p>
    <w:p>
      <w:pPr>
        <w:spacing w:after="0" w:line="251"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deposited securities</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80"/>
          </w:cols>
          <w:pgMar w:left="240" w:top="460" w:right="479" w:bottom="1440" w:gutter="0" w:footer="0" w:header="0"/>
          <w:type w:val="continuous"/>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00"/>
          </w:cols>
          <w:pgMar w:left="24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 xml:space="preserve">a substantial right of ADS holders, it will not become effective for outstanding ADSs until 30 days after the depositary notifies ADS holders of the amendment. </w:t>
      </w:r>
      <w:r>
        <w:rPr>
          <w:rFonts w:ascii="Arial" w:cs="Arial" w:eastAsia="Arial" w:hAnsi="Arial"/>
          <w:sz w:val="18"/>
          <w:szCs w:val="18"/>
          <w:b w:val="1"/>
          <w:bCs w:val="1"/>
          <w:color w:val="auto"/>
        </w:rPr>
        <w:t>At the time an amendment becomes effective, you are considered, by continuing to hold your ADSs, to agree to the amendment and</w:t>
      </w:r>
      <w:r>
        <w:rPr>
          <w:rFonts w:ascii="Arial" w:cs="Arial" w:eastAsia="Arial" w:hAnsi="Arial"/>
          <w:sz w:val="18"/>
          <w:szCs w:val="18"/>
          <w:color w:val="auto"/>
        </w:rPr>
        <w:t xml:space="preserve"> </w:t>
      </w:r>
      <w:r>
        <w:rPr>
          <w:rFonts w:ascii="Arial" w:cs="Arial" w:eastAsia="Arial" w:hAnsi="Arial"/>
          <w:sz w:val="18"/>
          <w:szCs w:val="18"/>
          <w:b w:val="1"/>
          <w:bCs w:val="1"/>
          <w:color w:val="auto"/>
        </w:rPr>
        <w:t>to be bound by the ADRs and the deposit agreement as amended.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180" w:right="46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we delist our ordinary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180" w:right="20" w:hanging="436"/>
        <w:spacing w:after="0" w:line="277" w:lineRule="auto"/>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77" w:lineRule="auto"/>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180" w:right="380" w:hanging="436"/>
        <w:spacing w:after="0" w:line="277" w:lineRule="auto"/>
        <w:tabs>
          <w:tab w:leader="none" w:pos="11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180" w:right="160" w:hanging="436"/>
        <w:spacing w:after="0" w:line="308" w:lineRule="auto"/>
        <w:tabs>
          <w:tab w:leader="none" w:pos="11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and the rules and regulations promulgated thereunder.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AND ADS</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ELIGIBLE FOR FUTURE SALE</w:t>
      </w:r>
    </w:p>
    <w:p>
      <w:pPr>
        <w:spacing w:after="0" w:line="229"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Prior to this offering, there has been no market for our ordinary shares or ADSs. Future sales of substantial amounts of our ordinary shares or ADSs in the public market, or the perception that such sales may occur, could adversely affect prevailing market prices of our ordinary shares or ADSs.</w:t>
      </w:r>
    </w:p>
    <w:p>
      <w:pPr>
        <w:spacing w:after="0" w:line="124"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Based on the 212,748,588 ordinary shares that were outstanding on June 30, 2019, upon the closing of this offering, 226,262,336 ordinary shares, and 10,000,000 ADSs representing 10,000,000 of those ordinary shares, will be outstanding, assuming no exercise of the underwriters’ option to purchase additional ADSs, and including (x) 475,074 ordinary shares issued after June 30, 2019 in connection with our Series B private placement and</w:t>
      </w:r>
    </w:p>
    <w:p>
      <w:pPr>
        <w:ind w:left="200" w:right="20" w:firstLine="4"/>
        <w:spacing w:after="0" w:line="268" w:lineRule="auto"/>
        <w:tabs>
          <w:tab w:leader="none" w:pos="45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3,038,674 ordinary shares issued prior to the completion of this offering pursuant to an investment by the Bill and Melinda Gates Foundation. The 10,000,000 ADSs sold in this offering will be freely tradable without restriction or further registration under the Securities Act of 1933, as amended, or the Securities Act, except for any ADSs purchased by our “affiliates,” as that term is defined in Rule 144 under the Securities Act, or Rule 144, whose sales would be subject to the Rule 144 resale restrictions described below. The remaining 216,262,336 ordinary shares will be held by our existing shareholders and will be deemed to be “restricted securities” under Rule 144, and we expect that substantially all of these restricted securities will be subject to the 180-day lock-up period under the lock-up agreements as described below. These restricted securities may only be sold in the public market upon release or waiver of any applicable lock-up agreements and only if registered or pursuant to an exemption from registration, such as Rule 144 or Rule 701 under the Securities Act, or Rule 701.</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general, under Rule 144, beginning 90 days after the date of this prospectus, a person who is not an affiliate of ours and has held their ordinary shares for at least six months, including the holding period of any prior owner other than one of our affiliates, may sell those shares without restriction, subject to the availability of current public information about us. In addition, under Rule 144, any person who is not an affiliate of ours and has not been an affiliate of ours at any time during the preceding three months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Beginning 90 days after the date of this prospectus, a person who is an affiliate of ours or who was an affiliate of ours at any time during the preceding three months and who has beneficially owned restricted securities for at least six months, including the holding period of any prior owner other than one of our affiliates, is entitled to sell within any three-month period only a number of securities that does not exceed the greater of either of:</w:t>
      </w:r>
    </w:p>
    <w:p>
      <w:pPr>
        <w:spacing w:after="0" w:line="52" w:lineRule="exact"/>
        <w:rPr>
          <w:sz w:val="20"/>
          <w:szCs w:val="20"/>
          <w:color w:val="auto"/>
        </w:rPr>
      </w:pPr>
    </w:p>
    <w:p>
      <w:pPr>
        <w:ind w:left="1180" w:right="20" w:hanging="436"/>
        <w:spacing w:after="0" w:line="264" w:lineRule="auto"/>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1% of the number of our ordinary shares then outstanding, including ordinary shares represented by ADSs, which will equal approximately 2,262,623 ordinary shares immediately after this offering, assuming no exercise of the underwriters’ option to purchase additional ADSs; and</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Such sales both by affiliates and by non-affiliates must also comply with the manner-of-sale, current public information and notice provisions of Rule 144, to the extent applicable. Rule 144 also requires that affiliates relying on Rule 144 to sell securities that are not restricted securities must nonetheless comply with the same restrictions applicable to restricted securities, other than the holding period requirement.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Regulation S under the Securities Act provides that ordinary shares or ADSs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or ADSs may be sold outside the United States without registration in the United States being required.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general, under Rule 701, any of our employees, board members, executive management, consultants or advisors who purchased ordinary shares from us in connection with a compensatory share or option plan or other written agreement before the closing of this offering is entitled to resell such shares.</w:t>
      </w:r>
    </w:p>
    <w:p>
      <w:pPr>
        <w:spacing w:after="0" w:line="181"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Securities Exchange Act of 1934, as amended, along with the shares acquired upon exercise of such options, including exercises after the date of this prospectus. Securities issued in reliance on Rule 701 are restricted securities and, subject to the lock-up restrictions described below, may be sold beginning 90 days after the date of this prospectus in reliance on Rule 144 by:</w:t>
      </w:r>
    </w:p>
    <w:p>
      <w:pPr>
        <w:spacing w:after="0" w:line="77" w:lineRule="exact"/>
        <w:rPr>
          <w:sz w:val="20"/>
          <w:szCs w:val="20"/>
          <w:color w:val="auto"/>
        </w:rPr>
      </w:pPr>
    </w:p>
    <w:p>
      <w:pPr>
        <w:ind w:left="1180" w:hanging="436"/>
        <w:spacing w:after="0"/>
        <w:tabs>
          <w:tab w:leader="none" w:pos="11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subject only to the manner-of-sale provisions of Rule 144;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For a description of the lock-up arrangements that we, members of our Supervisory Board and Management Board and substantially all of our shareholders have entered into in connection with this offering, see “Underwriting.”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 and Form S-8 Registration Statement</w:t>
      </w:r>
    </w:p>
    <w:p>
      <w:pPr>
        <w:spacing w:after="0" w:line="12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As of June 30, 2019, options to purchase a total of 11,882,124 ordinary shares were issued and outstanding. Of the total number of issued and outstanding options, 2,101,842 will be vested upon the closing of this offering. All of our ordinary shares issuable under these options are subject to contractual lock-up agreements with us or the underwriters.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Following the completion of this offering, we intend to file a registration statement on Form S-8 under the Securities Act to register up to 21,874,806 ordinary shares, in the aggregate, issued or reserved for issuance under the ESOP. The registration statement on Form S-8 will become effective automatically upon filing. 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180-day lock-up period.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20"/>
          </w:cols>
          <w:pgMar w:left="24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EXCHANGE CONTROLS AND LIMITATIONS AFFECTING SHAREHOLDERS</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There are currently no legal restrictions in the Federal Republic of Germany on international capital movements and foreign exchange transactions, except in limited embargo circumstances (</w:t>
      </w:r>
      <w:r>
        <w:rPr>
          <w:rFonts w:ascii="Arial" w:cs="Arial" w:eastAsia="Arial" w:hAnsi="Arial"/>
          <w:sz w:val="16"/>
          <w:szCs w:val="16"/>
          <w:i w:val="1"/>
          <w:iCs w:val="1"/>
          <w:color w:val="auto"/>
        </w:rPr>
        <w:t>Teilembargo</w:t>
      </w:r>
      <w:r>
        <w:rPr>
          <w:rFonts w:ascii="Arial" w:cs="Arial" w:eastAsia="Arial" w:hAnsi="Arial"/>
          <w:sz w:val="16"/>
          <w:szCs w:val="16"/>
          <w:color w:val="auto"/>
        </w:rPr>
        <w:t>) relating to certain areas, entities or persons as a result of applicable resolutions adopted by the United Nations and the European Union. Restrictions currently exist with respect to, among others, Belarus, Congo, Egypt, Eritrea, Guinea, Guinea-Bissau, Iran, Iraq, Lebanon, Libya, North Korea, Somalia, South Sudan, Sudan, Syria, Tunisia and Zimbabwe.</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statistical purposes, there are, however, limited notification requirements regarding transactions involving cross-border monetary transfers. With some exceptions, every corporation or individual residing in the Federal Republic of Germany must report to the German Central Bank (</w:t>
      </w:r>
      <w:r>
        <w:rPr>
          <w:rFonts w:ascii="Arial" w:cs="Arial" w:eastAsia="Arial" w:hAnsi="Arial"/>
          <w:sz w:val="16"/>
          <w:szCs w:val="16"/>
          <w:i w:val="1"/>
          <w:iCs w:val="1"/>
          <w:color w:val="auto"/>
        </w:rPr>
        <w:t>Deutsche</w:t>
      </w:r>
      <w:r>
        <w:rPr>
          <w:rFonts w:ascii="Arial" w:cs="Arial" w:eastAsia="Arial" w:hAnsi="Arial"/>
          <w:sz w:val="16"/>
          <w:szCs w:val="16"/>
          <w:color w:val="auto"/>
        </w:rPr>
        <w:t xml:space="preserve"> </w:t>
      </w:r>
      <w:r>
        <w:rPr>
          <w:rFonts w:ascii="Arial" w:cs="Arial" w:eastAsia="Arial" w:hAnsi="Arial"/>
          <w:sz w:val="16"/>
          <w:szCs w:val="16"/>
          <w:i w:val="1"/>
          <w:iCs w:val="1"/>
          <w:color w:val="auto"/>
        </w:rPr>
        <w:t>Bundesbank</w:t>
      </w:r>
      <w:r>
        <w:rPr>
          <w:rFonts w:ascii="Arial" w:cs="Arial" w:eastAsia="Arial" w:hAnsi="Arial"/>
          <w:sz w:val="16"/>
          <w:szCs w:val="16"/>
          <w:color w:val="auto"/>
        </w:rPr>
        <w:t>) (i) any payment received from, or made to, a non-resident corporation or individual that exceeds €12,500 (or the equivalent in a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240" w:top="460" w:right="5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German Taxation</w:t>
      </w:r>
    </w:p>
    <w:p>
      <w:pPr>
        <w:spacing w:after="0" w:line="12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following discussion addresses certain German tax consequences of acquiring, owning or disposing of the ADSs. With the exception of “— Taxation of Holders Tax Resident in Germany” below, which provides an overview of dividend taxation and of capital gains taxation with respect to holders that are residents of Germany, this discussion applies only to U.S. treaty beneficiaries (defined below) that acquire ADSs in the offering.</w:t>
      </w:r>
    </w:p>
    <w:p>
      <w:pPr>
        <w:spacing w:after="0" w:line="14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are not binding on the German courts, and the Treaty (defined below). It is based upon tax laws in effect at the time of filing of this prospectus. These laws are subject to change, possibly with retroactive effect. For example, certain member states of the European Union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 In addition, in Germany, for example, there are currently ongoing discussions on the raise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8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8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tax information presented in this prospectus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withheld. Only an individual tax consultation can appropriately account for the particular tax situation of each investor.</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Based on the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May 24, 2013, reference number IV C 1-S2204/12/10003, as amended by the circular dated December 18, 2018 (reference number IV C 1 – S 2204/12/10003), in respect of the taxation of American Depositary Receipts, or ADRs, on domestic shares, or the ADR Tax Circular, for German tax purposes, the ADSs represent a beneficial ownership interest in the underlying shares of BioNTech and qualify as ADRs for the purpose of the ADR Tax Circular. If the ADSs qualify as ADRs under the ADR Tax Circular, dividends would accordingly be attributable to holders of the ADSs for German tax purposes, and not to the legal owner of the ordinary shares (</w:t>
      </w:r>
      <w:r>
        <w:rPr>
          <w:rFonts w:ascii="Arial" w:cs="Arial" w:eastAsia="Arial" w:hAnsi="Arial"/>
          <w:sz w:val="17"/>
          <w:szCs w:val="17"/>
          <w:i w:val="1"/>
          <w:iCs w:val="1"/>
          <w:color w:val="auto"/>
        </w:rPr>
        <w:t>i.e</w:t>
      </w:r>
      <w:r>
        <w:rPr>
          <w:rFonts w:ascii="Arial" w:cs="Arial" w:eastAsia="Arial" w:hAnsi="Arial"/>
          <w:sz w:val="17"/>
          <w:szCs w:val="17"/>
          <w:color w:val="auto"/>
        </w:rPr>
        <w:t>., the financial institution on behalf of which the ordinary shares are stored at a domestic depository for the ADS holders). Furthermore, holders of the ADSs should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Holders Not Tax Resident in Germany</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discussion describes the material German tax consequences for a holder that is a U.S. treaty beneficiary of acquiring, owning and disposing of the ADSs. For purposes of this discussion, a “U.S. treaty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80"/>
          </w:cols>
          <w:pgMar w:left="24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beneficiary” is a resident of the United States for purposes of the Agreement between the Federal Republic of Germany and United States of America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Avoidance of Double Taxation and the Prevention of Fiscal Evasion with respect to Taxes on Income and on Capital as of June 4, 2008</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Abkommen zwischen der Bundesrepublik Deutschland und den Vereinigten Staaten von Amerika zur Vermeidung der Doppelbesteuerung und zur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Verhinderung der Steuerverkürzung auf dem Gebiet der Steuern vom Einkommen und vom Vermögen und einiger anderer Steuern in der Fassung vom 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Juni 2008</w:t>
      </w:r>
      <w:r>
        <w:rPr>
          <w:rFonts w:ascii="Arial" w:cs="Arial" w:eastAsia="Arial" w:hAnsi="Arial"/>
          <w:sz w:val="18"/>
          <w:szCs w:val="18"/>
          <w:color w:val="auto"/>
        </w:rPr>
        <w:t>), hereinafter referred to as the “Treaty,” who is fully eligible for benefits under the Treaty.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1180" w:hanging="436"/>
        <w:spacing w:after="0"/>
        <w:tabs>
          <w:tab w:leader="none" w:pos="1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U.S. 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 subject to the limitation on benefits (</w:t>
      </w:r>
      <w:r>
        <w:rPr>
          <w:rFonts w:ascii="Arial" w:cs="Arial" w:eastAsia="Arial" w:hAnsi="Arial"/>
          <w:sz w:val="18"/>
          <w:szCs w:val="18"/>
          <w:i w:val="1"/>
          <w:iCs w:val="1"/>
          <w:color w:val="auto"/>
        </w:rPr>
        <w:t>i.e.</w:t>
      </w:r>
      <w:r>
        <w:rPr>
          <w:rFonts w:ascii="Arial" w:cs="Arial" w:eastAsia="Arial" w:hAnsi="Arial"/>
          <w:sz w:val="18"/>
          <w:szCs w:val="18"/>
          <w:color w:val="auto"/>
        </w:rPr>
        <w:t>, anti-treaty shopping) article of the Treaty that applies in limited circumstances.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Rules for the Taxation of Holders Not Tax Resident in Germany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Non-German resident holders of ADSs are subject to German taxation with respect to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 of the ADSs for German tax purposes. As a consequence, income from the ADSs should be treated as German source income.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German Withholding Taxation of Dividends of the U.S. Treaty Beneficiaries of the ADSs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Generally, the full amount of a dividend distributed by BioNTech to a non-German resident holder which does not maintain a permanent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establishment or other taxable presence in Germany is subject to (final) German withholding tax at an aggregate rate of 26.375%. German withholding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 is withheld and remitted to the German tax authorities by (i) the disbursing agent (</w:t>
      </w:r>
      <w:r>
        <w:rPr>
          <w:rFonts w:ascii="Arial" w:cs="Arial" w:eastAsia="Arial" w:hAnsi="Arial"/>
          <w:sz w:val="16"/>
          <w:szCs w:val="16"/>
          <w:i w:val="1"/>
          <w:iCs w:val="1"/>
          <w:color w:val="auto"/>
        </w:rPr>
        <w:t>i.e.</w:t>
      </w:r>
      <w:r>
        <w:rPr>
          <w:rFonts w:ascii="Arial" w:cs="Arial" w:eastAsia="Arial" w:hAnsi="Arial"/>
          <w:sz w:val="16"/>
          <w:szCs w:val="16"/>
          <w:color w:val="auto"/>
        </w:rPr>
        <w:t>, the German credit institution, financial services institution,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trading enterprise or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and in each case including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German branch of a foreign enterprise, but excluding a foreign branch of a German enterprise)) that holds or administers the underlying shares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custody and (a) disburses or credits the dividend income from the underlying shares, (b) disburses or credits the dividend income from the underlying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on delivery of the dividend coupons or (c) disburses such dividend income to a foreign agent; or (ii) the central securities depository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Wertpapiersammelbank</w:t>
      </w:r>
      <w:r>
        <w:rPr>
          <w:rFonts w:ascii="Arial" w:cs="Arial" w:eastAsia="Arial" w:hAnsi="Arial"/>
          <w:sz w:val="16"/>
          <w:szCs w:val="16"/>
          <w:color w:val="auto"/>
        </w:rPr>
        <w:t>) in terms of the German Depositary Act (</w:t>
      </w:r>
      <w:r>
        <w:rPr>
          <w:rFonts w:ascii="Arial" w:cs="Arial" w:eastAsia="Arial" w:hAnsi="Arial"/>
          <w:sz w:val="16"/>
          <w:szCs w:val="16"/>
          <w:i w:val="1"/>
          <w:iCs w:val="1"/>
          <w:color w:val="auto"/>
        </w:rPr>
        <w:t>Depotgesetz</w:t>
      </w:r>
      <w:r>
        <w:rPr>
          <w:rFonts w:ascii="Arial" w:cs="Arial" w:eastAsia="Arial" w:hAnsi="Arial"/>
          <w:sz w:val="16"/>
          <w:szCs w:val="16"/>
          <w:color w:val="auto"/>
        </w:rPr>
        <w:t>) holding the underlying shares in a collective deposit, if such central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securities depository disburses the dividend income from the underlying shares to a foreign agent, regardless of whether a holder must report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dividend for tax purposes and regardless of whether or not a holder is a resident of Germany. Dividend payments, to the extent funded from BioNTech’s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tax-recognized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 form part of the taxable dividend income but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lower the holder’s acquisition costs for the ADSs.</w:t>
      </w:r>
    </w:p>
    <w:p>
      <w:pPr>
        <w:spacing w:after="0" w:line="21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Pursuant to the Treaty, the German withholding tax may generally not exceed (i) 15% of the gross amount of the dividends received by a U.S. treaty beneficiary other than a company holding ADSs which represent 10%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20"/>
          </w:cols>
          <w:pgMar w:left="24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refund is subject to the German anti-avoidance treaty shopping rule (as described below in “— Withholding Tax Refund for U.S. Treaty Beneficiaries”).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German Withholding Taxation of Capital Gains of the U.S. Treaty Beneficiaries of the ADSs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Qualified Participation. A Qualified Participation is given if a holder at any time during the five years preceding the disposition, directly or indirectly, owned 1% or more of BioNTech’s share capital, irrespective of whether through the ADSs or shares of BioNTech. If such holder had acquired the ADSs without consideration, the previous owner’s holding period and quota would be taken into account.</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Pursuant to the Treaty, capital gains from the disposition of a Qualified Participation realized by a U.S. treaty beneficiary are, however, generally exempt from German taxation. Pursuant to the Treaty, U.S. treaty beneficiaries are not subject to German tax in relation to capital gains from the disposition of a Qualified Participation even under the circumstances described in the preceding paragraph and therefore should not be subject to German taxation on capital gains from the disposition of the ADSs.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However, a circular issued by the German Federal Ministry of Finance, dated January 18, 2016, reference number IV C 1-S2252/08/10004 :017,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1% or more of the share capital of a German company.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“—Withholding Tax Refund for U.S. Treaty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00"/>
          </w:cols>
          <w:pgMar w:left="240" w:top="460"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Beneficiaries.” A refund of taxes withheld on capital gains from the disposition of the ADSs which do not qualify as Qualified Participations may also be claimed based on German statutory domestic law.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Withholding Tax Refund for U.S. Treaty Beneficiaries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U.S. treaty beneficiaries are generally eligible for treaty benefits under the Treaty, as described above in “—Taxation of Holders Not Tax Resident in Germany.” Accordingly, U.S. treaty beneficiaries are in general entitled to claim a refund of (i) the portion of the otherwise applicable 26.375%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dividends that exceeds the applicable Treaty rate and (ii) the full amount of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capital gains from the disposition of ADSs. The application for such claim is generally to be filed with the Federal Central Office of Taxation (</w:t>
      </w:r>
      <w:r>
        <w:rPr>
          <w:rFonts w:ascii="Arial" w:cs="Arial" w:eastAsia="Arial" w:hAnsi="Arial"/>
          <w:sz w:val="18"/>
          <w:szCs w:val="18"/>
          <w:i w:val="1"/>
          <w:iCs w:val="1"/>
          <w:color w:val="auto"/>
        </w:rPr>
        <w:t>Bundeszentralamt für Steuern</w:t>
      </w:r>
      <w:r>
        <w:rPr>
          <w:rFonts w:ascii="Arial" w:cs="Arial" w:eastAsia="Arial" w:hAnsi="Arial"/>
          <w:sz w:val="18"/>
          <w:szCs w:val="18"/>
          <w:color w:val="auto"/>
        </w:rPr>
        <w:t>).</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w:t>
      </w:r>
    </w:p>
    <w:p>
      <w:pPr>
        <w:spacing w:after="0" w:line="18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general, as previously discussed, investors should note that it is unclear how the German tax administration will apply the refund process to dividends on the ADSs. 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1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Due to the legal structure of the ADSs, only limited guidance of the German tax authorities exists on the practical application of this procedure with respect to the ADSs.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Holders Tax Resident in Germany</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This subsection provides an overview of dividend taxation and of capital gains taxation with regard to the general principles applicable to ADS’s holders that are tax resident in Germany. A holder is a German tax</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office (Sitz) in Germany.</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ADSs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ADSs as Private Assets (Privatvermögen)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the ADSs are held as private assets by a German tax resident, dividends and capital gains (other than capital gains from the disposition of a Qualified Participation) are taxed as investment income and are principally subject to 25% German flat income tax on capital income (</w:t>
      </w:r>
      <w:r>
        <w:rPr>
          <w:rFonts w:ascii="Arial" w:cs="Arial" w:eastAsia="Arial" w:hAnsi="Arial"/>
          <w:sz w:val="17"/>
          <w:szCs w:val="17"/>
          <w:i w:val="1"/>
          <w:iCs w:val="1"/>
          <w:color w:val="auto"/>
        </w:rPr>
        <w:t>Abgeltungsteuer</w:t>
      </w:r>
      <w:r>
        <w:rPr>
          <w:rFonts w:ascii="Arial" w:cs="Arial" w:eastAsia="Arial" w:hAnsi="Arial"/>
          <w:sz w:val="17"/>
          <w:szCs w:val="17"/>
          <w:color w:val="auto"/>
        </w:rPr>
        <w:t>) (plus a 5.5% solidarity surcharge (</w:t>
      </w:r>
      <w:r>
        <w:rPr>
          <w:rFonts w:ascii="Arial" w:cs="Arial" w:eastAsia="Arial" w:hAnsi="Arial"/>
          <w:sz w:val="17"/>
          <w:szCs w:val="17"/>
          <w:i w:val="1"/>
          <w:iCs w:val="1"/>
          <w:color w:val="auto"/>
        </w:rPr>
        <w:t>Solidaritätszuschlag</w:t>
      </w:r>
      <w:r>
        <w:rPr>
          <w:rFonts w:ascii="Arial" w:cs="Arial" w:eastAsia="Arial" w:hAnsi="Arial"/>
          <w:sz w:val="17"/>
          <w:szCs w:val="17"/>
          <w:color w:val="auto"/>
        </w:rPr>
        <w:t>) thereon, resulting in an aggregate rate of 26.375%), which is levied in the form of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In other words, once deducted, the holder’s income tax liability on the dividends will be settled. Dividend payments to the extent funded from BioNTech’s tax-recognized contribution account (</w:t>
      </w:r>
      <w:r>
        <w:rPr>
          <w:rFonts w:ascii="Arial" w:cs="Arial" w:eastAsia="Arial" w:hAnsi="Arial"/>
          <w:sz w:val="17"/>
          <w:szCs w:val="17"/>
          <w:i w:val="1"/>
          <w:iCs w:val="1"/>
          <w:color w:val="auto"/>
        </w:rPr>
        <w:t>steuerliches Einlagekonto</w:t>
      </w:r>
      <w:r>
        <w:rPr>
          <w:rFonts w:ascii="Arial" w:cs="Arial" w:eastAsia="Arial" w:hAnsi="Arial"/>
          <w:sz w:val="17"/>
          <w:szCs w:val="17"/>
          <w:color w:val="auto"/>
        </w:rPr>
        <w:t>), do not, subject to certain prerequisites, form part of the taxable dividend income but lower the holder’s acquisition costs for the ADSs.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€1,602 for a married couple and a registered civil union (</w:t>
      </w:r>
      <w:r>
        <w:rPr>
          <w:rFonts w:ascii="Arial" w:cs="Arial" w:eastAsia="Arial" w:hAnsi="Arial"/>
          <w:sz w:val="17"/>
          <w:szCs w:val="17"/>
          <w:i w:val="1"/>
          <w:iCs w:val="1"/>
          <w:color w:val="auto"/>
        </w:rPr>
        <w:t>eingetragene Lebenspartnerschaft</w:t>
      </w:r>
      <w:r>
        <w:rPr>
          <w:rFonts w:ascii="Arial" w:cs="Arial" w:eastAsia="Arial" w:hAnsi="Arial"/>
          <w:sz w:val="17"/>
          <w:szCs w:val="17"/>
          <w:color w:val="auto"/>
        </w:rPr>
        <w:t>) filing taxes jointly. The deduction of expenses related to the investment income (including dividends or gains with respect to ADSs) is generally not possible for private investors.</w:t>
      </w:r>
    </w:p>
    <w:p>
      <w:pPr>
        <w:spacing w:after="0" w:line="173"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Losses resulting from the disposal of ADSs can only be offset against capital gains from the sale of any shares (</w:t>
      </w:r>
      <w:r>
        <w:rPr>
          <w:rFonts w:ascii="Arial" w:cs="Arial" w:eastAsia="Arial" w:hAnsi="Arial"/>
          <w:sz w:val="16"/>
          <w:szCs w:val="16"/>
          <w:i w:val="1"/>
          <w:iCs w:val="1"/>
          <w:color w:val="auto"/>
        </w:rPr>
        <w:t>Aktien</w:t>
      </w:r>
      <w:r>
        <w:rPr>
          <w:rFonts w:ascii="Arial" w:cs="Arial" w:eastAsia="Arial" w:hAnsi="Arial"/>
          <w:sz w:val="16"/>
          <w:szCs w:val="16"/>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holder of ADSs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ADSs as Business Assets (Betriebsvermögen)</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case the ADSs are held as business assets, the taxation depends on the legal form of the holder (</w:t>
      </w:r>
      <w:r>
        <w:rPr>
          <w:rFonts w:ascii="Arial" w:cs="Arial" w:eastAsia="Arial" w:hAnsi="Arial"/>
          <w:sz w:val="18"/>
          <w:szCs w:val="18"/>
          <w:i w:val="1"/>
          <w:iCs w:val="1"/>
          <w:color w:val="auto"/>
        </w:rPr>
        <w:t>i.e.</w:t>
      </w:r>
      <w:r>
        <w:rPr>
          <w:rFonts w:ascii="Arial" w:cs="Arial" w:eastAsia="Arial" w:hAnsi="Arial"/>
          <w:sz w:val="18"/>
          <w:szCs w:val="18"/>
          <w:color w:val="auto"/>
        </w:rPr>
        <w:t>, whether the holder is a corporation or an individual).</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220"/>
          </w:cols>
          <w:pgMar w:left="240" w:top="460"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97" w:lineRule="auto"/>
        <w:rPr>
          <w:sz w:val="20"/>
          <w:szCs w:val="20"/>
          <w:color w:val="auto"/>
        </w:rPr>
      </w:pPr>
      <w:r>
        <w:rPr>
          <w:rFonts w:ascii="Arial" w:cs="Arial" w:eastAsia="Arial" w:hAnsi="Arial"/>
          <w:sz w:val="16"/>
          <w:szCs w:val="16"/>
          <w:color w:val="auto"/>
        </w:rPr>
        <w:t>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6"/>
          <w:szCs w:val="16"/>
          <w:i w:val="1"/>
          <w:iCs w:val="1"/>
          <w:color w:val="auto"/>
        </w:rPr>
        <w:t>Zufluss</w:t>
      </w:r>
      <w:r>
        <w:rPr>
          <w:rFonts w:ascii="Arial" w:cs="Arial" w:eastAsia="Arial" w:hAnsi="Arial"/>
          <w:sz w:val="16"/>
          <w:szCs w:val="16"/>
          <w:color w:val="auto"/>
        </w:rPr>
        <w:t>) of the dividends.</w:t>
      </w:r>
    </w:p>
    <w:p>
      <w:pPr>
        <w:spacing w:after="0" w:line="15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Arial" w:cs="Arial" w:eastAsia="Arial" w:hAnsi="Arial"/>
          <w:sz w:val="17"/>
          <w:szCs w:val="17"/>
          <w:i w:val="1"/>
          <w:iCs w:val="1"/>
          <w:color w:val="auto"/>
        </w:rPr>
        <w:t>Grundkapital oder Stammkapital</w:t>
      </w:r>
      <w:r>
        <w:rPr>
          <w:rFonts w:ascii="Arial" w:cs="Arial" w:eastAsia="Arial" w:hAnsi="Arial"/>
          <w:sz w:val="17"/>
          <w:szCs w:val="17"/>
          <w:color w:val="auto"/>
        </w:rPr>
        <w:t>) of BioNTech at the beginning of the calendar year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the respective partner only on a pro rata basis at the ratio of its entitlement to the profits of the partnership.</w:t>
      </w:r>
    </w:p>
    <w:p>
      <w:pPr>
        <w:spacing w:after="0" w:line="182"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Further, capital gains and dividend income of a German tax resident corporation are generally subject to German trade tax. The aforementioned 95% exemption for capital gains generally applies also for trade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However, the amount of any dividends after deducting business expenses related to the dividends is not subject to trade tax if the corporation held at least 15% of BioNTech’s registered share capital at the beginning of the relevant tax assessment period. In the latter case, the aforementioned exemption of 95% of the dividend income also applies for trade tax purposes. Losses from the sale of ADSs are generally not tax deductible for corporate income tax and trade tax purposes.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of ADSs to another person by inheritance or gift should be generally subject to German inheritance and gift tax only if:</w:t>
      </w:r>
    </w:p>
    <w:p>
      <w:pPr>
        <w:spacing w:after="0" w:line="131" w:lineRule="exact"/>
        <w:rPr>
          <w:sz w:val="20"/>
          <w:szCs w:val="20"/>
          <w:color w:val="auto"/>
        </w:rPr>
      </w:pPr>
    </w:p>
    <w:p>
      <w:pPr>
        <w:ind w:left="640" w:right="140" w:hanging="436"/>
        <w:spacing w:after="0" w:line="277" w:lineRule="auto"/>
        <w:tabs>
          <w:tab w:leader="none" w:pos="6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decedent or donor or heir, beneficiary or other transferee (a) maintained his or her domicile or a usual residence in Germany, (b) had its place of management or registered office in Germany at the time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00"/>
          </w:cols>
          <w:pgMar w:left="24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spacing w:after="0" w:line="297" w:lineRule="auto"/>
        <w:rPr>
          <w:sz w:val="20"/>
          <w:szCs w:val="20"/>
          <w:color w:val="auto"/>
        </w:rPr>
      </w:pPr>
      <w:r>
        <w:rPr>
          <w:rFonts w:ascii="Arial" w:cs="Arial" w:eastAsia="Arial" w:hAnsi="Arial"/>
          <w:sz w:val="16"/>
          <w:szCs w:val="16"/>
          <w:color w:val="auto"/>
        </w:rPr>
        <w:t>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64" w:lineRule="exact"/>
        <w:rPr>
          <w:sz w:val="20"/>
          <w:szCs w:val="20"/>
          <w:color w:val="auto"/>
        </w:rPr>
      </w:pPr>
    </w:p>
    <w:p>
      <w:pPr>
        <w:ind w:left="640" w:hanging="436"/>
        <w:spacing w:after="0" w:line="277" w:lineRule="auto"/>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at the time of the transfer, the ADSs are held by the decedent or donor as business assets forming part of a permanent establishment in Germany or for which a permanent representative in Germany has been appointed; or</w:t>
      </w:r>
    </w:p>
    <w:p>
      <w:pPr>
        <w:spacing w:after="0" w:line="75" w:lineRule="exact"/>
        <w:rPr>
          <w:rFonts w:ascii="Arial" w:cs="Arial" w:eastAsia="Arial" w:hAnsi="Arial"/>
          <w:sz w:val="18"/>
          <w:szCs w:val="18"/>
          <w:color w:val="auto"/>
        </w:rPr>
      </w:pPr>
    </w:p>
    <w:p>
      <w:pPr>
        <w:ind w:left="640" w:right="160" w:hanging="436"/>
        <w:spacing w:after="0" w:line="308" w:lineRule="auto"/>
        <w:tabs>
          <w:tab w:leader="none" w:pos="6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hereinafter referred to as the “United States-Germany Inheritance and Gifts Tax Treaty,” provides that the German inheritance tax or gift tax can,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restrictions, only be levied in the cases of (i) and (ii) above. Special provisions apply to certain German citizens living outside of Germany and former German citizens.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No German transfer tax, value-added tax, stamp duty or similar taxes are assessed on the purchase, sale or other transfer of ADSs. Provided that certain requirements are met, an entrepreneur may, however, opt for value-added tax on transactions that are otherwise tax-exempt.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imposed in Germany. Certain member states of the European Union and also Germany on a standalone basis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discussion describes material U.S. federal income tax considerations relating to the acquisition, ownership and disposition of ADSs by a U.S. Holder (as defined below) that acquires our ADSs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discussion, a “U.S. Holder” is a beneficial owner of our ADSs that, for U.S. federal income tax purposes, is:</w:t>
      </w:r>
    </w:p>
    <w:p>
      <w:pPr>
        <w:spacing w:after="0" w:line="131" w:lineRule="exact"/>
        <w:rPr>
          <w:sz w:val="20"/>
          <w:szCs w:val="20"/>
          <w:color w:val="auto"/>
        </w:rPr>
      </w:pPr>
    </w:p>
    <w:p>
      <w:pPr>
        <w:ind w:left="1180" w:hanging="436"/>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domestic corporation (or other entity taxable as a corporation);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have the authority to control all substantial decisions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00"/>
          </w:cols>
          <w:pgMar w:left="240" w:top="460"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trust or (ii) a valid election under the Treasury regulations is in effect for the trust to be treated as a U.S. person.</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w:t>
      </w:r>
    </w:p>
    <w:p>
      <w:pPr>
        <w:spacing w:after="0" w:line="19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ADSs,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general, and taking into account the earlier assumptions, for U.S. federal income and German tax purposes, a holder of ADSs will be treated as the owner of the shares represented by those ADSs. Exchanges of shares for ADSs, and ADSs for shares, generally will not be subject to U.S. federal income or to German tax.</w:t>
      </w:r>
    </w:p>
    <w:p>
      <w:pPr>
        <w:spacing w:after="0" w:line="289"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b w:val="1"/>
          <w:bCs w:val="1"/>
          <w:i w:val="1"/>
          <w:iCs w:val="1"/>
          <w:color w:val="auto"/>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 U.S. Holder must include any German tax withheld from the dividend payment, as described above under “—German Taxation—General Rules for the Taxation of Holders Not Tax Resident in Germany,” in the gross amount of dividend paid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 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To the extent a distribution with respect to ADSs exceeds our current or accumulated earnings and profits, as determined under U.S. federal income tax principles, the distribution will be treated, first, as a tax-free return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00"/>
          </w:cols>
          <w:pgMar w:left="240" w:top="460"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of the U.S. Holder’s investment, up to the holder’s adjusted tax basis in its ADSs, and, thereafter, as capital gain, which is subject to the tax treatment described below in “—Gain on Sale, Exchange or Other Taxable Disposition.”</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generally taxed at preferential rates. The gain or loss generally will be income or loss from sources within the United States for foreign tax credit limitation purposes. A U.S. Holder’s ability to deduct capital losses is subject to limitations.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We do not believe that we should be treated as, and do not expect to become, a PFIC. Because the determination of our PFIC status is made annually based on the factual tests described below, however, we cannot provide any assurances regarding our PFIC status for the current or future taxable years or that the IRS will agree with our conclusion regarding our PFIC status.</w:t>
      </w:r>
    </w:p>
    <w:p>
      <w:pPr>
        <w:spacing w:after="0" w:line="18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If we were classified as a PFIC in any taxable year, a U.S. Holder would be subject to special rules with respect to distributions on and sales, exchanges and other dispositions of the ADSs. We will be treated as a PFIC for any taxable year 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166"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If we were a PFIC with respect to a U.S. Holder, then unless such U.S. Holder makes one of the elections described below, a special tax regime would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w:t>
      </w:r>
    </w:p>
    <w:p>
      <w:pPr>
        <w:ind w:left="200" w:firstLine="4"/>
        <w:spacing w:after="0" w:line="253" w:lineRule="auto"/>
        <w:tabs>
          <w:tab w:leader="none" w:pos="46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gain realized on the sale or other disposition of the ADSs.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302" w:lineRule="auto"/>
        <w:rPr>
          <w:sz w:val="20"/>
          <w:szCs w:val="20"/>
          <w:color w:val="auto"/>
        </w:rPr>
      </w:pPr>
      <w:r>
        <w:rPr>
          <w:rFonts w:ascii="Arial" w:cs="Arial" w:eastAsia="Arial" w:hAnsi="Arial"/>
          <w:sz w:val="16"/>
          <w:szCs w:val="16"/>
          <w:color w:val="auto"/>
        </w:rPr>
        <w:t>the interest charge discussed below), and (c) the interest charge generally applicable to underpayments of tax had been imposed on the taxes deemed to have been payable in those years. If we were determined to be a PFIC, this tax treatment for U.S. Holders would apply also to indirect distributions and gains deemed realized by U.S. Holders in respect of stock of any of our subsidiaries determined to be PFICs. In addition, dividend distributions would not qualify for the lower rates of taxation applicable to long-term capital gains discussed above under “—Taxation of Dividends.”</w:t>
      </w:r>
    </w:p>
    <w:p>
      <w:pPr>
        <w:spacing w:after="0" w:line="154"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 U.S. Holder that holds the ADSs at any time during a taxable year in which we are classified as a PFIC generally will continue to treat such ADSs as ADSs in a PFIC, even if we no longer satisfy the income and asset tests described above, unless the U.S. Holder elects to recognize gain, which will be taxed under the excess distribution rules as if such ADSs had been sold on the last day of the last taxable year for which we were a PFIC.</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Certain elections by a U.S. Holder would alleviate some of the adverse consequences of PFIC status and would result in an alternative treatment of the ADSs, as described below.</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we were a PFIC, the rules above would not apply to a U.S. Holder that makes an election to treat ADSs as stock of a “qualified electing fund” or QEF. However, we do not expect that a U.S. Holder would be able to make this election because we do not intend to provide to U.S. Holders the required information to make a valid QEF election.</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If we were a PFIC, the rules above also would not apply to a U.S. Holder that makes a “mark-to-market” election with respect to the ADSs, but this election will be available with respect to the ADSs only if they meet certain minimum trading requirements to be considered “marketable stock” for purposes of the PFIC rules. Generally, shares of ADSs will be treated as marketable stock if they are “regularly traded” on a “qualified exchange” within the meaning of applicable U.S. Treasury Regulations. ADSs generally will be considered regularly traded during any calendar year during which they are traded, other than 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quantities, on at least 15 days during each calendar quarter. Any trades that have as their principal purpose meeting this requirement will be disregarded. Our ADSs will be marketable stock as long as they remain listed on the Nasdaq Global Select Market and are regularly traded.</w:t>
      </w:r>
    </w:p>
    <w:p>
      <w:pPr>
        <w:spacing w:after="0" w:line="18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 U.S. Holder that makes a valid mark-to-market election for the first tax year in which the holder holds (or is deemed to hold) ADSs and for which we are a PFIC will be required to include each year an amount equal to the excess, if any, of the fair market value of such ADSs the holder owns as of the close of the taxable year over the holder’s adjusted tax basis in such ADSs. The U.S. Holder will be entitled to a deduction for the excess, if any, of the holder’s adjusted tax basis in the ADSs over the fair market value of such ADSs as of the close of the taxable year, but only to the extent of any net mark-to-market gains with respect to such ADSs included by the U.S. Holder under the election for prior taxable years. The U.S. Holder’s basis in such ADSs will be adjusted to reflect the amounts included or deducted pursuant to the election. Amounts included in income pursuant to a mark-to-market election, as well as gain on the sale, exchange or other taxable disposition of such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w:t>
      </w:r>
    </w:p>
    <w:p>
      <w:pPr>
        <w:spacing w:after="0" w:line="18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mark-to-market election applies to the taxable year for which the election is made and all subsequent taxable years, unless the shares cease to be treated as marketable stock for purposes of the PFIC rules or the IRS consents to its revocation. The excess distribution rules described above generally will not apply to a U.S. Holder for tax years for which a mark-to-market election is in effect. However, if we were a PFIC for any year in which the U.S. Holder owns the ADSs but before a mark-to-market election is made, the interest charge rules described above would apply to any mark-to-market gain recognized in the year the election is made.</w:t>
      </w:r>
    </w:p>
    <w:p>
      <w:pPr>
        <w:spacing w:after="0" w:line="18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U.S. Holder of PFIC shares must generally file an annual information return on IRS Form 8621 (Information Return by a Shareholder of a Passive Foreign Investment Company or Qualified Electing Fund).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20"/>
          </w:cols>
          <w:pgMar w:left="240" w:top="460"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failure to file IRS Form 8621 could result in the imposition of penalties and the extension of the statute of limitations with respect to U.S. federal income tax.</w:t>
      </w:r>
    </w:p>
    <w:p>
      <w:pPr>
        <w:spacing w:after="0" w:line="279"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Medicare tax to its income and gains in respect of any investment in ADSs.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Backup withholding is not an additional tax. A U.S. Holder generally may obtain a refund of any amounts withheld under the backup withholding rules that exceed the U.S. Holder’s income tax liability by filing a refund claim with the IRS.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220"/>
          </w:cols>
          <w:pgMar w:left="24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are offering ordinary shares represented by ADSs described in this prospectus through a number of underwriters. J.P. Morgan Securities LLC, BofA Securities, Inc., UBS Securities LLC and SVB Leerink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179"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58"/>
        </w:trPr>
        <w:tc>
          <w:tcPr>
            <w:tcW w:w="6340" w:type="dxa"/>
            <w:vAlign w:val="bottom"/>
            <w:gridSpan w:val="3"/>
            <w:vMerge w:val="continue"/>
          </w:tcPr>
          <w:p>
            <w:pPr>
              <w:spacing w:after="0"/>
              <w:rPr>
                <w:sz w:val="13"/>
                <w:szCs w:val="13"/>
                <w:color w:val="auto"/>
              </w:rPr>
            </w:pPr>
          </w:p>
        </w:tc>
        <w:tc>
          <w:tcPr>
            <w:tcW w:w="11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Bryan, Garnier &amp; Co. Limited</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Berenberg Capital Markets LLC</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WR Securities, LLC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Kempen &amp; Co U.S.A., Inc.</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Mirae Asset Securities (HK) Limited</w:t>
            </w: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12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Mirae Asset Securities (HK) Limited is not registered as a broker-dealer under the Exchange Act and will not engage in any offers or sales of our ADSs within the United States or to U.S. persons except to the extent permitted by Rule 15a-6 under the Exchange Act (and applicable SEC interpretive guidance issued in connection therewith) and other applicable securities laws.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propose to offer the ADSs directly to the public at the initial public offering price set forth on the cover page of this prospectus</w:t>
      </w:r>
    </w:p>
    <w:p>
      <w:pPr>
        <w:spacing w:after="0" w:line="46" w:lineRule="exact"/>
        <w:rPr>
          <w:sz w:val="20"/>
          <w:szCs w:val="20"/>
          <w:color w:val="auto"/>
        </w:rPr>
      </w:pPr>
    </w:p>
    <w:p>
      <w:pPr>
        <w:ind w:left="200"/>
        <w:spacing w:after="0"/>
        <w:tabs>
          <w:tab w:leader="none" w:pos="5600" w:val="left"/>
        </w:tabs>
        <w:rPr>
          <w:sz w:val="20"/>
          <w:szCs w:val="20"/>
          <w:color w:val="auto"/>
        </w:rPr>
      </w:pPr>
      <w:r>
        <w:rPr>
          <w:rFonts w:ascii="Arial" w:cs="Arial" w:eastAsia="Arial" w:hAnsi="Arial"/>
          <w:sz w:val="18"/>
          <w:szCs w:val="18"/>
          <w:color w:val="auto"/>
        </w:rPr>
        <w:t>and to certain dealers at that price less a concession not in excess of $</w:t>
      </w:r>
      <w:r>
        <w:rPr>
          <w:sz w:val="20"/>
          <w:szCs w:val="20"/>
          <w:color w:val="auto"/>
        </w:rPr>
        <w:tab/>
      </w:r>
      <w:r>
        <w:rPr>
          <w:rFonts w:ascii="Arial" w:cs="Arial" w:eastAsia="Arial" w:hAnsi="Arial"/>
          <w:sz w:val="16"/>
          <w:szCs w:val="16"/>
          <w:color w:val="auto"/>
        </w:rPr>
        <w:t>per ADS. Any such dealers may resell ADSs to certain other brokers or</w:t>
      </w:r>
    </w:p>
    <w:p>
      <w:pPr>
        <w:spacing w:after="0" w:line="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dealers at a discount of up to $ per ADS from the initial public offering price. After the initial offering of the ADSs to the public, if all of the ADSs are not sold at the initial public offering price, the underwriters may change the offering price and the other selling terms. Sales of ADSs made outside of the United States may be made by affiliates of the underwriters.</w:t>
      </w:r>
    </w:p>
    <w:p>
      <w:pPr>
        <w:spacing w:after="0" w:line="19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underwriters have an option to buy up to 1,500,000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For reasons of German law, Joh. Berenberg, Gossler &amp; Co. KG will initially subscribe for all of the new ordinary shares represented by the ADSs on behalf of the underwriters, at an issue price of €1.00 per share. This issue price will be credited against the amount due from the underwriters at closing. If the underwriters exercise their option to purchase additional ADSs, unless we satisfy our obligation to sell such additional ADSs on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basis of shares that we hold in treasury, Joh. Berenberg, Gossler &amp; Co. KG will initially subscribe for the new ordinary shares representing such additional ADSs on behalf of the underwriters, at an issue price of €1.00 per share. This issue price will be credited against the amount due from the underwriters at the option closing.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underwriting fee is equal to the public offering price per ADS less the amount paid by the underwriters to us per ADS. The underwriting fee is</w:t>
      </w:r>
    </w:p>
    <w:p>
      <w:pPr>
        <w:spacing w:after="0" w:line="46" w:lineRule="exact"/>
        <w:rPr>
          <w:sz w:val="20"/>
          <w:szCs w:val="20"/>
          <w:color w:val="auto"/>
        </w:rPr>
      </w:pPr>
    </w:p>
    <w:p>
      <w:pPr>
        <w:ind w:left="200" w:right="20" w:firstLine="4"/>
        <w:spacing w:after="0" w:line="261" w:lineRule="auto"/>
        <w:tabs>
          <w:tab w:leader="none" w:pos="69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per ADS. The following table shows the per ADS and total underwriting discounts and commissions to be paid to the underwriters assuming both no exercise and full exercise of the underwriters’ option to purchase additional ADSs.</w:t>
      </w:r>
    </w:p>
    <w:p>
      <w:pPr>
        <w:spacing w:after="0" w:line="19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80" w:type="dxa"/>
            <w:vAlign w:val="bottom"/>
            <w:gridSpan w:val="2"/>
          </w:tcPr>
          <w:p>
            <w:pPr>
              <w:ind w:left="2080"/>
              <w:spacing w:after="0"/>
              <w:rPr>
                <w:sz w:val="20"/>
                <w:szCs w:val="20"/>
                <w:color w:val="auto"/>
              </w:rPr>
            </w:pPr>
            <w:r>
              <w:rPr>
                <w:rFonts w:ascii="Arial" w:cs="Arial" w:eastAsia="Arial" w:hAnsi="Arial"/>
                <w:sz w:val="14"/>
                <w:szCs w:val="14"/>
                <w:b w:val="1"/>
                <w:bCs w:val="1"/>
                <w:color w:val="auto"/>
                <w:w w:val="91"/>
              </w:rPr>
              <w:t>Without exercise of</w:t>
            </w:r>
          </w:p>
        </w:tc>
        <w:tc>
          <w:tcPr>
            <w:tcW w:w="2380" w:type="dxa"/>
            <w:vAlign w:val="bottom"/>
            <w:gridSpan w:val="3"/>
          </w:tcPr>
          <w:p>
            <w:pPr>
              <w:jc w:val="center"/>
              <w:ind w:left="959"/>
              <w:spacing w:after="0"/>
              <w:rPr>
                <w:sz w:val="20"/>
                <w:szCs w:val="20"/>
                <w:color w:val="auto"/>
              </w:rPr>
            </w:pPr>
            <w:r>
              <w:rPr>
                <w:rFonts w:ascii="Arial" w:cs="Arial" w:eastAsia="Arial" w:hAnsi="Arial"/>
                <w:sz w:val="14"/>
                <w:szCs w:val="14"/>
                <w:b w:val="1"/>
                <w:bCs w:val="1"/>
                <w:color w:val="auto"/>
                <w:w w:val="92"/>
              </w:rPr>
              <w:t>With full exercise of</w:t>
            </w: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10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 ADSs</w:t>
            </w:r>
          </w:p>
        </w:tc>
        <w:tc>
          <w:tcPr>
            <w:tcW w:w="1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 ADSs</w:t>
            </w: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0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108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 approximately $4,697,100. We have also agreed to reimburse the underwriters for</w:t>
      </w:r>
    </w:p>
    <w:p>
      <w:pPr>
        <w:ind w:left="200"/>
        <w:spacing w:after="0"/>
        <w:tabs>
          <w:tab w:leader="none" w:pos="4020" w:val="left"/>
        </w:tabs>
        <w:rPr>
          <w:sz w:val="20"/>
          <w:szCs w:val="20"/>
          <w:color w:val="auto"/>
        </w:rPr>
      </w:pPr>
      <w:r>
        <w:rPr>
          <w:rFonts w:ascii="Arial" w:cs="Arial" w:eastAsia="Arial" w:hAnsi="Arial"/>
          <w:sz w:val="18"/>
          <w:szCs w:val="18"/>
          <w:color w:val="auto"/>
        </w:rPr>
        <w:t>certain of their expenses in an amount of up to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expect that delivery of the ADSs will be made against payment therefor the third business day following the pricing of the offering (such settlement being referred to as “T+3”). Under Rule 15c6-1 of the Exchange Act, trades in the secondary market generally are required to settle in two business days, unless the parties to any such trade expressly agree otherwise. Accordingly, purchasers who wish to trade the ADSs prior to the delivery of the depositary shares hereunder will be required, by virtue of the fact that the ADSs initially settle in T+3, to specify an alternate settlement arrangement at the time of any such trade to prevent a failed settlement. Purchasers of the ADSs who wish to trade the ADSs prior to their date of delivery hereunder should consult their advisors.</w:t>
      </w:r>
    </w:p>
    <w:p>
      <w:pPr>
        <w:spacing w:after="0" w:line="19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ordinary shares or ADSs or securities convertible into or exchangeable or exercisable for any of our ordinary shares or ADSs, or publicly disclose the intention to undertake any of the foregoing, or (ii) enter into any swap or other agreement that transfers, in whole or in part, any of the economic consequences of ownership of any ADSs, ordinary shares or any such other securities (regardless of whether any of the transactions described in clause (i) or (ii) above is to be settled by the delivery of ADSs, ordinary shares or such other securities, in cash or otherwise), without the prior written consent of J.P. Morgan Securities LLC and BofA Securities Inc. for a period of 180 days after the date of this prospectus, other than (A) the ADSs to be sold hereunder, (B) any of our ordinary shares or ADSs issued upon the exercise of options granted under our existing share-based compensation plans, (C) the filing by us of any registration statement on Form S-8 or a successor form thereto relating to a company share plan and (D) any ADSs or other securities issued in connection with a transaction with an unaffiliated third party that includes a bona fide commercial relationship (including joint ventures, marketing or distribution arrangements, collaboration agreements or licensing agreements) or any acquisition of assets of not less than a majority or controlling portion of the equity of another entity, provided that the aggregate number of the shares issued pursuant to this clause (D) shall not exceed more than five percent (5%) of the total number of outstanding ordinary shares immediately following the issuance and sale of the ADSs hereunder.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directors and executive officers, and substantially all of our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(including, without limitation, ordinary shares, ADSs, restricted shares, share options or such other securities which may be deemed to be beneficially owned by such directors, executive officers, and shareholders in accordance with the rules and regulations of the SEC and securities which may be issued upon exercise of a stock option or warrant), or publicly disclose the intention to undertake any of the foregoing, (2) enter into any swap or other agreement that transfers, in whole or in part, any of the economic consequences of ownership of the ADSs, ordinary shares or such other securities, whether any such transaction described in clause (1) or (2) above is to be settled by delivery of ADSs, ordinary shares or such other securities, in cash or otherwise, or (3) make any demand for or exercise any right with respect to the registration of any of our ordinary shares or ADSs or any security convertible into or exercisable or exchangeable for ADSs or ordinary shares.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Notwithstanding the foregoing, the terms of the lock-up agreements do not apply to or prohibit, among others, the items described below:</w:t>
      </w:r>
    </w:p>
    <w:p>
      <w:pPr>
        <w:spacing w:after="0" w:line="131" w:lineRule="exact"/>
        <w:rPr>
          <w:sz w:val="20"/>
          <w:szCs w:val="20"/>
          <w:color w:val="auto"/>
        </w:rPr>
      </w:pPr>
    </w:p>
    <w:p>
      <w:pPr>
        <w:ind w:left="1180" w:right="40" w:hanging="436"/>
        <w:spacing w:after="0" w:line="259" w:lineRule="auto"/>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transactions relating to our ordinary shares or ADSs acquired in this initial public offering or open market transactions on or after the date of this prospectus, provided that no filing by any party (donor, donee, transferor or transferee) under the Exchange Act (or the equivalent thereof in non-U.S. jurisdictions) (other than a filing on a Schedule 13F or 13G) or other public announcement shall be required or shall be made voluntarily;</w:t>
      </w:r>
    </w:p>
    <w:p>
      <w:pPr>
        <w:spacing w:after="0" w:line="92"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exercise of a warrant or the exercise of a stock option granted under an existing or future stock incentive plan for our ordinary shares or ADSs through a “cashless” exercise;</w:t>
      </w:r>
    </w:p>
    <w:p>
      <w:pPr>
        <w:spacing w:after="0" w:line="75" w:lineRule="exact"/>
        <w:rPr>
          <w:rFonts w:ascii="Arial" w:cs="Arial" w:eastAsia="Arial" w:hAnsi="Arial"/>
          <w:sz w:val="18"/>
          <w:szCs w:val="18"/>
          <w:color w:val="auto"/>
        </w:rPr>
      </w:pPr>
    </w:p>
    <w:p>
      <w:pPr>
        <w:ind w:left="1180" w:right="20" w:hanging="436"/>
        <w:spacing w:after="0" w:line="255" w:lineRule="auto"/>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transfers or dispositions of our ordinary shares or ADSs in connection with the conversion of any security convertible or exercisable into securities in accordance with their terms (including the settlement of restricted stock units), provided that any such ordinary shares or ADSs received by such party shall be subject to the lock-up restrictions, and provided, further,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was made solely to us in connection with a conversion;</w:t>
      </w:r>
    </w:p>
    <w:p>
      <w:pPr>
        <w:spacing w:after="0" w:line="98" w:lineRule="exact"/>
        <w:rPr>
          <w:rFonts w:ascii="Arial" w:cs="Arial" w:eastAsia="Arial" w:hAnsi="Arial"/>
          <w:sz w:val="18"/>
          <w:szCs w:val="18"/>
          <w:color w:val="auto"/>
        </w:rPr>
      </w:pPr>
    </w:p>
    <w:p>
      <w:pPr>
        <w:ind w:left="1180" w:right="100" w:hanging="436"/>
        <w:spacing w:after="0" w:line="297" w:lineRule="auto"/>
        <w:tabs>
          <w:tab w:leader="none" w:pos="11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transfers or dispositions of our ordinary shares or ADSs pursuant to (i) any outstanding equity award or any current or future employee benefit plan or (ii) any contractual arrangement that provides for the repurchase of the party subject to the lock-up restrictions or a right of first refusal with respect to transfers of such ordinary shares or ADSs, provided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was made solely to us;</w:t>
      </w:r>
    </w:p>
    <w:p>
      <w:pPr>
        <w:spacing w:after="0" w:line="63" w:lineRule="exact"/>
        <w:rPr>
          <w:rFonts w:ascii="Arial" w:cs="Arial" w:eastAsia="Arial" w:hAnsi="Arial"/>
          <w:sz w:val="16"/>
          <w:szCs w:val="16"/>
          <w:color w:val="auto"/>
        </w:rPr>
      </w:pPr>
    </w:p>
    <w:p>
      <w:pPr>
        <w:ind w:left="1180" w:right="20" w:hanging="436"/>
        <w:spacing w:after="0" w:line="259" w:lineRule="auto"/>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ordinary shares or ADSs, provided that (i) such plan does not provide for the transfer of our ordinary shares and ADSs during the lock-up period and (ii) the entry into such plan is not publicly disclosed, included in any filings under the Exchange Act (or the equivalent thereof in non-U.S. jurisdictions) or otherwise, during the lock-up period; and</w:t>
      </w:r>
    </w:p>
    <w:p>
      <w:pPr>
        <w:spacing w:after="0" w:line="92" w:lineRule="exact"/>
        <w:rPr>
          <w:rFonts w:ascii="Arial" w:cs="Arial" w:eastAsia="Arial" w:hAnsi="Arial"/>
          <w:sz w:val="18"/>
          <w:szCs w:val="18"/>
          <w:color w:val="auto"/>
        </w:rPr>
      </w:pPr>
    </w:p>
    <w:p>
      <w:pPr>
        <w:jc w:val="both"/>
        <w:ind w:left="1180" w:right="420" w:hanging="436"/>
        <w:spacing w:after="0" w:line="264" w:lineRule="auto"/>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pursuant to a bona fide third-party tender offer for all our outstanding ordinary shares or ADSs, merger, consolidation or other similar transaction approved by our Supervisory Board and made to all holders of our ordinary shares or ADSs involving a change of control (including, without limitation,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220"/>
          </w:cols>
          <w:pgMar w:left="24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spacing w:after="0" w:line="279" w:lineRule="auto"/>
        <w:rPr>
          <w:sz w:val="20"/>
          <w:szCs w:val="20"/>
          <w:color w:val="auto"/>
        </w:rPr>
      </w:pPr>
      <w:r>
        <w:rPr>
          <w:rFonts w:ascii="Arial" w:cs="Arial" w:eastAsia="Arial" w:hAnsi="Arial"/>
          <w:sz w:val="17"/>
          <w:szCs w:val="17"/>
          <w:color w:val="auto"/>
        </w:rPr>
        <w:t>entering into of any lock-up, voting or similar agreement pursuant to which the party subject to the lock-up restrictions may agree to transfer, sell, tender or otherwise dispose of our ordinary shares or ADSs in connection with such transaction, or vote any ordinary shares or ADSs in favor of any such transaction), provided that in the event that such tender offer, merger, consolidation or other such transaction is not completed, such ordinary shares or ADSs shall remain subject to the lock-up restrictions.</w:t>
      </w:r>
    </w:p>
    <w:p>
      <w:pPr>
        <w:spacing w:after="0" w:line="17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addition, pursuant to the terms of our share options, holders of share options are restricted from exercising such share options for a period of at least one year following our initial public offering without our consent. We have agreed not to waive this restriction for a period of at least 180 days following the date of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have applied to have ADSs representing our ordinary shares approved for listing/quotation on the Nasdaq Global Select Market under the symbol “BNTX.”</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the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w:t>
      </w:r>
    </w:p>
    <w:p>
      <w:pPr>
        <w:spacing w:after="0" w:line="173"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shares as part of this offering to repay the underwriting discount received by them.</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the ADSs 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7" w:lineRule="exact"/>
        <w:rPr>
          <w:sz w:val="20"/>
          <w:szCs w:val="20"/>
          <w:color w:val="auto"/>
        </w:rPr>
      </w:pPr>
    </w:p>
    <w:p>
      <w:pPr>
        <w:ind w:left="5580" w:right="3620" w:hanging="4836"/>
        <w:spacing w:after="0" w:line="449" w:lineRule="auto"/>
        <w:tabs>
          <w:tab w:leader="none" w:pos="117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305</w:t>
      </w:r>
    </w:p>
    <w:p>
      <w:pPr>
        <w:sectPr>
          <w:pgSz w:w="11900" w:h="16838" w:orient="portrait"/>
          <w:cols w:equalWidth="0" w:num="1">
            <w:col w:w="11220"/>
          </w:cols>
          <w:pgMar w:left="24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in the United States for the ADSs, or that the ADSs will trade in the public market at or above the initial public offering price.</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Certain of the underwriters and their affiliates have, in the past, provided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 offer of ordinary shares or ADSs may be made to the public in any member state of the European Economic Area, or an EEA Member State, other than:</w:t>
      </w:r>
    </w:p>
    <w:p>
      <w:pPr>
        <w:spacing w:after="0" w:line="76" w:lineRule="exact"/>
        <w:rPr>
          <w:sz w:val="20"/>
          <w:szCs w:val="20"/>
          <w:color w:val="auto"/>
        </w:rPr>
      </w:pPr>
    </w:p>
    <w:p>
      <w:pPr>
        <w:ind w:left="1620" w:right="60" w:hanging="430"/>
        <w:spacing w:after="0" w:line="264" w:lineRule="auto"/>
        <w:tabs>
          <w:tab w:leader="none" w:pos="16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Regulation (EU) 2017/1129 on the prospectus to be published when securities are offered to the public or admitted to trading on a regulated market and repealing Directive 2003/71/EC, or the Prospectus Regulation;</w:t>
      </w:r>
    </w:p>
    <w:p>
      <w:pPr>
        <w:spacing w:after="0" w:line="86" w:lineRule="exact"/>
        <w:rPr>
          <w:rFonts w:ascii="Arial" w:cs="Arial" w:eastAsia="Arial" w:hAnsi="Arial"/>
          <w:sz w:val="18"/>
          <w:szCs w:val="18"/>
          <w:color w:val="auto"/>
        </w:rPr>
      </w:pPr>
    </w:p>
    <w:p>
      <w:pPr>
        <w:jc w:val="both"/>
        <w:ind w:left="1620" w:right="580" w:hanging="430"/>
        <w:spacing w:after="0" w:line="264" w:lineRule="auto"/>
        <w:tabs>
          <w:tab w:leader="none" w:pos="16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fewer than 150 natural or legal persons per EEA Member State (other than qualified investors as defined in the Prospectus Regulation), as permitted under the Prospectus Regulation, subject to obtaining the prior consent of the representatives of the underwriters for any such offer; or</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provided that no such offer of ordinary shares or ADSs shall require the Company or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Each person in an EEA Member State who initially acquires any ADSs or to whom any offer is made will be deemed to have represented, acknowledged and agreed that it is a “qualified investor” as defined in Article 2(e) of the Prospectus Regulation. In the case of any ADSs being offered to a financial intermediary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20"/>
          </w:cols>
          <w:pgMar w:left="24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that term is used in Article 5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an EEA Member State to qualified investors as so defined or in circumstances in which the prior consent of the representatives has been obtained to each such proposed offer or resale.</w:t>
      </w:r>
    </w:p>
    <w:p>
      <w:pPr>
        <w:spacing w:after="0" w:line="18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This prospectus has been prepared on the basis that any offer of ordinary shares or ADSs in any EEA Member State will be made pursuant to an exemption under the Prospectus Regulation from the requirement to publish a prospectus for offers of securities. Accordingly any person making or intending to make an offer in an EEA Member State of ADSs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ordinary shares or ADSs in circumstances in which an obligation arises for the Company or the underwriters to publish a prospectus for such offer.</w:t>
      </w:r>
    </w:p>
    <w:p>
      <w:pPr>
        <w:spacing w:after="0" w:line="16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For the purpose of the above provisions, the expression “an offer to the public” in relation to any ordinary shares or ADSs in any EEA Member State means a communication to persons in any form and by any means, presenting sufficient information on the terms of the offer and the ordinary shares or ADSs to be offered, so as to enable an investor to decide to purchase or subscribe for the ordinary shares or ADSs, including any placing of ordinary shares or ADSs through financial intermediaries.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120"/>
          </w:cols>
          <w:pgMar w:left="240" w:top="459" w:right="5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this offering, may be publicly distributed or otherwise made publicly available in Switzerland. Neither this document nor any other offering or marketing material relating to this offering, the Company or the ADSs has been or will be filed with or approved by any Swiss regulatory authority. In particular, this document will not be filed with, and the offer of the ADSs will not be supervised by, the Swiss Financial Market Supervisory Authority, or FINMA, and the offer of the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ADSs may not be offered or sold by means of any document other than (i) in circumstances that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that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180"/>
          </w:cols>
          <w:pgMar w:left="240" w:top="460"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180" w:right="80" w:hanging="436"/>
        <w:spacing w:after="0" w:line="308" w:lineRule="auto"/>
        <w:tabs>
          <w:tab w:leader="none" w:pos="118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7" w:lineRule="exact"/>
        <w:rPr>
          <w:sz w:val="20"/>
          <w:szCs w:val="20"/>
          <w:color w:val="auto"/>
        </w:rPr>
      </w:pPr>
    </w:p>
    <w:p>
      <w:pPr>
        <w:ind w:left="1180" w:hanging="436"/>
        <w:spacing w:after="0" w:line="277" w:lineRule="auto"/>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and any offer of the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00"/>
          </w:cols>
          <w:pgMar w:left="24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The following table sets forth the total costs and expenses, other than underwriting discounts and commissions, that we expect to incur in connection with the offer and sale of our ADSs. With the exception of the SEC registration fee and the FINRA filing fee, all of these amounts are estimates: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54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Securities and Exchange Commission registration fee</w:t>
            </w:r>
          </w:p>
        </w:tc>
        <w:tc>
          <w:tcPr>
            <w:tcW w:w="5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295,000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5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4,697,100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20" w:type="dxa"/>
            <w:vAlign w:val="bottom"/>
            <w:vMerge w:val="restart"/>
          </w:tcPr>
          <w:p>
            <w:pPr>
              <w:jc w:val="right"/>
              <w:ind w:right="4310"/>
              <w:spacing w:after="0"/>
              <w:rPr>
                <w:sz w:val="20"/>
                <w:szCs w:val="20"/>
                <w:color w:val="auto"/>
              </w:rPr>
            </w:pPr>
            <w:r>
              <w:rPr>
                <w:rFonts w:ascii="Arial" w:cs="Arial" w:eastAsia="Arial" w:hAnsi="Arial"/>
                <w:sz w:val="18"/>
                <w:szCs w:val="18"/>
                <w:color w:val="auto"/>
              </w:rPr>
              <w:t>310</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validity of the ordinary shares and certain other matters of German law will be passed upon for us by Freshfields Bruckhaus Deringer LLP, Hamburg, Germany. Certain matters of U.S. law will be passed upon for us by Covington &amp; Burling LLP, New York, New York. Legal counsel to the underwriters in connection with the offering are Skadden, Arps, Slate, Meagher &amp; Flom LLP, Frankfurt, Germany with respect to German law and Davis Polk &amp; Wardwell LLP, New York, New York with respect to U.S. law.</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CHANGE IN ACCOUNTANTS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2018, we dismissed Baker Tilly GmbH &amp; Co. KG Wirtschaftsprüfungsgesellschaft, or Baker Tilly, as our independent auditors and retained Ernst &amp; Young GmbH Wirtschaftsprüfungsgesellschaft, or EY, as our independent public accounting firm. Our Supervisory Board approved the decision to change independent auditors. We had no disagreements with Baker Tilly on any matter of accounting principles or practices, financial statements disclosure, or auditing scope of procedures during our two most recent fiscal years prior to our change in independent auditors, which, if not resolved to the satisfaction of Baker Tilly, would have caused them to make reference to the matter in their report.</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consolidated financial statements of BioNTech SE as of December 31, 2018 and 2017 and for each of the years in the two-year period ended December 31, 2018 have been included herein in reliance upon the report of Ernst &amp; Young GmbH Wirtschaftsprüfungsgesellschaft, independent registered public accounting firm, as set forth in their report thereon appearing elsewhere herein, and are included in reliance upon such report given on the authority of said firm as experts in accounting and auditing. The registered business address of Ernst &amp; Young GmbH Wirtschaftsprüfungsgesellschaft is Börsenplatz 1, 50667 Cologne, Germany.</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incorporated and currently existing under European laws and the laws of the Federal Republic of Germany. In addition, all of our directors and officers reside outside of the United States and our assets and those of our non-U.S. subsidiaries are located outside of the United States. As a result, it may not be possible for investors to effect service of process on us or those persons in the United States or to enforce in the United States judgments obtained in U.S. courts against us or those persons based on the civil liability or other provisions of the U.S. securities laws or other laws.</w:t>
      </w:r>
    </w:p>
    <w:p>
      <w:pPr>
        <w:spacing w:after="0" w:line="154"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Awards of punitive damages in actions brought in the United States or elsewhere may be unenforceable in Germany. In addition, actions brought in a German court against BioNTech or the members of our supervisory Board and Management Board, our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78"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20"/>
          </w:cols>
          <w:pgMar w:left="24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may be difficult for a U.S. investor to bring an original action in a German court predicated upon the civil liability provisions of the U.S. federal securities laws against us, certain members of our Management and Supervisory Boards and senior management and the experts named in this 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our company, the members of our Management Board, Supervisory Board, senior management or the experts named in this prospectus based on the civil liability provisions of the U.S. federal securities laws is obtained, a U.S. investor may not be able to enforce it in U.S. or German courts.</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this offering of the ADSs. This prospectus, which constitutes part of the registration statement, does not include all of the information contained in the registration statement and the exhibits, schedules and amendments to the registration statement. For further information with respect to us and our ordinary shares and the ADSs, we refer you to the registration statement and the exhibits and schedules to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 any of these documents as an exhibit to the registration statement, we refer you to the copy of the document that has been filed for a complete description of its terms. Each statement in this prospectus relating to a document filed as an exhibit is qualified in all respects by the filed exhibit.</w:t>
      </w:r>
    </w:p>
    <w:p>
      <w:pPr>
        <w:spacing w:after="0" w:line="17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Upon completion of this offering, we will become subject to the information reporting requirements of the Exchange Act that are applicable to foreign private issuers. Accordingly, we will be required to file reports and other information with the SEC, including annual reports on Form 20-F and reports on Form 6-K. Our filings with the SEC are available to the public through the SEC’s website at http://www.sec.gov.</w:t>
      </w:r>
    </w:p>
    <w:p>
      <w:pPr>
        <w:spacing w:after="0" w:line="166"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54"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We maintain a corporate website at https://www.biontech.de.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00"/>
          </w:cols>
          <w:pgMar w:left="240" w:top="459" w:right="45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90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r>
      <w:tr>
        <w:trPr>
          <w:trHeight w:val="534"/>
        </w:trPr>
        <w:tc>
          <w:tcPr>
            <w:tcW w:w="20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b w:val="1"/>
                <w:bCs w:val="1"/>
                <w:color w:val="auto"/>
              </w:rPr>
              <w:t>Index to Financial Statements</w:t>
            </w:r>
          </w:p>
        </w:tc>
        <w:tc>
          <w:tcPr>
            <w:tcW w:w="9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18">
              <w:r>
                <w:rPr>
                  <w:rFonts w:ascii="Arial" w:cs="Arial" w:eastAsia="Arial" w:hAnsi="Arial"/>
                  <w:sz w:val="18"/>
                  <w:szCs w:val="18"/>
                  <w:b w:val="1"/>
                  <w:bCs w:val="1"/>
                  <w:color w:val="0000EE"/>
                </w:rPr>
                <w:t>Interim condensed consolidated statements of operations for the six months ended June 30, 2019 and 2018</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F-2</w:t>
            </w:r>
          </w:p>
        </w:tc>
      </w:tr>
      <w:tr>
        <w:trPr>
          <w:trHeight w:val="20"/>
        </w:trPr>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w w:val="93"/>
              </w:rPr>
            </w:pPr>
            <w:hyperlink w:anchor="page319">
              <w:r>
                <w:rPr>
                  <w:rFonts w:ascii="Arial" w:cs="Arial" w:eastAsia="Arial" w:hAnsi="Arial"/>
                  <w:sz w:val="18"/>
                  <w:szCs w:val="18"/>
                  <w:b w:val="1"/>
                  <w:bCs w:val="1"/>
                  <w:color w:val="0000EE"/>
                  <w:w w:val="93"/>
                </w:rPr>
                <w:t>Interim condensed consolidated statements of comprehensive income (loss) for the six months ended June 30, 2019 and 2018</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F-3</w:t>
            </w:r>
          </w:p>
        </w:tc>
      </w:tr>
      <w:tr>
        <w:trPr>
          <w:trHeight w:val="304"/>
        </w:trPr>
        <w:tc>
          <w:tcPr>
            <w:tcW w:w="200" w:type="dxa"/>
            <w:vAlign w:val="bottom"/>
          </w:tcPr>
          <w:p>
            <w:pPr>
              <w:spacing w:after="0"/>
              <w:rPr>
                <w:sz w:val="24"/>
                <w:szCs w:val="24"/>
                <w:color w:val="auto"/>
              </w:rPr>
            </w:pPr>
          </w:p>
        </w:tc>
        <w:tc>
          <w:tcPr>
            <w:tcW w:w="820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320">
              <w:r>
                <w:rPr>
                  <w:rFonts w:ascii="Arial" w:cs="Arial" w:eastAsia="Arial" w:hAnsi="Arial"/>
                  <w:sz w:val="18"/>
                  <w:szCs w:val="18"/>
                  <w:b w:val="1"/>
                  <w:bCs w:val="1"/>
                  <w:color w:val="0000EE"/>
                  <w:w w:val="88"/>
                </w:rPr>
                <w:t>Interim condensed consolidated statements of financial position as of June 30, 2019 and December 31, 2018</w:t>
              </w:r>
            </w:hyperlink>
          </w:p>
        </w:tc>
        <w:tc>
          <w:tcPr>
            <w:tcW w:w="13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F-4</w:t>
            </w: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21">
              <w:r>
                <w:rPr>
                  <w:rFonts w:ascii="Arial" w:cs="Arial" w:eastAsia="Arial" w:hAnsi="Arial"/>
                  <w:sz w:val="18"/>
                  <w:szCs w:val="18"/>
                  <w:b w:val="1"/>
                  <w:bCs w:val="1"/>
                  <w:color w:val="0000EE"/>
                </w:rPr>
                <w:t>Interim condensed consolidated statements of changes in equity as of June 30, 2019 and December 31, 2018</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F-5</w:t>
            </w:r>
          </w:p>
        </w:tc>
      </w:tr>
      <w:tr>
        <w:trPr>
          <w:trHeight w:val="304"/>
        </w:trPr>
        <w:tc>
          <w:tcPr>
            <w:tcW w:w="200" w:type="dxa"/>
            <w:vAlign w:val="bottom"/>
          </w:tcPr>
          <w:p>
            <w:pPr>
              <w:spacing w:after="0"/>
              <w:rPr>
                <w:sz w:val="24"/>
                <w:szCs w:val="24"/>
                <w:color w:val="auto"/>
              </w:rPr>
            </w:pPr>
          </w:p>
        </w:tc>
        <w:tc>
          <w:tcPr>
            <w:tcW w:w="812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322">
              <w:r>
                <w:rPr>
                  <w:rFonts w:ascii="Arial" w:cs="Arial" w:eastAsia="Arial" w:hAnsi="Arial"/>
                  <w:sz w:val="18"/>
                  <w:szCs w:val="18"/>
                  <w:b w:val="1"/>
                  <w:bCs w:val="1"/>
                  <w:color w:val="0000EE"/>
                  <w:w w:val="87"/>
                </w:rPr>
                <w:t>Interim condensed consolidated statements of cash flows for the six months ended June 30, 2019 and 2018</w:t>
              </w:r>
            </w:hyperlink>
          </w:p>
        </w:tc>
        <w:tc>
          <w:tcPr>
            <w:tcW w:w="80" w:type="dxa"/>
            <w:vAlign w:val="bottom"/>
            <w:tcBorders>
              <w:top w:val="single" w:sz="8" w:color="0000EE"/>
            </w:tcBorders>
          </w:tcPr>
          <w:p>
            <w:pPr>
              <w:spacing w:after="0"/>
              <w:rPr>
                <w:sz w:val="24"/>
                <w:szCs w:val="24"/>
                <w:color w:val="auto"/>
              </w:rPr>
            </w:pPr>
          </w:p>
        </w:tc>
        <w:tc>
          <w:tcPr>
            <w:tcW w:w="186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F-6</w:t>
            </w:r>
          </w:p>
        </w:tc>
      </w:tr>
      <w:tr>
        <w:trPr>
          <w:trHeight w:val="304"/>
        </w:trPr>
        <w:tc>
          <w:tcPr>
            <w:tcW w:w="200" w:type="dxa"/>
            <w:vAlign w:val="bottom"/>
          </w:tcPr>
          <w:p>
            <w:pPr>
              <w:spacing w:after="0"/>
              <w:rPr>
                <w:sz w:val="24"/>
                <w:szCs w:val="24"/>
                <w:color w:val="auto"/>
              </w:rPr>
            </w:pPr>
          </w:p>
        </w:tc>
        <w:tc>
          <w:tcPr>
            <w:tcW w:w="5740" w:type="dxa"/>
            <w:vAlign w:val="bottom"/>
            <w:tcBorders>
              <w:bottom w:val="single" w:sz="8" w:color="0000EE"/>
            </w:tcBorders>
            <w:gridSpan w:val="4"/>
          </w:tcPr>
          <w:p>
            <w:pPr>
              <w:spacing w:after="0"/>
              <w:rPr>
                <w:rFonts w:ascii="Arial" w:cs="Arial" w:eastAsia="Arial" w:hAnsi="Arial"/>
                <w:sz w:val="18"/>
                <w:szCs w:val="18"/>
                <w:b w:val="1"/>
                <w:bCs w:val="1"/>
                <w:color w:val="0000EE"/>
                <w:w w:val="89"/>
              </w:rPr>
            </w:pPr>
            <w:hyperlink w:anchor="page323">
              <w:r>
                <w:rPr>
                  <w:rFonts w:ascii="Arial" w:cs="Arial" w:eastAsia="Arial" w:hAnsi="Arial"/>
                  <w:sz w:val="18"/>
                  <w:szCs w:val="18"/>
                  <w:b w:val="1"/>
                  <w:bCs w:val="1"/>
                  <w:color w:val="0000EE"/>
                  <w:w w:val="89"/>
                </w:rPr>
                <w:t>Interim condensed explanatory notes to the unaudited financial statements</w:t>
              </w:r>
            </w:hyperlink>
          </w:p>
        </w:tc>
        <w:tc>
          <w:tcPr>
            <w:tcW w:w="43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F-7</w:t>
            </w:r>
          </w:p>
        </w:tc>
      </w:tr>
      <w:tr>
        <w:trPr>
          <w:trHeight w:val="304"/>
        </w:trPr>
        <w:tc>
          <w:tcPr>
            <w:tcW w:w="200" w:type="dxa"/>
            <w:vAlign w:val="bottom"/>
          </w:tcPr>
          <w:p>
            <w:pPr>
              <w:spacing w:after="0"/>
              <w:rPr>
                <w:sz w:val="24"/>
                <w:szCs w:val="24"/>
                <w:color w:val="auto"/>
              </w:rPr>
            </w:pPr>
          </w:p>
        </w:tc>
        <w:tc>
          <w:tcPr>
            <w:tcW w:w="4520" w:type="dxa"/>
            <w:vAlign w:val="bottom"/>
            <w:tcBorders>
              <w:bottom w:val="single" w:sz="8" w:color="0000EE"/>
            </w:tcBorders>
            <w:gridSpan w:val="3"/>
          </w:tcPr>
          <w:p>
            <w:pPr>
              <w:spacing w:after="0"/>
              <w:rPr>
                <w:rFonts w:ascii="Arial" w:cs="Arial" w:eastAsia="Arial" w:hAnsi="Arial"/>
                <w:sz w:val="18"/>
                <w:szCs w:val="18"/>
                <w:b w:val="1"/>
                <w:bCs w:val="1"/>
                <w:color w:val="0000EE"/>
                <w:w w:val="90"/>
              </w:rPr>
            </w:pPr>
            <w:hyperlink w:anchor="page331">
              <w:r>
                <w:rPr>
                  <w:rFonts w:ascii="Arial" w:cs="Arial" w:eastAsia="Arial" w:hAnsi="Arial"/>
                  <w:sz w:val="18"/>
                  <w:szCs w:val="18"/>
                  <w:b w:val="1"/>
                  <w:bCs w:val="1"/>
                  <w:color w:val="0000EE"/>
                  <w:w w:val="90"/>
                </w:rPr>
                <w:t>Report of Independent Registered Public Accounting Firm</w:t>
              </w:r>
            </w:hyperlink>
          </w:p>
        </w:tc>
        <w:tc>
          <w:tcPr>
            <w:tcW w:w="554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F-15</w:t>
            </w: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32">
              <w:r>
                <w:rPr>
                  <w:rFonts w:ascii="Arial" w:cs="Arial" w:eastAsia="Arial" w:hAnsi="Arial"/>
                  <w:sz w:val="18"/>
                  <w:szCs w:val="18"/>
                  <w:b w:val="1"/>
                  <w:bCs w:val="1"/>
                  <w:color w:val="0000EE"/>
                </w:rPr>
                <w:t>Consolidated statements of operations for the years ended December 31, 2018 and 2017</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F-16</w:t>
            </w:r>
          </w:p>
        </w:tc>
      </w:tr>
      <w:tr>
        <w:trPr>
          <w:trHeight w:val="20"/>
        </w:trPr>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33">
              <w:r>
                <w:rPr>
                  <w:rFonts w:ascii="Arial" w:cs="Arial" w:eastAsia="Arial" w:hAnsi="Arial"/>
                  <w:sz w:val="18"/>
                  <w:szCs w:val="18"/>
                  <w:b w:val="1"/>
                  <w:bCs w:val="1"/>
                  <w:color w:val="0000EE"/>
                </w:rPr>
                <w:t>Consolidated statements of comprehensive income (loss) for the years ended December 31, 2018 and 2017</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F-17</w:t>
            </w:r>
          </w:p>
        </w:tc>
      </w:tr>
      <w:tr>
        <w:trPr>
          <w:trHeight w:val="304"/>
        </w:trPr>
        <w:tc>
          <w:tcPr>
            <w:tcW w:w="200" w:type="dxa"/>
            <w:vAlign w:val="bottom"/>
          </w:tcPr>
          <w:p>
            <w:pPr>
              <w:spacing w:after="0"/>
              <w:rPr>
                <w:sz w:val="24"/>
                <w:szCs w:val="24"/>
                <w:color w:val="auto"/>
              </w:rPr>
            </w:pPr>
          </w:p>
        </w:tc>
        <w:tc>
          <w:tcPr>
            <w:tcW w:w="58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334">
              <w:r>
                <w:rPr>
                  <w:rFonts w:ascii="Arial" w:cs="Arial" w:eastAsia="Arial" w:hAnsi="Arial"/>
                  <w:sz w:val="18"/>
                  <w:szCs w:val="18"/>
                  <w:b w:val="1"/>
                  <w:bCs w:val="1"/>
                  <w:color w:val="0000EE"/>
                  <w:w w:val="88"/>
                </w:rPr>
                <w:t>Consolidated statements of financial position at December 31, 2018 and 2017</w:t>
              </w:r>
            </w:hyperlink>
          </w:p>
        </w:tc>
        <w:tc>
          <w:tcPr>
            <w:tcW w:w="2180" w:type="dxa"/>
            <w:vAlign w:val="bottom"/>
            <w:tcBorders>
              <w:top w:val="single" w:sz="8" w:color="0000EE"/>
            </w:tcBorders>
            <w:gridSpan w:val="3"/>
          </w:tcPr>
          <w:p>
            <w:pPr>
              <w:spacing w:after="0"/>
              <w:rPr>
                <w:sz w:val="24"/>
                <w:szCs w:val="24"/>
                <w:color w:val="auto"/>
              </w:rPr>
            </w:pPr>
          </w:p>
        </w:tc>
        <w:tc>
          <w:tcPr>
            <w:tcW w:w="200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F-18</w:t>
            </w: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35">
              <w:r>
                <w:rPr>
                  <w:rFonts w:ascii="Arial" w:cs="Arial" w:eastAsia="Arial" w:hAnsi="Arial"/>
                  <w:sz w:val="18"/>
                  <w:szCs w:val="18"/>
                  <w:b w:val="1"/>
                  <w:bCs w:val="1"/>
                  <w:color w:val="0000EE"/>
                </w:rPr>
                <w:t>Consolidated statements of changes in equity for the years ended December 31, 2018 and 2017</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F-19</w:t>
            </w:r>
          </w:p>
        </w:tc>
      </w:tr>
      <w:tr>
        <w:trPr>
          <w:trHeight w:val="304"/>
        </w:trPr>
        <w:tc>
          <w:tcPr>
            <w:tcW w:w="200" w:type="dxa"/>
            <w:vAlign w:val="bottom"/>
          </w:tcPr>
          <w:p>
            <w:pPr>
              <w:spacing w:after="0"/>
              <w:rPr>
                <w:sz w:val="24"/>
                <w:szCs w:val="24"/>
                <w:color w:val="auto"/>
              </w:rPr>
            </w:pPr>
          </w:p>
        </w:tc>
        <w:tc>
          <w:tcPr>
            <w:tcW w:w="7200" w:type="dxa"/>
            <w:vAlign w:val="bottom"/>
            <w:tcBorders>
              <w:top w:val="single" w:sz="8" w:color="0000EE"/>
            </w:tcBorders>
            <w:gridSpan w:val="7"/>
          </w:tcPr>
          <w:p>
            <w:pPr>
              <w:spacing w:after="0"/>
              <w:rPr>
                <w:rFonts w:ascii="Arial" w:cs="Arial" w:eastAsia="Arial" w:hAnsi="Arial"/>
                <w:sz w:val="18"/>
                <w:szCs w:val="18"/>
                <w:b w:val="1"/>
                <w:bCs w:val="1"/>
                <w:color w:val="0000EE"/>
                <w:w w:val="95"/>
              </w:rPr>
            </w:pPr>
            <w:hyperlink w:anchor="page336">
              <w:r>
                <w:rPr>
                  <w:rFonts w:ascii="Arial" w:cs="Arial" w:eastAsia="Arial" w:hAnsi="Arial"/>
                  <w:sz w:val="18"/>
                  <w:szCs w:val="18"/>
                  <w:b w:val="1"/>
                  <w:bCs w:val="1"/>
                  <w:color w:val="0000EE"/>
                  <w:w w:val="95"/>
                </w:rPr>
                <w:t>Consolidated statements of cash flows for the years ended December 31, 2018 and 2017</w:t>
              </w:r>
            </w:hyperlink>
          </w:p>
        </w:tc>
        <w:tc>
          <w:tcPr>
            <w:tcW w:w="286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F-20</w:t>
            </w:r>
          </w:p>
        </w:tc>
      </w:tr>
      <w:tr>
        <w:trPr>
          <w:trHeight w:val="304"/>
        </w:trPr>
        <w:tc>
          <w:tcPr>
            <w:tcW w:w="200" w:type="dxa"/>
            <w:vAlign w:val="bottom"/>
          </w:tcPr>
          <w:p>
            <w:pPr>
              <w:spacing w:after="0"/>
              <w:rPr>
                <w:sz w:val="24"/>
                <w:szCs w:val="24"/>
                <w:color w:val="auto"/>
              </w:rPr>
            </w:pPr>
          </w:p>
        </w:tc>
        <w:tc>
          <w:tcPr>
            <w:tcW w:w="66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37">
              <w:r>
                <w:rPr>
                  <w:rFonts w:ascii="Arial" w:cs="Arial" w:eastAsia="Arial" w:hAnsi="Arial"/>
                  <w:sz w:val="18"/>
                  <w:szCs w:val="18"/>
                  <w:b w:val="1"/>
                  <w:bCs w:val="1"/>
                  <w:color w:val="0000EE"/>
                </w:rPr>
                <w:t>Notes to the financial statements</w:t>
              </w:r>
            </w:hyperlink>
          </w:p>
        </w:tc>
        <w:tc>
          <w:tcPr>
            <w:tcW w:w="33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F-21</w:t>
            </w: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5540" w:type="dxa"/>
            <w:vAlign w:val="bottom"/>
            <w:gridSpan w:val="9"/>
          </w:tcPr>
          <w:p>
            <w:pPr>
              <w:ind w:left="860"/>
              <w:spacing w:after="0"/>
              <w:rPr>
                <w:sz w:val="20"/>
                <w:szCs w:val="20"/>
                <w:color w:val="auto"/>
              </w:rPr>
            </w:pPr>
            <w:r>
              <w:rPr>
                <w:rFonts w:ascii="Arial" w:cs="Arial" w:eastAsia="Arial" w:hAnsi="Arial"/>
                <w:sz w:val="18"/>
                <w:szCs w:val="18"/>
                <w:color w:val="auto"/>
              </w:rPr>
              <w:t>F-1</w:t>
            </w:r>
          </w:p>
        </w:tc>
        <w:tc>
          <w:tcPr>
            <w:tcW w:w="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7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left="373"/>
              <w:spacing w:after="0" w:line="142" w:lineRule="exact"/>
              <w:rPr>
                <w:sz w:val="20"/>
                <w:szCs w:val="20"/>
                <w:color w:val="auto"/>
              </w:rPr>
            </w:pPr>
            <w:r>
              <w:rPr>
                <w:rFonts w:ascii="Arial" w:cs="Arial" w:eastAsia="Arial" w:hAnsi="Arial"/>
                <w:sz w:val="14"/>
                <w:szCs w:val="14"/>
                <w:i w:val="1"/>
                <w:iCs w:val="1"/>
                <w:color w:val="auto"/>
                <w:w w:val="95"/>
              </w:rPr>
              <w:t>(unaudited)</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(110,643)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(58,454)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(23,899)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(91,702)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(29,831)</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(90,827</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(23,300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(90,846</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(23,310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(90,730)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(90,846</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(23,310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Basic &amp; diluted, loss for the period attributable to ordinary equity holders of the parent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Comprehensive Income (loss)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gridSpan w:val="2"/>
            <w:vMerge w:val="restart"/>
          </w:tcPr>
          <w:p>
            <w:pPr>
              <w:ind w:left="8480"/>
              <w:spacing w:after="0"/>
              <w:rPr>
                <w:sz w:val="20"/>
                <w:szCs w:val="20"/>
                <w:color w:val="auto"/>
              </w:rPr>
            </w:pPr>
            <w:r>
              <w:rPr>
                <w:rFonts w:ascii="Arial" w:cs="Arial" w:eastAsia="Arial" w:hAnsi="Arial"/>
                <w:sz w:val="14"/>
                <w:szCs w:val="14"/>
                <w:b w:val="1"/>
                <w:bCs w:val="1"/>
                <w:color w:val="auto"/>
                <w:w w:val="89"/>
              </w:rPr>
              <w:t>Note</w:t>
            </w:r>
          </w:p>
        </w:tc>
        <w:tc>
          <w:tcPr>
            <w:tcW w:w="36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(90,846)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(23,310)</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that may be reclassified to profit or loss in subsequent periods (net of tax)</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other comprehensive income that may be reclassified to profit or loss in subsequent periods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 for the period, net of tax</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period, net of tax</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(90,840)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(23,305)</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(90,724)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period, net of tax</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(90,840)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financial position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As 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800" w:type="dxa"/>
            <w:vAlign w:val="bottom"/>
            <w:gridSpan w:val="3"/>
            <w:vMerge w:val="restart"/>
          </w:tcPr>
          <w:p>
            <w:pPr>
              <w:ind w:left="214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020" w:type="dxa"/>
            <w:vAlign w:val="bottom"/>
            <w:gridSpan w:val="3"/>
            <w:vMerge w:val="continue"/>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10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i w:val="1"/>
                <w:i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8</w:t>
            </w:r>
          </w:p>
        </w:tc>
        <w:tc>
          <w:tcPr>
            <w:tcW w:w="3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94,992</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440" w:type="dxa"/>
            <w:vAlign w:val="bottom"/>
            <w:gridSpan w:val="2"/>
            <w:shd w:val="clear" w:color="auto" w:fill="CCEEFF"/>
          </w:tcPr>
          <w:p>
            <w:pPr>
              <w:jc w:val="center"/>
              <w:ind w:left="2111"/>
              <w:spacing w:after="0"/>
              <w:rPr>
                <w:sz w:val="20"/>
                <w:szCs w:val="20"/>
                <w:color w:val="auto"/>
              </w:rPr>
            </w:pPr>
            <w:r>
              <w:rPr>
                <w:rFonts w:ascii="Arial" w:cs="Arial" w:eastAsia="Arial" w:hAnsi="Arial"/>
                <w:sz w:val="18"/>
                <w:szCs w:val="18"/>
                <w:color w:val="auto"/>
                <w:w w:val="79"/>
              </w:rPr>
              <w:t>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financial assets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218,047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440" w:type="dxa"/>
            <w:vAlign w:val="bottom"/>
            <w:gridSpan w:val="2"/>
            <w:shd w:val="clear" w:color="auto" w:fill="CCEEFF"/>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504,322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722,369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2440" w:type="dxa"/>
            <w:vAlign w:val="bottom"/>
            <w:gridSpan w:val="2"/>
          </w:tcPr>
          <w:p>
            <w:pPr>
              <w:jc w:val="center"/>
              <w:ind w:left="2091"/>
              <w:spacing w:after="0"/>
              <w:rPr>
                <w:sz w:val="20"/>
                <w:szCs w:val="20"/>
                <w:color w:val="auto"/>
              </w:rPr>
            </w:pPr>
            <w:r>
              <w:rPr>
                <w:rFonts w:ascii="Arial" w:cs="Arial" w:eastAsia="Arial" w:hAnsi="Arial"/>
                <w:sz w:val="18"/>
                <w:szCs w:val="18"/>
                <w:color w:val="auto"/>
                <w:w w:val="89"/>
              </w:rPr>
              <w:t>10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212,749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2440" w:type="dxa"/>
            <w:vAlign w:val="bottom"/>
            <w:gridSpan w:val="2"/>
            <w:shd w:val="clear" w:color="auto" w:fill="CCEEFF"/>
          </w:tcPr>
          <w:p>
            <w:pPr>
              <w:jc w:val="center"/>
              <w:ind w:left="2091"/>
              <w:spacing w:after="0"/>
              <w:rPr>
                <w:sz w:val="20"/>
                <w:szCs w:val="20"/>
                <w:color w:val="auto"/>
              </w:rPr>
            </w:pPr>
            <w:r>
              <w:rPr>
                <w:rFonts w:ascii="Arial" w:cs="Arial" w:eastAsia="Arial" w:hAnsi="Arial"/>
                <w:sz w:val="18"/>
                <w:szCs w:val="18"/>
                <w:color w:val="auto"/>
                <w:w w:val="89"/>
              </w:rPr>
              <w:t>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(336,501)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(25,487)</w:t>
            </w: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384,490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Non-controllng interest</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384,490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liabilities</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259,865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Tax provisions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337,879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b w:val="1"/>
                <w:bCs w:val="1"/>
                <w:color w:val="auto"/>
              </w:rPr>
              <w:t>Total equity and liabilities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722,369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changes in equity</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60" w:type="dxa"/>
            <w:vAlign w:val="bottom"/>
            <w:gridSpan w:val="14"/>
          </w:tcPr>
          <w:p>
            <w:pPr>
              <w:ind w:left="46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Issued</w:t>
            </w: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reserve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6"/>
              </w:rPr>
              <w:t>reserves</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6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at January 1, 2019</w:t>
            </w:r>
          </w:p>
        </w:tc>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193,296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344,115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(245,771)</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(25,474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266,153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6"/>
                <w:szCs w:val="16"/>
                <w:b w:val="1"/>
                <w:bCs w:val="1"/>
                <w:color w:val="auto"/>
                <w:w w:val="82"/>
              </w:rPr>
              <w:t>847</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267,000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Loss for the period</w:t>
            </w: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(90,730)</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0"/>
              </w:rPr>
              <w:t>(90,730)</w:t>
            </w:r>
          </w:p>
        </w:tc>
        <w:tc>
          <w:tcPr>
            <w:tcW w:w="12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(116)</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3"/>
              </w:rPr>
              <w:t>(90,846)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(90,730)</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(90,724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(90,840</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Issuance of share capital</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5,088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(5,078)</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Capital increase Series B</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11,990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178,845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190,835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190,835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Acquisition of non-controlling interest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2,375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(1,644)</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731</w:t>
            </w:r>
          </w:p>
        </w:tc>
        <w:tc>
          <w:tcPr>
            <w:tcW w:w="12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(731)</w:t>
            </w:r>
          </w:p>
        </w:tc>
        <w:tc>
          <w:tcPr>
            <w:tcW w:w="6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Share-based payments</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At June 30, 2019 </w:t>
            </w:r>
            <w:r>
              <w:rPr>
                <w:rFonts w:ascii="Arial" w:cs="Arial" w:eastAsia="Arial" w:hAnsi="Arial"/>
                <w:sz w:val="16"/>
                <w:szCs w:val="16"/>
                <w:i w:val="1"/>
                <w:iCs w:val="1"/>
                <w:color w:val="auto"/>
              </w:rPr>
              <w:t>(unaudited)</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212,749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515,737</w:t>
            </w: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(336,501)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(7,488)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384,490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384,490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14"/>
          </w:tcPr>
          <w:p>
            <w:pPr>
              <w:ind w:left="48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Issued</w:t>
            </w:r>
          </w:p>
        </w:tc>
        <w:tc>
          <w:tcPr>
            <w:tcW w:w="4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reserve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6"/>
              </w:rPr>
              <w:t>reserves</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6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at January 1, 2018</w:t>
            </w:r>
          </w:p>
        </w:tc>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166,764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8,922</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(197,753)</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(27,206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(49,296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1,090</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(48,206</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Loss for the period</w:t>
            </w: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(23,235)</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0"/>
              </w:rPr>
              <w:t>(23,235)</w:t>
            </w:r>
          </w:p>
        </w:tc>
        <w:tc>
          <w:tcPr>
            <w:tcW w:w="12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(75)</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3"/>
              </w:rPr>
              <w:t>(23,310)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(23,235)</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(23,230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(23,305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 capital Series A</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22,588</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206,216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228,804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228,804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Settlement of share-based payment plan</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(5,909)</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(5,909)</w:t>
            </w:r>
          </w:p>
        </w:tc>
        <w:tc>
          <w:tcPr>
            <w:tcW w:w="8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(5,909)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At June 30, 2018 </w:t>
            </w:r>
            <w:r>
              <w:rPr>
                <w:rFonts w:ascii="Arial" w:cs="Arial" w:eastAsia="Arial" w:hAnsi="Arial"/>
                <w:sz w:val="16"/>
                <w:szCs w:val="16"/>
                <w:i w:val="1"/>
                <w:iCs w:val="1"/>
                <w:color w:val="auto"/>
              </w:rPr>
              <w:t>(unaudited)</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189,352</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215,138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(220,988)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(33,115)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150,369</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1,015</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151,384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Six months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4"/>
          </w:tcPr>
          <w:p>
            <w:pPr>
              <w:jc w:val="right"/>
              <w:ind w:right="510"/>
              <w:spacing w:after="0" w:line="142" w:lineRule="exact"/>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(90,846)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(90,827</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(23,300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equipment and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15,595</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Net foreign exchange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(Gain)/Loss on disposal of property, plant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an associate and a joint venture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trade receivable and contract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Decrease/(Increase) in 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trade and other payables and provisions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received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Income tax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(85,689)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(69,677)</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intangibles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Acquisition of subsidiaries and businesses, net of cash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(45,766)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(39,521)</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 capital, net of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227,736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(126,536)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411,495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30 June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284,890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293,310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explanatory notes to the financial statements</w:t>
      </w:r>
    </w:p>
    <w:p>
      <w:pPr>
        <w:spacing w:after="0" w:line="131" w:lineRule="exact"/>
        <w:rPr>
          <w:sz w:val="20"/>
          <w:szCs w:val="20"/>
          <w:color w:val="auto"/>
        </w:rPr>
      </w:pPr>
    </w:p>
    <w:p>
      <w:pPr>
        <w:ind w:left="980" w:hanging="776"/>
        <w:spacing w:after="0"/>
        <w:tabs>
          <w:tab w:leader="none" w:pos="98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BioNTech SE is a limited company incorporated and domiciled in Germany. Its shares are not publicly traded. The registered office is located in Mainz, An der Goldgrube 12, 55131 Germany. The accompanying International Financial Reporting Standards (IFRS) interim condensed consolidated financial statements present the financial position and the results of operation of BioNTech SE and its subsidiaries, hereinafter also referred to as “BioNTech” or “Group”.</w:t>
      </w:r>
    </w:p>
    <w:p>
      <w:pPr>
        <w:spacing w:after="0" w:line="18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Effective March 8, 2019, BioNTech AG changed its name and legal form to BioNTech SE. The Group is principally engaged in developing innovative immunotherapies for the individualized treatment of cancer and other diseases.</w:t>
      </w:r>
    </w:p>
    <w:p>
      <w:pPr>
        <w:spacing w:after="0" w:line="17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During the six months ended June 30, 2019, two new entities have been founded in the United States: BioNTech USA Holding, LLC and BioNTech Research &amp; Development, Inc. Both are wholly owned subsidiaries of BioNTech SE.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interim condensed consolidated financial statements the Group as of and for the six months ended June 30, 2019 were authorized for issue in accordance with a resolution of the directors on August 29, 2019.</w:t>
      </w:r>
    </w:p>
    <w:p>
      <w:pPr>
        <w:spacing w:after="0" w:line="315" w:lineRule="exact"/>
        <w:rPr>
          <w:sz w:val="20"/>
          <w:szCs w:val="20"/>
          <w:color w:val="auto"/>
        </w:rPr>
      </w:pPr>
    </w:p>
    <w:p>
      <w:pPr>
        <w:ind w:left="200" w:right="7840" w:firstLine="4"/>
        <w:spacing w:after="0" w:line="378" w:lineRule="auto"/>
        <w:tabs>
          <w:tab w:leader="none" w:pos="97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preparation</w:t>
      </w:r>
    </w:p>
    <w:p>
      <w:pPr>
        <w:ind w:left="200" w:firstLine="441"/>
        <w:spacing w:after="0" w:line="277" w:lineRule="auto"/>
        <w:rPr>
          <w:sz w:val="20"/>
          <w:szCs w:val="20"/>
          <w:color w:val="auto"/>
        </w:rPr>
      </w:pPr>
      <w:r>
        <w:rPr>
          <w:rFonts w:ascii="Arial" w:cs="Arial" w:eastAsia="Arial" w:hAnsi="Arial"/>
          <w:sz w:val="18"/>
          <w:szCs w:val="18"/>
          <w:color w:val="auto"/>
        </w:rPr>
        <w:t>The interim condensed consolidated financial statements as of and for the six months ended June 30, 2019 have been prepared in accordance with IAS 34 Interim Financial Reporting.</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consolidated financial statements, and should be read in conjunction with the Group’s consolidated financial statements as at December 31, 2018 and 2017 and for the years then ended.</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BioNTech prepares and presents its consolidated financial statements in Euros. Unless otherwise stated, the numbers are rounded to thousands of Euros.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Group’s consolidated financial statements for the year ended December 31, 2018. The new and amended standards and interpretations applied for the first time as of January 1, 2019, as disclosed in the notes to the consolidated financial statements as of December 31, 2018, had no impact on the interim condensed consolidated financial statements of the Group as of June 30, 2019.</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240" w:top="459" w:right="5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80" w:hanging="776"/>
        <w:spacing w:after="0"/>
        <w:tabs>
          <w:tab w:leader="none" w:pos="9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following tables present revenue and operating results for the Group’s operating segments consistent with the presentation in the notes to the consolidated financial statements as of December 31, 2018 for the six months ended June 30, 2019 and 2018, respectively:</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Biotech Business Unit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ind w:left="40"/>
              <w:spacing w:after="0"/>
              <w:rPr>
                <w:sz w:val="20"/>
                <w:szCs w:val="20"/>
                <w:color w:val="auto"/>
              </w:rPr>
            </w:pPr>
            <w:r>
              <w:rPr>
                <w:rFonts w:ascii="Arial" w:cs="Arial" w:eastAsia="Arial" w:hAnsi="Arial"/>
                <w:sz w:val="14"/>
                <w:szCs w:val="14"/>
                <w:b w:val="1"/>
                <w:bCs w:val="1"/>
                <w:color w:val="auto"/>
              </w:rPr>
              <w:t>External Services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Business Unit</w:t>
            </w:r>
          </w:p>
        </w:tc>
        <w:tc>
          <w:tcPr>
            <w:tcW w:w="2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0"/>
                <w:szCs w:val="10"/>
                <w:color w:val="auto"/>
              </w:rPr>
            </w:pPr>
          </w:p>
        </w:tc>
        <w:tc>
          <w:tcPr>
            <w:tcW w:w="760" w:type="dxa"/>
            <w:vAlign w:val="bottom"/>
            <w:gridSpan w:val="5"/>
            <w:vMerge w:val="restart"/>
          </w:tcPr>
          <w:p>
            <w:pPr>
              <w:jc w:val="right"/>
              <w:ind w:right="219"/>
              <w:spacing w:after="0"/>
              <w:rPr>
                <w:sz w:val="20"/>
                <w:szCs w:val="20"/>
                <w:color w:val="auto"/>
              </w:rPr>
            </w:pPr>
            <w:r>
              <w:rPr>
                <w:rFonts w:ascii="Arial" w:cs="Arial" w:eastAsia="Arial" w:hAnsi="Arial"/>
                <w:sz w:val="14"/>
                <w:szCs w:val="14"/>
                <w:b w:val="1"/>
                <w:bCs w:val="1"/>
                <w:color w:val="auto"/>
                <w:w w:val="96"/>
              </w:rPr>
              <w:t>Clinical</w:t>
            </w:r>
          </w:p>
        </w:tc>
        <w:tc>
          <w:tcPr>
            <w:tcW w:w="960" w:type="dxa"/>
            <w:vAlign w:val="bottom"/>
            <w:gridSpan w:val="6"/>
          </w:tcPr>
          <w:p>
            <w:pPr>
              <w:jc w:val="right"/>
              <w:ind w:right="179"/>
              <w:spacing w:after="0" w:line="119" w:lineRule="exact"/>
              <w:rPr>
                <w:sz w:val="20"/>
                <w:szCs w:val="20"/>
                <w:color w:val="auto"/>
              </w:rPr>
            </w:pPr>
            <w:r>
              <w:rPr>
                <w:rFonts w:ascii="Arial" w:cs="Arial" w:eastAsia="Arial" w:hAnsi="Arial"/>
                <w:sz w:val="13"/>
                <w:szCs w:val="13"/>
                <w:b w:val="1"/>
                <w:bCs w:val="1"/>
                <w:color w:val="auto"/>
                <w:w w:val="98"/>
              </w:rPr>
              <w:t>Technology</w:t>
            </w:r>
          </w:p>
        </w:tc>
        <w:tc>
          <w:tcPr>
            <w:tcW w:w="1220" w:type="dxa"/>
            <w:vAlign w:val="bottom"/>
            <w:gridSpan w:val="6"/>
            <w:vMerge w:val="restart"/>
          </w:tcPr>
          <w:p>
            <w:pPr>
              <w:jc w:val="right"/>
              <w:ind w:right="240"/>
              <w:spacing w:after="0"/>
              <w:rPr>
                <w:sz w:val="20"/>
                <w:szCs w:val="20"/>
                <w:color w:val="auto"/>
              </w:rPr>
            </w:pPr>
            <w:r>
              <w:rPr>
                <w:rFonts w:ascii="Arial" w:cs="Arial" w:eastAsia="Arial" w:hAnsi="Arial"/>
                <w:sz w:val="14"/>
                <w:szCs w:val="14"/>
                <w:b w:val="1"/>
                <w:bCs w:val="1"/>
                <w:color w:val="auto"/>
                <w:w w:val="99"/>
              </w:rPr>
              <w:t>Manufacturing</w:t>
            </w:r>
          </w:p>
        </w:tc>
        <w:tc>
          <w:tcPr>
            <w:tcW w:w="60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6"/>
              </w:rPr>
              <w:t>Business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External Services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w w:val="99"/>
              </w:rPr>
              <w:t>Group</w:t>
            </w: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5"/>
          </w:tcPr>
          <w:p>
            <w:pPr>
              <w:jc w:val="right"/>
              <w:ind w:right="259"/>
              <w:spacing w:after="0" w:line="158" w:lineRule="exact"/>
              <w:rPr>
                <w:sz w:val="20"/>
                <w:szCs w:val="20"/>
                <w:color w:val="auto"/>
              </w:rPr>
            </w:pPr>
            <w:r>
              <w:rPr>
                <w:rFonts w:ascii="Arial" w:cs="Arial" w:eastAsia="Arial" w:hAnsi="Arial"/>
                <w:sz w:val="14"/>
                <w:szCs w:val="14"/>
                <w:b w:val="1"/>
                <w:bCs w:val="1"/>
                <w:color w:val="auto"/>
              </w:rPr>
              <w:t>Platform</w:t>
            </w:r>
          </w:p>
        </w:tc>
        <w:tc>
          <w:tcPr>
            <w:tcW w:w="122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jc w:val="right"/>
              <w:ind w:right="239"/>
              <w:spacing w:after="0" w:line="158" w:lineRule="exact"/>
              <w:rPr>
                <w:sz w:val="20"/>
                <w:szCs w:val="20"/>
                <w:color w:val="auto"/>
              </w:rPr>
            </w:pPr>
            <w:r>
              <w:rPr>
                <w:rFonts w:ascii="Arial" w:cs="Arial" w:eastAsia="Arial" w:hAnsi="Arial"/>
                <w:sz w:val="14"/>
                <w:szCs w:val="14"/>
                <w:b w:val="1"/>
                <w:bCs w:val="1"/>
                <w:color w:val="auto"/>
                <w:w w:val="92"/>
              </w:rPr>
              <w:t>Service</w:t>
            </w:r>
          </w:p>
        </w:tc>
        <w:tc>
          <w:tcPr>
            <w:tcW w:w="134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10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Six months ended June 30, 2019</w:t>
            </w: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Collaboration Revenues</w:t>
            </w:r>
          </w:p>
        </w:tc>
        <w:tc>
          <w:tcPr>
            <w:tcW w:w="1120" w:type="dxa"/>
            <w:vAlign w:val="bottom"/>
            <w:gridSpan w:val="6"/>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€ 18,431</w:t>
            </w:r>
          </w:p>
        </w:tc>
        <w:tc>
          <w:tcPr>
            <w:tcW w:w="240" w:type="dxa"/>
            <w:vAlign w:val="bottom"/>
            <w:gridSpan w:val="3"/>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Revenues from other sales transactions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w w:val="85"/>
              </w:rPr>
              <w:t>463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(8,603)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8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Gross Profit</w:t>
            </w:r>
          </w:p>
        </w:tc>
        <w:tc>
          <w:tcPr>
            <w:tcW w:w="360" w:type="dxa"/>
            <w:vAlign w:val="bottom"/>
          </w:tcPr>
          <w:p>
            <w:pPr>
              <w:spacing w:after="0"/>
              <w:rPr>
                <w:sz w:val="14"/>
                <w:szCs w:val="14"/>
                <w:color w:val="auto"/>
              </w:rPr>
            </w:pPr>
          </w:p>
        </w:tc>
        <w:tc>
          <w:tcPr>
            <w:tcW w:w="5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€ 18,431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85"/>
              </w:rPr>
              <w:t>463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23,594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43,336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Research and development expenses</w:t>
            </w:r>
          </w:p>
        </w:tc>
        <w:tc>
          <w:tcPr>
            <w:tcW w:w="1020" w:type="dxa"/>
            <w:vAlign w:val="bottom"/>
            <w:gridSpan w:val="5"/>
          </w:tcPr>
          <w:p>
            <w:pPr>
              <w:jc w:val="right"/>
              <w:ind w:right="39"/>
              <w:spacing w:after="0" w:line="149" w:lineRule="exact"/>
              <w:rPr>
                <w:sz w:val="20"/>
                <w:szCs w:val="20"/>
                <w:color w:val="auto"/>
              </w:rPr>
            </w:pPr>
            <w:r>
              <w:rPr>
                <w:rFonts w:ascii="Arial" w:cs="Arial" w:eastAsia="Arial" w:hAnsi="Arial"/>
                <w:sz w:val="14"/>
                <w:szCs w:val="14"/>
                <w:color w:val="auto"/>
              </w:rPr>
              <w:t>(43,686)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(38,214)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(26,237)</w:t>
            </w:r>
          </w:p>
        </w:tc>
        <w:tc>
          <w:tcPr>
            <w:tcW w:w="80" w:type="dxa"/>
            <w:vAlign w:val="bottom"/>
          </w:tcPr>
          <w:p>
            <w:pPr>
              <w:spacing w:after="0"/>
              <w:rPr>
                <w:sz w:val="12"/>
                <w:szCs w:val="12"/>
                <w:color w:val="auto"/>
              </w:rPr>
            </w:pPr>
          </w:p>
        </w:tc>
        <w:tc>
          <w:tcPr>
            <w:tcW w:w="720" w:type="dxa"/>
            <w:vAlign w:val="bottom"/>
            <w:gridSpan w:val="5"/>
          </w:tcPr>
          <w:p>
            <w:pPr>
              <w:jc w:val="right"/>
              <w:ind w:right="39"/>
              <w:spacing w:after="0" w:line="149" w:lineRule="exact"/>
              <w:rPr>
                <w:sz w:val="20"/>
                <w:szCs w:val="20"/>
                <w:color w:val="auto"/>
              </w:rPr>
            </w:pPr>
            <w:r>
              <w:rPr>
                <w:rFonts w:ascii="Arial" w:cs="Arial" w:eastAsia="Arial" w:hAnsi="Arial"/>
                <w:sz w:val="14"/>
                <w:szCs w:val="14"/>
                <w:color w:val="auto"/>
              </w:rPr>
              <w:t>(2,335)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0"/>
              </w:rPr>
              <w:t>(110,734)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3"/>
              </w:rPr>
              <w:t>(110,643)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(1,858)</w:t>
            </w:r>
          </w:p>
        </w:tc>
        <w:tc>
          <w:tcPr>
            <w:tcW w:w="80" w:type="dxa"/>
            <w:vAlign w:val="bottom"/>
          </w:tcPr>
          <w:p>
            <w:pPr>
              <w:spacing w:after="0"/>
              <w:rPr>
                <w:sz w:val="12"/>
                <w:szCs w:val="12"/>
                <w:color w:val="auto"/>
              </w:rPr>
            </w:pPr>
          </w:p>
        </w:tc>
        <w:tc>
          <w:tcPr>
            <w:tcW w:w="720" w:type="dxa"/>
            <w:vAlign w:val="bottom"/>
            <w:gridSpan w:val="5"/>
          </w:tcPr>
          <w:p>
            <w:pPr>
              <w:jc w:val="right"/>
              <w:ind w:right="39"/>
              <w:spacing w:after="0" w:line="149" w:lineRule="exact"/>
              <w:rPr>
                <w:sz w:val="20"/>
                <w:szCs w:val="20"/>
                <w:color w:val="auto"/>
              </w:rPr>
            </w:pPr>
            <w:r>
              <w:rPr>
                <w:rFonts w:ascii="Arial" w:cs="Arial" w:eastAsia="Arial" w:hAnsi="Arial"/>
                <w:sz w:val="14"/>
                <w:szCs w:val="14"/>
                <w:color w:val="auto"/>
              </w:rPr>
              <w:t>(20,696)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(23,899)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(23,899)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result</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288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Segment operating loss</w:t>
            </w:r>
          </w:p>
        </w:tc>
        <w:tc>
          <w:tcPr>
            <w:tcW w:w="360" w:type="dxa"/>
            <w:vAlign w:val="bottom"/>
          </w:tcPr>
          <w:p>
            <w:pPr>
              <w:spacing w:after="0"/>
              <w:rPr>
                <w:sz w:val="13"/>
                <w:szCs w:val="13"/>
                <w:color w:val="auto"/>
              </w:rPr>
            </w:pPr>
          </w:p>
        </w:tc>
        <w:tc>
          <w:tcPr>
            <w:tcW w:w="5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(24,995</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8"/>
              </w:rPr>
              <w:t>(37,463</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(4,487)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84"/>
              </w:rPr>
              <w:t>€ (23,566</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(91,702</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(91,702</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Biotech Business Unit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5"/>
          </w:tcPr>
          <w:p>
            <w:pPr>
              <w:ind w:left="140"/>
              <w:spacing w:after="0"/>
              <w:rPr>
                <w:sz w:val="20"/>
                <w:szCs w:val="20"/>
                <w:color w:val="auto"/>
              </w:rPr>
            </w:pPr>
            <w:r>
              <w:rPr>
                <w:rFonts w:ascii="Arial" w:cs="Arial" w:eastAsia="Arial" w:hAnsi="Arial"/>
                <w:sz w:val="14"/>
                <w:szCs w:val="14"/>
                <w:b w:val="1"/>
                <w:bCs w:val="1"/>
                <w:color w:val="auto"/>
                <w:w w:val="97"/>
              </w:rPr>
              <w:t>External Services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Business Unit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w w:val="92"/>
              </w:rPr>
              <w:t>Clinical</w:t>
            </w:r>
          </w:p>
        </w:tc>
        <w:tc>
          <w:tcPr>
            <w:tcW w:w="40" w:type="dxa"/>
            <w:vAlign w:val="bottom"/>
          </w:tcPr>
          <w:p>
            <w:pPr>
              <w:spacing w:after="0"/>
              <w:rPr>
                <w:sz w:val="10"/>
                <w:szCs w:val="10"/>
                <w:color w:val="auto"/>
              </w:rPr>
            </w:pPr>
          </w:p>
        </w:tc>
        <w:tc>
          <w:tcPr>
            <w:tcW w:w="920" w:type="dxa"/>
            <w:vAlign w:val="bottom"/>
            <w:gridSpan w:val="5"/>
          </w:tcPr>
          <w:p>
            <w:pPr>
              <w:jc w:val="right"/>
              <w:ind w:right="39"/>
              <w:spacing w:after="0" w:line="119" w:lineRule="exact"/>
              <w:rPr>
                <w:sz w:val="20"/>
                <w:szCs w:val="20"/>
                <w:color w:val="auto"/>
              </w:rPr>
            </w:pPr>
            <w:r>
              <w:rPr>
                <w:rFonts w:ascii="Arial" w:cs="Arial" w:eastAsia="Arial" w:hAnsi="Arial"/>
                <w:sz w:val="13"/>
                <w:szCs w:val="13"/>
                <w:b w:val="1"/>
                <w:bCs w:val="1"/>
                <w:color w:val="auto"/>
              </w:rPr>
              <w:t>Technology</w:t>
            </w:r>
          </w:p>
        </w:tc>
        <w:tc>
          <w:tcPr>
            <w:tcW w:w="60" w:type="dxa"/>
            <w:vAlign w:val="bottom"/>
          </w:tcPr>
          <w:p>
            <w:pPr>
              <w:spacing w:after="0"/>
              <w:rPr>
                <w:sz w:val="10"/>
                <w:szCs w:val="10"/>
                <w:color w:val="auto"/>
              </w:rPr>
            </w:pPr>
          </w:p>
        </w:tc>
        <w:tc>
          <w:tcPr>
            <w:tcW w:w="11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Manufacturing</w:t>
            </w:r>
          </w:p>
        </w:tc>
        <w:tc>
          <w:tcPr>
            <w:tcW w:w="60" w:type="dxa"/>
            <w:vAlign w:val="bottom"/>
          </w:tcPr>
          <w:p>
            <w:pPr>
              <w:spacing w:after="0"/>
              <w:rPr>
                <w:sz w:val="10"/>
                <w:szCs w:val="10"/>
                <w:color w:val="auto"/>
              </w:rPr>
            </w:pPr>
          </w:p>
        </w:tc>
        <w:tc>
          <w:tcPr>
            <w:tcW w:w="66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w w:val="89"/>
              </w:rPr>
              <w:t>Business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w w:val="97"/>
              </w:rPr>
              <w:t>External Services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19"/>
              <w:spacing w:after="0" w:line="158" w:lineRule="exact"/>
              <w:rPr>
                <w:sz w:val="20"/>
                <w:szCs w:val="20"/>
                <w:color w:val="auto"/>
              </w:rPr>
            </w:pPr>
            <w:r>
              <w:rPr>
                <w:rFonts w:ascii="Arial" w:cs="Arial" w:eastAsia="Arial" w:hAnsi="Arial"/>
                <w:sz w:val="14"/>
                <w:szCs w:val="14"/>
                <w:b w:val="1"/>
                <w:bCs w:val="1"/>
                <w:color w:val="auto"/>
                <w:w w:val="95"/>
              </w:rPr>
              <w:t>Platform</w:t>
            </w:r>
          </w:p>
        </w:tc>
        <w:tc>
          <w:tcPr>
            <w:tcW w:w="6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tcPr>
          <w:p>
            <w:pPr>
              <w:jc w:val="right"/>
              <w:ind w:right="99"/>
              <w:spacing w:after="0" w:line="158" w:lineRule="exact"/>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Six months ended June 30, 2018</w:t>
            </w: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Collaboration Revenues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w w:val="91"/>
              </w:rPr>
              <w:t>€ 13,434</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€ 29,281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€ 29,281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Revenues from other sales transactions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14,117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(6,426)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8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Gross Profit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€ 13,434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9,991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11,470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2,102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€ 36,972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€ 36,961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Research and development expenses</w:t>
            </w:r>
          </w:p>
        </w:tc>
        <w:tc>
          <w:tcPr>
            <w:tcW w:w="1120" w:type="dxa"/>
            <w:vAlign w:val="bottom"/>
            <w:gridSpan w:val="6"/>
          </w:tcPr>
          <w:p>
            <w:pPr>
              <w:jc w:val="right"/>
              <w:ind w:right="19"/>
              <w:spacing w:after="0" w:line="149" w:lineRule="exact"/>
              <w:rPr>
                <w:sz w:val="20"/>
                <w:szCs w:val="20"/>
                <w:color w:val="auto"/>
              </w:rPr>
            </w:pPr>
            <w:r>
              <w:rPr>
                <w:rFonts w:ascii="Arial" w:cs="Arial" w:eastAsia="Arial" w:hAnsi="Arial"/>
                <w:sz w:val="14"/>
                <w:szCs w:val="14"/>
                <w:color w:val="auto"/>
              </w:rPr>
              <w:t>(18,726)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(27,350)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(11,046)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(965)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39"/>
              <w:spacing w:after="0" w:line="149" w:lineRule="exact"/>
              <w:rPr>
                <w:sz w:val="20"/>
                <w:szCs w:val="20"/>
                <w:color w:val="auto"/>
              </w:rPr>
            </w:pPr>
            <w:r>
              <w:rPr>
                <w:rFonts w:ascii="Arial" w:cs="Arial" w:eastAsia="Arial" w:hAnsi="Arial"/>
                <w:sz w:val="14"/>
                <w:szCs w:val="14"/>
                <w:color w:val="auto"/>
              </w:rPr>
              <w:t>(58,465)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(58,454)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(1,215)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(1,166)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(7,378)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39"/>
              <w:spacing w:after="0" w:line="149" w:lineRule="exact"/>
              <w:rPr>
                <w:sz w:val="20"/>
                <w:szCs w:val="20"/>
                <w:color w:val="auto"/>
              </w:rPr>
            </w:pPr>
            <w:r>
              <w:rPr>
                <w:rFonts w:ascii="Arial" w:cs="Arial" w:eastAsia="Arial" w:hAnsi="Arial"/>
                <w:sz w:val="14"/>
                <w:szCs w:val="14"/>
                <w:color w:val="auto"/>
              </w:rPr>
              <w:t>(9,665)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result</w:t>
            </w:r>
          </w:p>
        </w:tc>
        <w:tc>
          <w:tcPr>
            <w:tcW w:w="10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Segment operating profit/loss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 (3,165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(17,141</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(8,985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174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(29,831</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(29,831</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goodwill incurred of the acquisition of MAB Discovery was allocated to the Technology Platform segment.</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To reconcile the segment figures to the Group interim condensed consolidated financial statements for the six months ended June 30, 2019, the presentation of k€ 91 of research and development expenses has been adjusted. For the six months ended June 30, 2018, research and development expenses have been adjusted by k€ 11.</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7080" w:firstLine="4"/>
        <w:spacing w:after="0" w:line="400" w:lineRule="auto"/>
        <w:tabs>
          <w:tab w:leader="none" w:pos="97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Disaggregated revenue information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the disaggregation of the Group’s revenue from contracts with customers: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7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kEUR</w:t>
            </w:r>
          </w:p>
        </w:tc>
        <w:tc>
          <w:tcPr>
            <w:tcW w:w="1000" w:type="dxa"/>
            <w:vAlign w:val="bottom"/>
            <w:tcBorders>
              <w:bottom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1"/>
              </w:rPr>
              <w:t>June 30</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80" w:type="dxa"/>
            <w:vAlign w:val="bottom"/>
            <w:gridSpan w:val="2"/>
            <w:vMerge w:val="continue"/>
          </w:tcPr>
          <w:p>
            <w:pPr>
              <w:spacing w:after="0"/>
              <w:rPr>
                <w:sz w:val="11"/>
                <w:szCs w:val="11"/>
                <w:color w:val="auto"/>
              </w:rPr>
            </w:pPr>
          </w:p>
        </w:tc>
        <w:tc>
          <w:tcPr>
            <w:tcW w:w="6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resulting from collaboration and license agreements</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42,023</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29,281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Genentech Inc.</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31,750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22,164</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Pfizer Inc.</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Sanofi S.A.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Genmab A/S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Eli Lilly and Company</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sales transactions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51,939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43,398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Of the revenue from other sales transactions, k€5,835 for the six months ended June 30, 2019 (k€ 4,932 for the six months ended June 30, 2018) resulted from product sales.</w:t>
      </w:r>
    </w:p>
    <w:p>
      <w:pPr>
        <w:spacing w:after="0" w:line="315" w:lineRule="exact"/>
        <w:rPr>
          <w:sz w:val="20"/>
          <w:szCs w:val="20"/>
          <w:color w:val="auto"/>
        </w:rPr>
      </w:pPr>
    </w:p>
    <w:p>
      <w:pPr>
        <w:ind w:left="980" w:hanging="776"/>
        <w:spacing w:after="0"/>
        <w:tabs>
          <w:tab w:leader="none" w:pos="9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MAB Discovery GmbH</w:t>
      </w:r>
    </w:p>
    <w:p>
      <w:pPr>
        <w:spacing w:after="0" w:line="12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In January 2019, BioNTech entered into an asset purchase agreement to acquire MAB Discovery GmbH’s operational antibody generation unit based near Munich, Germany (hereinafter also referred to as “MAB Discovery”), for a total consideration of k€6,050. The employees of MAB Discovery were transferred automatically to BioNTech with effect as of the closing date. The acquisition closed on April 1, 2019.</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Group has acquired MAB Discovery because it intends to adopt and pursue the unit’s current business into its own. The acquisition has been accounted for using the acquisition method.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values of the identifiable net assets of MAB Discovery as at the date of acquisition were:</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recognised on</w:t>
            </w:r>
          </w:p>
        </w:tc>
      </w:tr>
      <w:tr>
        <w:trPr>
          <w:trHeight w:val="153"/>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acquisition</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5"/>
          </w:tcPr>
          <w:p>
            <w:pPr>
              <w:jc w:val="center"/>
              <w:ind w:right="20"/>
              <w:spacing w:after="0" w:line="149" w:lineRule="exact"/>
              <w:rPr>
                <w:sz w:val="20"/>
                <w:szCs w:val="20"/>
                <w:color w:val="auto"/>
              </w:rPr>
            </w:pPr>
            <w:r>
              <w:rPr>
                <w:rFonts w:ascii="Arial" w:cs="Arial" w:eastAsia="Arial" w:hAnsi="Arial"/>
                <w:sz w:val="14"/>
                <w:szCs w:val="14"/>
                <w:color w:val="auto"/>
              </w:rPr>
              <w:t>MAB Discovery</w:t>
            </w: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color w:val="auto"/>
                <w:w w:val="98"/>
              </w:rPr>
              <w:t>GmbH</w:t>
            </w: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Assets</w:t>
            </w:r>
          </w:p>
        </w:tc>
        <w:tc>
          <w:tcPr>
            <w:tcW w:w="3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3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net assets</w:t>
            </w:r>
          </w:p>
        </w:tc>
        <w:tc>
          <w:tcPr>
            <w:tcW w:w="3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6,050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Cash flow on</w:t>
            </w:r>
          </w:p>
        </w:tc>
      </w:tr>
      <w:tr>
        <w:trPr>
          <w:trHeight w:val="153"/>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acquisition</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420" w:type="dxa"/>
            <w:vAlign w:val="bottom"/>
            <w:gridSpan w:val="6"/>
          </w:tcPr>
          <w:p>
            <w:pPr>
              <w:jc w:val="center"/>
              <w:ind w:left="3136"/>
              <w:spacing w:after="0" w:line="149" w:lineRule="exact"/>
              <w:rPr>
                <w:sz w:val="20"/>
                <w:szCs w:val="20"/>
                <w:color w:val="auto"/>
              </w:rPr>
            </w:pPr>
            <w:r>
              <w:rPr>
                <w:rFonts w:ascii="Arial" w:cs="Arial" w:eastAsia="Arial" w:hAnsi="Arial"/>
                <w:sz w:val="14"/>
                <w:szCs w:val="14"/>
                <w:color w:val="auto"/>
              </w:rPr>
              <w:t>MAB Discovery</w:t>
            </w: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GmbH</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acquired</w:t>
            </w:r>
          </w:p>
        </w:tc>
        <w:tc>
          <w:tcPr>
            <w:tcW w:w="3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paid</w:t>
            </w:r>
          </w:p>
        </w:tc>
        <w:tc>
          <w:tcPr>
            <w:tcW w:w="3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on acquisition</w:t>
            </w:r>
          </w:p>
        </w:tc>
        <w:tc>
          <w:tcPr>
            <w:tcW w:w="3500" w:type="dxa"/>
            <w:vAlign w:val="bottom"/>
            <w:gridSpan w:val="3"/>
            <w:shd w:val="clear" w:color="auto" w:fill="CCEEFF"/>
          </w:tcPr>
          <w:p>
            <w:pPr>
              <w:ind w:left="33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00" w:type="dxa"/>
            <w:vAlign w:val="bottom"/>
            <w:gridSpan w:val="3"/>
          </w:tcPr>
          <w:p>
            <w:pPr>
              <w:ind w:left="540"/>
              <w:spacing w:after="0"/>
              <w:rPr>
                <w:sz w:val="20"/>
                <w:szCs w:val="20"/>
                <w:color w:val="auto"/>
              </w:rPr>
            </w:pPr>
            <w:r>
              <w:rPr>
                <w:rFonts w:ascii="Arial" w:cs="Arial" w:eastAsia="Arial" w:hAnsi="Arial"/>
                <w:sz w:val="18"/>
                <w:szCs w:val="18"/>
                <w:color w:val="auto"/>
              </w:rPr>
              <w:t>F-9</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interim condensed consolidated financial statements include the results of MAB Discovery since the acquisition date. From the date of acquisition, MAB Discovery contributed k€2.421 to loss before tax in the Technology Platform business segment from continuing operations of the Group. From the date of acquisition, MAB Discovery did not generate any revenue.</w:t>
      </w:r>
    </w:p>
    <w:p>
      <w:pPr>
        <w:spacing w:after="0" w:line="18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Goodwill recognized is primarily attributed to the expected synergies and other benefits from combining the assets and activities of MAB Discovery with those of the Group.</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Transaction costs related to the acquisition have been expensed and are included in the general and administrative expenses within the interim condensed consolidated statement of operations and are part of operating cash flows in the statement of cash flows.</w:t>
      </w:r>
    </w:p>
    <w:p>
      <w:pPr>
        <w:spacing w:after="0" w:line="315" w:lineRule="exact"/>
        <w:rPr>
          <w:sz w:val="20"/>
          <w:szCs w:val="20"/>
          <w:color w:val="auto"/>
        </w:rPr>
      </w:pPr>
    </w:p>
    <w:p>
      <w:pPr>
        <w:ind w:left="980" w:hanging="776"/>
        <w:spacing w:after="0"/>
        <w:tabs>
          <w:tab w:leader="none" w:pos="9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Group calculates the interim income tax expense using the tax rate that would be applicable to the expected total annual earnings. For the six months ended June 30, 2019 an amount of k€19 was recorded. For the six months ended June 30, 2018 k€10 were recorded respectively.</w:t>
      </w:r>
    </w:p>
    <w:p>
      <w:pPr>
        <w:spacing w:after="0" w:line="268" w:lineRule="exact"/>
        <w:rPr>
          <w:sz w:val="20"/>
          <w:szCs w:val="20"/>
          <w:color w:val="auto"/>
        </w:rPr>
      </w:pPr>
    </w:p>
    <w:p>
      <w:pPr>
        <w:ind w:left="980" w:hanging="776"/>
        <w:spacing w:after="0"/>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During the six months ended June 30, 2019, the Group acquired assets with a cost of k€10,609 (June 30, 2018: k€8,844), excluding property, plant and equipment acquired through a business combination (see note 5). The acquisitions during the six months ended June 30, 2019 were mainly related to equipment, tools and installations (k€5,743) as well as construction in progress and advance payments (k€4,224). During the six months ended June 30, 2018, the acquisitions were spread between equipment, tools and installations (k€3,263), land and buildings (k€3,205) as well as construction in progress and advance payments (k€2,376).</w:t>
      </w:r>
    </w:p>
    <w:p>
      <w:pPr>
        <w:spacing w:after="0" w:line="333" w:lineRule="exact"/>
        <w:rPr>
          <w:sz w:val="20"/>
          <w:szCs w:val="20"/>
          <w:color w:val="auto"/>
        </w:rPr>
      </w:pPr>
    </w:p>
    <w:p>
      <w:pPr>
        <w:ind w:left="980" w:hanging="776"/>
        <w:spacing w:after="0"/>
        <w:tabs>
          <w:tab w:leader="none" w:pos="98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the six months ended June 30, 2019, the Group acquired intangible assets with a cost of k€10,451 (June 30, 2018: k€4,914), excluding intangible assets acquired through a business combination (see note 5). The acquisitions during the six months ended June 30, 2019 were mainly related to concessions, licenses and similar rights (k€7,029) as well as advance payments (k€3,422). During the six months ended June 30, 2018 the acquisitions were mainly related to concessions, licenses and similar rights (k€3,538) as well as advance payments (k€1,376).</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Assets with a net book value of k€528 were disposed by the Group during the six months ended June 30, 2019 (June 30, 2018: k€765) without any effect within the interim condensed consolidated statements of operations.</w:t>
      </w:r>
    </w:p>
    <w:p>
      <w:pPr>
        <w:spacing w:after="0" w:line="315" w:lineRule="exact"/>
        <w:rPr>
          <w:sz w:val="20"/>
          <w:szCs w:val="20"/>
          <w:color w:val="auto"/>
        </w:rPr>
      </w:pPr>
    </w:p>
    <w:p>
      <w:pPr>
        <w:ind w:left="980" w:hanging="776"/>
        <w:spacing w:after="0"/>
        <w:tabs>
          <w:tab w:leader="none" w:pos="9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Set out below, is an overview of financial assets, other than cash and short-term deposits, held by the Group as at June 30, 2019 and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Financial assets at amortised cost</w:t>
            </w: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11"/>
        </w:trPr>
        <w:tc>
          <w:tcPr>
            <w:tcW w:w="33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80" w:type="dxa"/>
            <w:vAlign w:val="bottom"/>
            <w:gridSpan w:val="3"/>
            <w:vMerge w:val="continue"/>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8,858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Other financial assets and receivables</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190,647</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gridSpan w:val="2"/>
            <w:shd w:val="clear" w:color="auto" w:fill="CCEEFF"/>
          </w:tcPr>
          <w:p>
            <w:pPr>
              <w:ind w:left="2800"/>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199,505</w:t>
            </w:r>
          </w:p>
        </w:tc>
        <w:tc>
          <w:tcPr>
            <w:tcW w:w="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Total current</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199,504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2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gridSpan w:val="2"/>
          </w:tcPr>
          <w:p>
            <w:pPr>
              <w:ind w:left="640"/>
              <w:spacing w:after="0"/>
              <w:rPr>
                <w:sz w:val="20"/>
                <w:szCs w:val="20"/>
                <w:color w:val="auto"/>
              </w:rPr>
            </w:pPr>
            <w:r>
              <w:rPr>
                <w:rFonts w:ascii="Arial" w:cs="Arial" w:eastAsia="Arial" w:hAnsi="Arial"/>
                <w:sz w:val="18"/>
                <w:szCs w:val="18"/>
                <w:color w:val="auto"/>
              </w:rPr>
              <w:t>F-10</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increase in other financial assets and receivables is mainly related to an asset recorded for funds due from investors as of June 30, 2019 in connection with the Series B capital raise (see note 10).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an overview of financial liabilities held by the Group as at June 30, 2019 and December 31, 2018:</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Financial liabilities: Interest-bearing loans and borrowings</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20" w:type="dxa"/>
            <w:vAlign w:val="bottom"/>
          </w:tcPr>
          <w:p>
            <w:pPr>
              <w:spacing w:after="0"/>
              <w:rPr>
                <w:sz w:val="16"/>
                <w:szCs w:val="16"/>
                <w:color w:val="auto"/>
              </w:rPr>
            </w:pPr>
          </w:p>
        </w:tc>
        <w:tc>
          <w:tcPr>
            <w:tcW w:w="9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2.15% € 10,000,000 secured bank loan</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12/30/2027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€ 7,000</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2.08% € 9,450,000 secured bank loan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09/30/2028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4,600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11,600</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Total current</w:t>
            </w: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6660" w:type="dxa"/>
            <w:vAlign w:val="bottom"/>
            <w:gridSpan w:val="2"/>
          </w:tcPr>
          <w:p>
            <w:pPr>
              <w:ind w:left="860"/>
              <w:spacing w:after="0"/>
              <w:rPr>
                <w:sz w:val="20"/>
                <w:szCs w:val="20"/>
                <w:color w:val="auto"/>
              </w:rPr>
            </w:pPr>
            <w:r>
              <w:rPr>
                <w:rFonts w:ascii="Arial" w:cs="Arial" w:eastAsia="Arial" w:hAnsi="Arial"/>
                <w:sz w:val="14"/>
                <w:szCs w:val="14"/>
                <w:b w:val="1"/>
                <w:bCs w:val="1"/>
                <w:color w:val="auto"/>
              </w:rPr>
              <w:t>Other financial liabilities at amortised cost, other than</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60" w:type="dxa"/>
            <w:vAlign w:val="bottom"/>
            <w:gridSpan w:val="2"/>
          </w:tcPr>
          <w:p>
            <w:pPr>
              <w:ind w:left="860"/>
              <w:spacing w:after="0"/>
              <w:rPr>
                <w:sz w:val="20"/>
                <w:szCs w:val="20"/>
                <w:color w:val="auto"/>
              </w:rPr>
            </w:pPr>
            <w:r>
              <w:rPr>
                <w:rFonts w:ascii="Arial" w:cs="Arial" w:eastAsia="Arial" w:hAnsi="Arial"/>
                <w:sz w:val="14"/>
                <w:szCs w:val="14"/>
                <w:b w:val="1"/>
                <w:bCs w:val="1"/>
                <w:color w:val="auto"/>
              </w:rPr>
              <w:t>interest-bearing loans and borrowings</w:t>
            </w:r>
          </w:p>
        </w:tc>
        <w:tc>
          <w:tcPr>
            <w:tcW w:w="480" w:type="dxa"/>
            <w:vAlign w:val="bottom"/>
          </w:tcPr>
          <w:p>
            <w:pPr>
              <w:spacing w:after="0"/>
              <w:rPr>
                <w:sz w:val="16"/>
                <w:szCs w:val="16"/>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6"/>
                <w:szCs w:val="16"/>
                <w:color w:val="auto"/>
              </w:rPr>
            </w:pPr>
          </w:p>
        </w:tc>
        <w:tc>
          <w:tcPr>
            <w:tcW w:w="1320" w:type="dxa"/>
            <w:vAlign w:val="bottom"/>
            <w:gridSpan w:val="5"/>
            <w:vMerge w:val="restart"/>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4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€16,881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41,721</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Lease liabilities</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52,759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50,752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86,992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98,605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49,987</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non-current</w:t>
            </w:r>
          </w:p>
        </w:tc>
        <w:tc>
          <w:tcPr>
            <w:tcW w:w="48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49,733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48,618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management activities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No changes have occurred regarding our risk management activities as disclosed in the notes to the consolidated financial statements as of December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liabilities include two fixed-interest rate loans. The fair value of the two fixed-interest rate loans is calculated based on significant observable inputs (Level 2). As of June 30, 2019 and December 31, 2018, the carrying value approximates their fair values as there have been no significant changes in relevant interest rates.</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There were no transfers between Level 1 and Level 2 fair value measurements and no transfers into or out of Level 3 fair value measurements during the six months ended June 30, 2019.</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Issued capital and reserves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conversion from BioNTech AG to BioNTech SE had no effect on the shareholder’s rights and the shares.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the six months ended June 30, 2019, the issued capital of BioNTech was increased by k€19,453. Of the amount issued in 2019, k€11,990 relates to new financing round (called Series B) with existing and new investors. Each share has a par value of €1.00. As a result of the Series B financing, the capital reserve was also increased during the six months ended June 30, 2019 by k€178,845.</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As of March 14, 2019, BioNTech acquired the remaining 5.5% of non-controlling interests in BioNTech Cell &amp; Gene Therapies GmbH held by Eli Lilly Nederland B.V. in exchange of issuing 2,374,794 new ordinary shares with an imputed share in the share capital of €1.00 each. This acquisition was recognised within equity and resulted in the derecognition of the non-controlling interest of k€731 as well as an increase to the share capital of k€2,375. The net effect of the transaction of k€1,644 was recognized as a decrease in the capital reserve.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issued capital increase of k€22,588 during the comparative period of six months ended June 30, 2018 related to the Series A financing round.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share has a par value of EUR 1.00. As a result of the Series A financing, the capital reserve was also increased during the six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by k€206,216.</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amounts disclosed in this note have been retrospectively adjusted to reflect the share split as described in note 13.1.</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On November 15, 2018, the Group established a share option program that grants selected employees options to receive shares in the company. The program is designed as an Employee Stock Ownership Plan (ESOP) as disclosed in the notes to the consolidated financial statements as of December 31, 2018. The amounts disclosed in this note have been retrospectively adjusted to reflect the share split as described in note 13.1.</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an overview of changes in ESOP during the six months ended June 30, 2019.</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Share options</w:t>
            </w:r>
          </w:p>
        </w:tc>
        <w:tc>
          <w:tcPr>
            <w:tcW w:w="1460" w:type="dxa"/>
            <w:vAlign w:val="bottom"/>
            <w:gridSpan w:val="3"/>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2019</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658,109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11,845,962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Added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12,991</w:t>
            </w: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233,838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(10,982)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(197,676)</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As at June 30, 2019</w:t>
            </w:r>
          </w:p>
        </w:tc>
        <w:tc>
          <w:tcPr>
            <w:tcW w:w="20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660,118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12,991 options granted during the six months ended June 30, 2019 consists of 9,471 options (representing 170,478 ordinary shares) granted between February 21, 2019 and April 3, 2019 and 3,520 options (representing 63,360 ordinary shares) granted between April 29, 2019 and May 31, 2019.</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options granted during the six months ended June 30, 2019 was estimated on the grant date using the following assumptions: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gridSpan w:val="2"/>
          </w:tcPr>
          <w:p>
            <w:pPr>
              <w:jc w:val="center"/>
              <w:ind w:right="505"/>
              <w:spacing w:after="0"/>
              <w:rPr>
                <w:sz w:val="20"/>
                <w:szCs w:val="20"/>
                <w:color w:val="auto"/>
              </w:rPr>
            </w:pPr>
            <w:r>
              <w:rPr>
                <w:rFonts w:ascii="Arial" w:cs="Arial" w:eastAsia="Arial" w:hAnsi="Arial"/>
                <w:sz w:val="14"/>
                <w:szCs w:val="14"/>
                <w:b w:val="1"/>
                <w:bCs w:val="1"/>
                <w:color w:val="auto"/>
                <w:w w:val="95"/>
              </w:rPr>
              <w:t>Grant dates</w:t>
            </w:r>
          </w:p>
        </w:tc>
        <w:tc>
          <w:tcPr>
            <w:tcW w:w="400" w:type="dxa"/>
            <w:vAlign w:val="bottom"/>
          </w:tcPr>
          <w:p>
            <w:pPr>
              <w:spacing w:after="0"/>
              <w:rPr>
                <w:sz w:val="14"/>
                <w:szCs w:val="14"/>
                <w:color w:val="auto"/>
              </w:rPr>
            </w:pPr>
          </w:p>
        </w:tc>
        <w:tc>
          <w:tcPr>
            <w:tcW w:w="1020" w:type="dxa"/>
            <w:vAlign w:val="bottom"/>
            <w:gridSpan w:val="2"/>
          </w:tcPr>
          <w:p>
            <w:pPr>
              <w:jc w:val="center"/>
              <w:ind w:right="125"/>
              <w:spacing w:after="0"/>
              <w:rPr>
                <w:sz w:val="20"/>
                <w:szCs w:val="20"/>
                <w:color w:val="auto"/>
              </w:rPr>
            </w:pPr>
            <w:r>
              <w:rPr>
                <w:rFonts w:ascii="Arial" w:cs="Arial" w:eastAsia="Arial" w:hAnsi="Arial"/>
                <w:sz w:val="14"/>
                <w:szCs w:val="14"/>
                <w:b w:val="1"/>
                <w:bCs w:val="1"/>
                <w:color w:val="auto"/>
                <w:w w:val="95"/>
              </w:rPr>
              <w:t>Grant dates</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505"/>
              <w:spacing w:after="0" w:line="149" w:lineRule="exact"/>
              <w:rPr>
                <w:sz w:val="20"/>
                <w:szCs w:val="20"/>
                <w:color w:val="auto"/>
              </w:rPr>
            </w:pPr>
            <w:r>
              <w:rPr>
                <w:rFonts w:ascii="Arial" w:cs="Arial" w:eastAsia="Arial" w:hAnsi="Arial"/>
                <w:sz w:val="14"/>
                <w:szCs w:val="14"/>
                <w:b w:val="1"/>
                <w:bCs w:val="1"/>
                <w:color w:val="auto"/>
                <w:w w:val="89"/>
              </w:rPr>
              <w:t>between</w:t>
            </w:r>
          </w:p>
        </w:tc>
        <w:tc>
          <w:tcPr>
            <w:tcW w:w="400" w:type="dxa"/>
            <w:vAlign w:val="bottom"/>
          </w:tcPr>
          <w:p>
            <w:pPr>
              <w:spacing w:after="0"/>
              <w:rPr>
                <w:sz w:val="12"/>
                <w:szCs w:val="12"/>
                <w:color w:val="auto"/>
              </w:rPr>
            </w:pPr>
          </w:p>
        </w:tc>
        <w:tc>
          <w:tcPr>
            <w:tcW w:w="10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89"/>
              </w:rPr>
              <w:t>between</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120" w:type="dxa"/>
            <w:vAlign w:val="bottom"/>
            <w:gridSpan w:val="3"/>
          </w:tcPr>
          <w:p>
            <w:pPr>
              <w:jc w:val="center"/>
              <w:ind w:left="1054"/>
              <w:spacing w:after="0" w:line="149" w:lineRule="exact"/>
              <w:rPr>
                <w:sz w:val="20"/>
                <w:szCs w:val="20"/>
                <w:color w:val="auto"/>
              </w:rPr>
            </w:pPr>
            <w:r>
              <w:rPr>
                <w:rFonts w:ascii="Arial" w:cs="Arial" w:eastAsia="Arial" w:hAnsi="Arial"/>
                <w:sz w:val="14"/>
                <w:szCs w:val="14"/>
                <w:b w:val="1"/>
                <w:bCs w:val="1"/>
                <w:color w:val="auto"/>
                <w:w w:val="97"/>
              </w:rPr>
              <w:t>February 21 -</w:t>
            </w:r>
          </w:p>
        </w:tc>
        <w:tc>
          <w:tcPr>
            <w:tcW w:w="400" w:type="dxa"/>
            <w:vAlign w:val="bottom"/>
          </w:tcPr>
          <w:p>
            <w:pPr>
              <w:spacing w:after="0"/>
              <w:rPr>
                <w:sz w:val="12"/>
                <w:szCs w:val="12"/>
                <w:color w:val="auto"/>
              </w:rPr>
            </w:pPr>
          </w:p>
        </w:tc>
        <w:tc>
          <w:tcPr>
            <w:tcW w:w="10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6"/>
              </w:rPr>
              <w:t>April 29 -</w:t>
            </w: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gridSpan w:val="2"/>
          </w:tcPr>
          <w:p>
            <w:pPr>
              <w:jc w:val="center"/>
              <w:ind w:right="505"/>
              <w:spacing w:after="0"/>
              <w:rPr>
                <w:sz w:val="20"/>
                <w:szCs w:val="20"/>
                <w:color w:val="auto"/>
              </w:rPr>
            </w:pPr>
            <w:r>
              <w:rPr>
                <w:rFonts w:ascii="Arial" w:cs="Arial" w:eastAsia="Arial" w:hAnsi="Arial"/>
                <w:sz w:val="14"/>
                <w:szCs w:val="14"/>
                <w:b w:val="1"/>
                <w:bCs w:val="1"/>
                <w:color w:val="auto"/>
                <w:w w:val="94"/>
              </w:rPr>
              <w:t>April 3, 2019</w:t>
            </w:r>
          </w:p>
        </w:tc>
        <w:tc>
          <w:tcPr>
            <w:tcW w:w="14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5"/>
              </w:rPr>
              <w:t>May 31, 2019</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17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60" w:type="dxa"/>
            <w:vAlign w:val="bottom"/>
            <w:tcBorders>
              <w:top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tcBorders>
              <w:top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1720" w:type="dxa"/>
            <w:vAlign w:val="bottom"/>
          </w:tcPr>
          <w:p>
            <w:pPr>
              <w:spacing w:after="0"/>
              <w:rPr>
                <w:sz w:val="18"/>
                <w:szCs w:val="18"/>
                <w:color w:val="auto"/>
              </w:rPr>
            </w:pPr>
          </w:p>
        </w:tc>
        <w:tc>
          <w:tcPr>
            <w:tcW w:w="1400" w:type="dxa"/>
            <w:vAlign w:val="bottom"/>
            <w:gridSpan w:val="2"/>
          </w:tcPr>
          <w:p>
            <w:pPr>
              <w:jc w:val="right"/>
              <w:ind w:right="405"/>
              <w:spacing w:after="0"/>
              <w:rPr>
                <w:sz w:val="20"/>
                <w:szCs w:val="20"/>
                <w:color w:val="auto"/>
              </w:rPr>
            </w:pPr>
            <w:r>
              <w:rPr>
                <w:rFonts w:ascii="Arial" w:cs="Arial" w:eastAsia="Arial" w:hAnsi="Arial"/>
                <w:sz w:val="18"/>
                <w:szCs w:val="18"/>
                <w:color w:val="auto"/>
              </w:rPr>
              <w:t>15.72€</w:t>
            </w:r>
          </w:p>
        </w:tc>
        <w:tc>
          <w:tcPr>
            <w:tcW w:w="400" w:type="dxa"/>
            <w:vAlign w:val="bottom"/>
          </w:tcPr>
          <w:p>
            <w:pPr>
              <w:spacing w:after="0"/>
              <w:rPr>
                <w:sz w:val="18"/>
                <w:szCs w:val="18"/>
                <w:color w:val="auto"/>
              </w:rPr>
            </w:pPr>
          </w:p>
        </w:tc>
        <w:tc>
          <w:tcPr>
            <w:tcW w:w="1020" w:type="dxa"/>
            <w:vAlign w:val="bottom"/>
            <w:gridSpan w:val="2"/>
          </w:tcPr>
          <w:p>
            <w:pPr>
              <w:jc w:val="right"/>
              <w:ind w:right="45"/>
              <w:spacing w:after="0"/>
              <w:rPr>
                <w:sz w:val="20"/>
                <w:szCs w:val="20"/>
                <w:color w:val="auto"/>
              </w:rPr>
            </w:pPr>
            <w:r>
              <w:rPr>
                <w:rFonts w:ascii="Arial" w:cs="Arial" w:eastAsia="Arial" w:hAnsi="Arial"/>
                <w:sz w:val="18"/>
                <w:szCs w:val="18"/>
                <w:color w:val="auto"/>
              </w:rPr>
              <w:t>16.03€</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15.03€</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15.39€</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volatility (%)</w:t>
            </w:r>
          </w:p>
        </w:tc>
        <w:tc>
          <w:tcPr>
            <w:tcW w:w="3120" w:type="dxa"/>
            <w:vAlign w:val="bottom"/>
            <w:gridSpan w:val="3"/>
          </w:tcPr>
          <w:p>
            <w:pPr>
              <w:jc w:val="right"/>
              <w:ind w:right="345"/>
              <w:spacing w:after="0"/>
              <w:rPr>
                <w:sz w:val="20"/>
                <w:szCs w:val="20"/>
                <w:color w:val="auto"/>
              </w:rPr>
            </w:pPr>
            <w:r>
              <w:rPr>
                <w:rFonts w:ascii="Arial" w:cs="Arial" w:eastAsia="Arial" w:hAnsi="Arial"/>
                <w:sz w:val="18"/>
                <w:szCs w:val="18"/>
                <w:color w:val="auto"/>
              </w:rPr>
              <w:t>46.0%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3120" w:type="dxa"/>
            <w:vAlign w:val="bottom"/>
            <w:gridSpan w:val="3"/>
          </w:tcPr>
          <w:p>
            <w:pPr>
              <w:jc w:val="right"/>
              <w:ind w:right="345"/>
              <w:spacing w:after="0"/>
              <w:rPr>
                <w:sz w:val="20"/>
                <w:szCs w:val="20"/>
                <w:color w:val="auto"/>
              </w:rPr>
            </w:pPr>
            <w:r>
              <w:rPr>
                <w:rFonts w:ascii="Arial" w:cs="Arial" w:eastAsia="Arial" w:hAnsi="Arial"/>
                <w:sz w:val="18"/>
                <w:szCs w:val="18"/>
                <w:color w:val="auto"/>
              </w:rPr>
              <w:t>0.05%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0.05%</w:t>
            </w:r>
          </w:p>
        </w:tc>
      </w:tr>
    </w:tbl>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For the six months ended June 30, 2019, the Group has recognized k€17,986 of share-based payment expense in the statement of operations (six month ended June 30, 2018: €0).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the allocation of expenses in lines of the statements of operations.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58"/>
        </w:trPr>
        <w:tc>
          <w:tcPr>
            <w:tcW w:w="5260" w:type="dxa"/>
            <w:vAlign w:val="bottom"/>
            <w:gridSpan w:val="3"/>
            <w:vMerge w:val="continue"/>
          </w:tcPr>
          <w:p>
            <w:pPr>
              <w:spacing w:after="0"/>
              <w:rPr>
                <w:sz w:val="13"/>
                <w:szCs w:val="13"/>
                <w:color w:val="auto"/>
              </w:rPr>
            </w:pPr>
          </w:p>
        </w:tc>
        <w:tc>
          <w:tcPr>
            <w:tcW w:w="3120" w:type="dxa"/>
            <w:vAlign w:val="bottom"/>
            <w:gridSpan w:val="4"/>
          </w:tcPr>
          <w:p>
            <w:pPr>
              <w:jc w:val="center"/>
              <w:ind w:left="2099"/>
              <w:spacing w:after="0" w:line="158" w:lineRule="exact"/>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Cost of sales</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describes the transactions that have been entered into with AT Impf GmbH or entities controlled by them during the six months ended June 30, 2019 and 2018:</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4"/>
          <w:szCs w:val="14"/>
          <w:i w:val="1"/>
          <w:iCs w:val="1"/>
          <w:u w:val="single" w:color="auto"/>
          <w:color w:val="auto"/>
        </w:rPr>
        <w:t>In kEUR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6997700" cy="146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 w:lineRule="exact"/>
        <w:rPr>
          <w:sz w:val="20"/>
          <w:szCs w:val="20"/>
          <w:color w:val="auto"/>
        </w:rPr>
      </w:pPr>
    </w:p>
    <w:p>
      <w:pPr>
        <w:ind w:left="560" w:right="2534"/>
        <w:spacing w:after="0" w:line="302" w:lineRule="auto"/>
        <w:rPr>
          <w:sz w:val="20"/>
          <w:szCs w:val="20"/>
          <w:color w:val="auto"/>
        </w:rPr>
      </w:pPr>
      <w:r>
        <w:rPr>
          <w:rFonts w:ascii="Arial" w:cs="Arial" w:eastAsia="Arial" w:hAnsi="Arial"/>
          <w:sz w:val="16"/>
          <w:szCs w:val="16"/>
          <w:color w:val="auto"/>
        </w:rPr>
        <w:t>Purchases of various goods and services from entities controlled by AT Impf GmbH Purchases of property and other assets from entities controlled by AT Impf GmbH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
        <w:spacing w:after="0"/>
        <w:rPr>
          <w:sz w:val="20"/>
          <w:szCs w:val="20"/>
          <w:color w:val="auto"/>
        </w:rPr>
      </w:pPr>
      <w:r>
        <w:rPr>
          <w:rFonts w:ascii="Arial" w:cs="Arial" w:eastAsia="Arial" w:hAnsi="Arial"/>
          <w:sz w:val="14"/>
          <w:szCs w:val="14"/>
          <w:b w:val="1"/>
          <w:bCs w:val="1"/>
          <w:color w:val="auto"/>
        </w:rPr>
        <w:t>Transaction value</w:t>
      </w:r>
    </w:p>
    <w:p>
      <w:pPr>
        <w:spacing w:after="0" w:line="10" w:lineRule="exact"/>
        <w:rPr>
          <w:sz w:val="20"/>
          <w:szCs w:val="20"/>
          <w:color w:val="auto"/>
        </w:rPr>
      </w:pPr>
    </w:p>
    <w:tbl>
      <w:tblPr>
        <w:tblLayout w:type="fixed"/>
        <w:tblInd w:w="6" w:type="dxa"/>
        <w:tblCellMar>
          <w:top w:w="0" w:type="dxa"/>
          <w:left w:w="0" w:type="dxa"/>
          <w:bottom w:w="0" w:type="dxa"/>
          <w:right w:w="0" w:type="dxa"/>
        </w:tblCellMar>
      </w:tblPr>
      <w:tr>
        <w:trPr>
          <w:trHeight w:val="119"/>
        </w:trPr>
        <w:tc>
          <w:tcPr>
            <w:tcW w:w="640" w:type="dxa"/>
            <w:vAlign w:val="bottom"/>
            <w:tcBorders>
              <w:top w:val="single" w:sz="8" w:color="auto"/>
            </w:tcBorders>
          </w:tcPr>
          <w:p>
            <w:pPr>
              <w:jc w:val="center"/>
              <w:ind w:right="71"/>
              <w:spacing w:after="0" w:line="119" w:lineRule="exact"/>
              <w:rPr>
                <w:sz w:val="20"/>
                <w:szCs w:val="20"/>
                <w:color w:val="auto"/>
              </w:rPr>
            </w:pPr>
            <w:r>
              <w:rPr>
                <w:rFonts w:ascii="Arial" w:cs="Arial" w:eastAsia="Arial" w:hAnsi="Arial"/>
                <w:sz w:val="13"/>
                <w:szCs w:val="13"/>
                <w:b w:val="1"/>
                <w:bCs w:val="1"/>
                <w:color w:val="auto"/>
                <w:w w:val="96"/>
              </w:rPr>
              <w:t>June 30,</w:t>
            </w:r>
          </w:p>
        </w:tc>
        <w:tc>
          <w:tcPr>
            <w:tcW w:w="66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w w:val="96"/>
              </w:rPr>
              <w:t>June 30,</w:t>
            </w:r>
          </w:p>
        </w:tc>
      </w:tr>
      <w:tr>
        <w:trPr>
          <w:trHeight w:val="186"/>
        </w:trPr>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jc w:val="right"/>
              <w:ind w:right="51"/>
              <w:spacing w:after="0"/>
              <w:rPr>
                <w:sz w:val="20"/>
                <w:szCs w:val="20"/>
                <w:color w:val="auto"/>
              </w:rPr>
            </w:pPr>
            <w:r>
              <w:rPr>
                <w:rFonts w:ascii="Arial" w:cs="Arial" w:eastAsia="Arial" w:hAnsi="Arial"/>
                <w:sz w:val="14"/>
                <w:szCs w:val="14"/>
                <w:b w:val="1"/>
                <w:bCs w:val="1"/>
                <w:color w:val="auto"/>
              </w:rPr>
              <w:t>2018</w:t>
            </w:r>
          </w:p>
        </w:tc>
      </w:tr>
    </w:tbl>
    <w:p>
      <w:pPr>
        <w:ind w:left="106" w:hanging="106"/>
        <w:spacing w:after="0"/>
        <w:tabs>
          <w:tab w:leader="none" w:pos="10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1,272   €  852</w:t>
      </w:r>
    </w:p>
    <w:p>
      <w:pPr>
        <w:spacing w:after="0" w:line="7"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3,094</w:t>
      </w:r>
    </w:p>
    <w:p>
      <w:pPr>
        <w:spacing w:after="0" w:line="28" w:lineRule="exact"/>
        <w:rPr>
          <w:sz w:val="20"/>
          <w:szCs w:val="20"/>
          <w:color w:val="auto"/>
        </w:rPr>
      </w:pPr>
    </w:p>
    <w:p>
      <w:pPr>
        <w:sectPr>
          <w:pgSz w:w="11900" w:h="16838" w:orient="portrait"/>
          <w:cols w:equalWidth="0" w:num="2">
            <w:col w:w="9154" w:space="720"/>
            <w:col w:w="1366"/>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w:t>
            </w:r>
          </w:p>
        </w:tc>
        <w:tc>
          <w:tcPr>
            <w:tcW w:w="5160" w:type="dxa"/>
            <w:vAlign w:val="bottom"/>
            <w:gridSpan w:val="2"/>
            <w:shd w:val="clear" w:color="auto" w:fill="CCEEFF"/>
          </w:tcPr>
          <w:p>
            <w:pPr>
              <w:ind w:left="4640"/>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1,272</w:t>
            </w:r>
          </w:p>
        </w:tc>
        <w:tc>
          <w:tcPr>
            <w:tcW w:w="840" w:type="dxa"/>
            <w:vAlign w:val="bottom"/>
            <w:gridSpan w:val="3"/>
            <w:shd w:val="clear" w:color="auto" w:fill="CCEEFF"/>
          </w:tcPr>
          <w:p>
            <w:pPr>
              <w:ind w:left="26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3,946</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following table describes the outstanding balances payable to AT Impf GmbH (parent company of the Group) or entities controlled by them as per June 30, 2019 and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2920" w:type="dxa"/>
            <w:vAlign w:val="bottom"/>
          </w:tcPr>
          <w:p>
            <w:pPr>
              <w:spacing w:after="0"/>
              <w:rPr>
                <w:sz w:val="14"/>
                <w:szCs w:val="14"/>
                <w:color w:val="auto"/>
              </w:rPr>
            </w:pP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At June 30</w:t>
            </w:r>
          </w:p>
        </w:tc>
        <w:tc>
          <w:tcPr>
            <w:tcW w:w="0" w:type="dxa"/>
            <w:vAlign w:val="bottom"/>
          </w:tcPr>
          <w:p>
            <w:pPr>
              <w:spacing w:after="0"/>
              <w:rPr>
                <w:sz w:val="1"/>
                <w:szCs w:val="1"/>
                <w:color w:val="auto"/>
              </w:rPr>
            </w:pPr>
          </w:p>
        </w:tc>
      </w:tr>
      <w:tr>
        <w:trPr>
          <w:trHeight w:val="129"/>
        </w:trPr>
        <w:tc>
          <w:tcPr>
            <w:tcW w:w="4420" w:type="dxa"/>
            <w:vAlign w:val="bottom"/>
            <w:gridSpan w:val="3"/>
            <w:vMerge w:val="continue"/>
          </w:tcPr>
          <w:p>
            <w:pPr>
              <w:spacing w:after="0"/>
              <w:rPr>
                <w:sz w:val="11"/>
                <w:szCs w:val="11"/>
                <w:color w:val="auto"/>
              </w:rPr>
            </w:pPr>
          </w:p>
        </w:tc>
        <w:tc>
          <w:tcPr>
            <w:tcW w:w="2920" w:type="dxa"/>
            <w:vAlign w:val="bottom"/>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2019</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AT Impf GmbH</w:t>
            </w:r>
          </w:p>
        </w:tc>
        <w:tc>
          <w:tcPr>
            <w:tcW w:w="2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value of transactions related to key management personnel, or entities which they control,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7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29"/>
        </w:trPr>
        <w:tc>
          <w:tcPr>
            <w:tcW w:w="712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Consulting services</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gridSpan w:val="2"/>
          </w:tcPr>
          <w:p>
            <w:pPr>
              <w:ind w:left="340"/>
              <w:spacing w:after="0"/>
              <w:rPr>
                <w:sz w:val="20"/>
                <w:szCs w:val="20"/>
                <w:color w:val="auto"/>
              </w:rPr>
            </w:pPr>
            <w:r>
              <w:rPr>
                <w:rFonts w:ascii="Arial" w:cs="Arial" w:eastAsia="Arial" w:hAnsi="Arial"/>
                <w:sz w:val="18"/>
                <w:szCs w:val="18"/>
                <w:color w:val="auto"/>
              </w:rPr>
              <w:t>Purchases of various goods and services from TRON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outstanding balances payable to key management personnel, or entities which they control, as per June 30, 2019 and 2018 were as follows: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4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4940" w:type="dxa"/>
            <w:vAlign w:val="bottom"/>
          </w:tcPr>
          <w:p>
            <w:pPr>
              <w:spacing w:after="0"/>
              <w:rPr>
                <w:sz w:val="14"/>
                <w:szCs w:val="14"/>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At June 30</w:t>
            </w:r>
          </w:p>
        </w:tc>
        <w:tc>
          <w:tcPr>
            <w:tcW w:w="0" w:type="dxa"/>
            <w:vAlign w:val="bottom"/>
          </w:tcPr>
          <w:p>
            <w:pPr>
              <w:spacing w:after="0"/>
              <w:rPr>
                <w:sz w:val="1"/>
                <w:szCs w:val="1"/>
                <w:color w:val="auto"/>
              </w:rPr>
            </w:pPr>
          </w:p>
        </w:tc>
      </w:tr>
      <w:tr>
        <w:trPr>
          <w:trHeight w:val="129"/>
        </w:trPr>
        <w:tc>
          <w:tcPr>
            <w:tcW w:w="2440" w:type="dxa"/>
            <w:vAlign w:val="bottom"/>
            <w:gridSpan w:val="3"/>
            <w:vMerge w:val="continue"/>
          </w:tcPr>
          <w:p>
            <w:pPr>
              <w:spacing w:after="0"/>
              <w:rPr>
                <w:sz w:val="11"/>
                <w:szCs w:val="11"/>
                <w:color w:val="auto"/>
              </w:rPr>
            </w:pPr>
          </w:p>
        </w:tc>
        <w:tc>
          <w:tcPr>
            <w:tcW w:w="494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2019</w:t>
            </w:r>
          </w:p>
        </w:tc>
        <w:tc>
          <w:tcPr>
            <w:tcW w:w="6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TRON</w:t>
            </w:r>
          </w:p>
        </w:tc>
        <w:tc>
          <w:tcPr>
            <w:tcW w:w="49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683</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1,092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9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683</w:t>
            </w:r>
          </w:p>
        </w:tc>
        <w:tc>
          <w:tcPr>
            <w:tcW w:w="140" w:type="dxa"/>
            <w:vAlign w:val="bottom"/>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60" w:type="dxa"/>
            <w:vAlign w:val="bottom"/>
            <w:gridSpan w:val="2"/>
          </w:tcPr>
          <w:p>
            <w:pPr>
              <w:jc w:val="right"/>
              <w:ind w:right="3259"/>
              <w:spacing w:after="0"/>
              <w:rPr>
                <w:sz w:val="20"/>
                <w:szCs w:val="20"/>
                <w:color w:val="auto"/>
              </w:rPr>
            </w:pPr>
            <w:r>
              <w:rPr>
                <w:rFonts w:ascii="Arial" w:cs="Arial" w:eastAsia="Arial" w:hAnsi="Arial"/>
                <w:sz w:val="18"/>
                <w:szCs w:val="18"/>
                <w:color w:val="auto"/>
              </w:rPr>
              <w:t>F-13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Events after the reporting period</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13.1 On September 18, 2019, BioNTech effected a 1:18 share split by issuing 206,595,492 shares by way of a capital increase from its own funds; thus, no outside proceeds were received. This capital increase came into effect upon registration with the commercial register (Handelsregister). The accompanying financial statements and notes to the financial statements give retroactive effect to the share split for all periods presented.</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13.2 In August 2019, BioNTech collected the k€190,169 in funds due from investors in connection with the Series B financing, which were recorded as an asset in other financial assets and receivables at June 30, 2019. Additionally, in conjunction with the Series B financing and following June 30, 2019, BioNTech SE increased its share capital by k€6,000 for a total consideration of k€95,180, of which, k€7,713 has been collected to date. If the remaining proceeds are not received by the anticipated initial public offering by BioNTech SE, BioNTech intends to require the investor to transfer the shares back to BioNTech for no consideration.</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13.3 On August 29, 2019, BioNTech entered into an agreement to purchase all of the outstanding shares of reBOOST Management GmbH from Medine GmbH, which is wholly owned by BioNTech’s Chief Executive Officer, Ugur Sahin. The k€300k purchase price consists of k€30 cash consideration and assumption of liabilities of up to k€270.</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13.4 On August 30, 2019, BioNTech entered into agreements with the Bill &amp; Melinda Gates Foundation (BMGF). BMGF agreed to purchase 3,038,674 ordinary shares of BioNTech for a total of k€ 49,864 (kUSD 55,000). These agreements require BioNTech to perform certain research and development activities to advance the development of products for the prevention and treatment of HIV and tuberculosis. In the event of a breach of the underlying conditions, including such research and development activities, BMGF has the right to sell its shares back to BioNTech at the initial share price or fair market value, whichever is higher, subject to certain conditions. BioNTech’s ability to pay dividends, if any, is also limited under the terms of these agreements.</w:t>
      </w:r>
    </w:p>
    <w:p>
      <w:pPr>
        <w:spacing w:after="0" w:line="193"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13.5 On September 9, 2019, BioNTech agreed to grant Prof. Ugur Sahin, M.D., BioNTech’s Chief Executive Officer, an option to purchase 4,374,963 of its ordinary shares. The grant is subject to the terms of BioNTech’s ESOP and contains vesting conditions consisting of a four-year service period (i.e. annually in equal installments over four years) and completion of an initial public offering by BioNTech. Exercise of the options is also subject to a four-year waiting period after the public offering. The option will have a per share exercise price at the price of such initial public offering.</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Management and the Board of Directors of BioNTech SE (formerly BioNTech AG)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BioNTech AG (the Company) as of December 31, 2018 and 2017 and as of January 1, 2017, the related consolidated statements of operations, comprehensive income (loss), changes in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as of January 1, 2017, and the results of its operations and its cash flows for each of the two years in the period ended December 31, 2018, in conformity with International Financial Reporting Standards as issued by the International Accounting Standard Board.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00"/>
          </w:cols>
          <w:pgMar w:left="240" w:top="459" w:right="459" w:bottom="1440" w:gutter="0" w:footer="0" w:header="0"/>
        </w:sectPr>
      </w:pP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Titus Zwirner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Oliver Conrad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220" w:space="720"/>
            <w:col w:w="6260"/>
          </w:cols>
          <w:pgMar w:left="240" w:top="459" w:right="459" w:bottom="1440" w:gutter="0" w:footer="0" w:header="0"/>
          <w:type w:val="continuous"/>
        </w:sectPr>
      </w:pP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Ernst &amp; Young GmbH Wirtschaftsprüfungsgesellschaft</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served as the Company’s auditor since 2018.</w:t>
      </w:r>
    </w:p>
    <w:p>
      <w:pPr>
        <w:sectPr>
          <w:pgSz w:w="11900" w:h="16838" w:orient="portrait"/>
          <w:cols w:equalWidth="0" w:num="1">
            <w:col w:w="11200"/>
          </w:cols>
          <w:pgMar w:left="240" w:top="459" w:right="459" w:bottom="1440" w:gutter="0" w:footer="0" w:header="0"/>
          <w:type w:val="continuous"/>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Cologne, Germany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18, 2019, except as to Note 21.7, as to which the date is September 24, 2019</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type w:val="continuous"/>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78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127,575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61,598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113,885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52,280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(143,040)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(85,496)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580" w:type="dxa"/>
            <w:vAlign w:val="bottom"/>
            <w:gridSpan w:val="2"/>
            <w:shd w:val="clear" w:color="auto" w:fill="CCEEFF"/>
          </w:tcPr>
          <w:p>
            <w:pPr>
              <w:jc w:val="center"/>
              <w:ind w:left="1191"/>
              <w:spacing w:after="0"/>
              <w:rPr>
                <w:sz w:val="20"/>
                <w:szCs w:val="20"/>
                <w:color w:val="auto"/>
              </w:rPr>
            </w:pPr>
            <w:r>
              <w:rPr>
                <w:rFonts w:ascii="Arial" w:cs="Arial" w:eastAsia="Arial" w:hAnsi="Arial"/>
                <w:sz w:val="18"/>
                <w:szCs w:val="18"/>
                <w:color w:val="auto"/>
                <w:w w:val="87"/>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580" w:type="dxa"/>
            <w:vAlign w:val="bottom"/>
            <w:gridSpan w:val="2"/>
            <w:shd w:val="clear" w:color="auto" w:fill="CCEEFF"/>
          </w:tcPr>
          <w:p>
            <w:pPr>
              <w:jc w:val="center"/>
              <w:ind w:left="1191"/>
              <w:spacing w:after="0"/>
              <w:rPr>
                <w:sz w:val="20"/>
                <w:szCs w:val="20"/>
                <w:color w:val="auto"/>
              </w:rPr>
            </w:pPr>
            <w:r>
              <w:rPr>
                <w:rFonts w:ascii="Arial" w:cs="Arial" w:eastAsia="Arial" w:hAnsi="Arial"/>
                <w:sz w:val="18"/>
                <w:szCs w:val="18"/>
                <w:color w:val="auto"/>
                <w:w w:val="87"/>
              </w:rPr>
              <w:t>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(53,854)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(61,277)</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580" w:type="dxa"/>
            <w:vAlign w:val="bottom"/>
            <w:gridSpan w:val="2"/>
            <w:shd w:val="clear" w:color="auto" w:fill="CCEEFF"/>
          </w:tcPr>
          <w:p>
            <w:pPr>
              <w:jc w:val="center"/>
              <w:ind w:left="1191"/>
              <w:spacing w:after="0"/>
              <w:rPr>
                <w:sz w:val="20"/>
                <w:szCs w:val="20"/>
                <w:color w:val="auto"/>
              </w:rPr>
            </w:pPr>
            <w:r>
              <w:rPr>
                <w:rFonts w:ascii="Arial" w:cs="Arial" w:eastAsia="Arial" w:hAnsi="Arial"/>
                <w:sz w:val="18"/>
                <w:szCs w:val="18"/>
                <w:color w:val="auto"/>
                <w:w w:val="87"/>
              </w:rPr>
              <w:t>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1580" w:type="dxa"/>
            <w:vAlign w:val="bottom"/>
            <w:gridSpan w:val="2"/>
            <w:shd w:val="clear" w:color="auto" w:fill="CCEEFF"/>
          </w:tcPr>
          <w:p>
            <w:pPr>
              <w:jc w:val="center"/>
              <w:ind w:left="1171"/>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80" w:type="dxa"/>
            <w:vAlign w:val="bottom"/>
            <w:gridSpan w:val="2"/>
            <w:shd w:val="clear" w:color="auto" w:fill="CCEEFF"/>
          </w:tcPr>
          <w:p>
            <w:pPr>
              <w:jc w:val="center"/>
              <w:ind w:left="1171"/>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(85,653)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Basic &amp; diluted, loss for the year attributable to ordinary equity holders of the parent</w:t>
            </w:r>
          </w:p>
        </w:tc>
        <w:tc>
          <w:tcPr>
            <w:tcW w:w="1580" w:type="dxa"/>
            <w:vAlign w:val="bottom"/>
            <w:gridSpan w:val="2"/>
          </w:tcPr>
          <w:p>
            <w:pPr>
              <w:jc w:val="center"/>
              <w:ind w:left="1171"/>
              <w:spacing w:after="0"/>
              <w:rPr>
                <w:sz w:val="20"/>
                <w:szCs w:val="20"/>
                <w:color w:val="auto"/>
              </w:rPr>
            </w:pPr>
            <w:r>
              <w:rPr>
                <w:rFonts w:ascii="Arial" w:cs="Arial" w:eastAsia="Arial" w:hAnsi="Arial"/>
                <w:sz w:val="18"/>
                <w:szCs w:val="18"/>
                <w:color w:val="auto"/>
                <w:w w:val="79"/>
              </w:rPr>
              <w:t>8</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gridSpan w:val="2"/>
            <w:vMerge w:val="restart"/>
          </w:tcPr>
          <w:p>
            <w:pPr>
              <w:ind w:left="8480"/>
              <w:spacing w:after="0"/>
              <w:rPr>
                <w:sz w:val="20"/>
                <w:szCs w:val="20"/>
                <w:color w:val="auto"/>
              </w:rPr>
            </w:pPr>
            <w:r>
              <w:rPr>
                <w:rFonts w:ascii="Arial" w:cs="Arial" w:eastAsia="Arial" w:hAnsi="Arial"/>
                <w:sz w:val="14"/>
                <w:szCs w:val="14"/>
                <w:b w:val="1"/>
                <w:bCs w:val="1"/>
                <w:color w:val="auto"/>
                <w:w w:val="89"/>
              </w:rPr>
              <w:t>Note</w:t>
            </w:r>
          </w:p>
        </w:tc>
        <w:tc>
          <w:tcPr>
            <w:tcW w:w="36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(48,262</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(85,950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that may be reclassified to profit or loss in subsequent periods (net of tax)</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Net other comprehensive income/(loss) that may be reclassified to profit or loss in subsequent periods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(48,252)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(48,009)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(48,252)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As at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As at</w:t>
            </w:r>
          </w:p>
        </w:tc>
        <w:tc>
          <w:tcPr>
            <w:tcW w:w="13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As at January 1,</w:t>
            </w:r>
          </w:p>
        </w:tc>
        <w:tc>
          <w:tcPr>
            <w:tcW w:w="0" w:type="dxa"/>
            <w:vAlign w:val="bottom"/>
          </w:tcPr>
          <w:p>
            <w:pPr>
              <w:spacing w:after="0"/>
              <w:rPr>
                <w:sz w:val="1"/>
                <w:szCs w:val="1"/>
                <w:color w:val="auto"/>
              </w:rPr>
            </w:pPr>
          </w:p>
        </w:tc>
      </w:tr>
      <w:tr>
        <w:trPr>
          <w:trHeight w:val="149"/>
        </w:trPr>
        <w:tc>
          <w:tcPr>
            <w:tcW w:w="6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1560" w:type="dxa"/>
            <w:vAlign w:val="bottom"/>
            <w:gridSpan w:val="4"/>
          </w:tcPr>
          <w:p>
            <w:pPr>
              <w:jc w:val="center"/>
              <w:ind w:left="7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6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1"/>
              <w:spacing w:after="0" w:line="158"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71"/>
              <w:spacing w:after="0" w:line="158"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0"/>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88,042</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83,537</w:t>
            </w:r>
          </w:p>
        </w:tc>
        <w:tc>
          <w:tcPr>
            <w:tcW w:w="26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9, 18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assets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185,076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Contract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448,961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189,637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652,986</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374,713</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193,296</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166,764</w:t>
            </w:r>
          </w:p>
        </w:tc>
        <w:tc>
          <w:tcPr>
            <w:tcW w:w="26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(245,771)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(197,753)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266,153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(48,206</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259,865</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264,375</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provisions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Provisions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126,121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158,544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385,986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422,920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equity and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652,986</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374,713</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40" w:type="dxa"/>
            <w:vAlign w:val="bottom"/>
            <w:gridSpan w:val="15"/>
          </w:tcPr>
          <w:p>
            <w:pPr>
              <w:ind w:left="18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gridSpan w:val="3"/>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auto"/>
              </w:rPr>
              <w:t>currency</w:t>
            </w: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60" w:type="dxa"/>
            <w:vAlign w:val="bottom"/>
            <w:gridSpan w:val="3"/>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5"/>
                <w:szCs w:val="5"/>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0" w:type="dxa"/>
            <w:vAlign w:val="bottom"/>
          </w:tcPr>
          <w:p>
            <w:pPr>
              <w:spacing w:after="0"/>
              <w:rPr>
                <w:sz w:val="12"/>
                <w:szCs w:val="12"/>
                <w:color w:val="auto"/>
              </w:rPr>
            </w:pPr>
          </w:p>
        </w:tc>
        <w:tc>
          <w:tcPr>
            <w:tcW w:w="7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reserve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losses</w:t>
            </w:r>
          </w:p>
        </w:tc>
        <w:tc>
          <w:tcPr>
            <w:tcW w:w="7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reserves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166,764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(197,753)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(27,206</w:t>
            </w:r>
          </w:p>
        </w:tc>
        <w:tc>
          <w:tcPr>
            <w:tcW w:w="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center"/>
              <w:ind w:left="354"/>
              <w:spacing w:after="0"/>
              <w:rPr>
                <w:sz w:val="20"/>
                <w:szCs w:val="20"/>
                <w:color w:val="auto"/>
              </w:rPr>
            </w:pPr>
            <w:r>
              <w:rPr>
                <w:rFonts w:ascii="Arial" w:cs="Arial" w:eastAsia="Arial" w:hAnsi="Arial"/>
                <w:sz w:val="18"/>
                <w:szCs w:val="18"/>
                <w:b w:val="1"/>
                <w:bCs w:val="1"/>
                <w:color w:val="auto"/>
                <w:w w:val="74"/>
              </w:rPr>
              <w:t>(23)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(49,296</w:t>
            </w:r>
          </w:p>
        </w:tc>
        <w:tc>
          <w:tcPr>
            <w:tcW w:w="1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(48,206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(48,019)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(48,262)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w w:val="79"/>
              </w:rPr>
              <w:t>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(48,009</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(48,252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25,949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355,816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355,816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payments</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8"/>
              </w:rPr>
              <w:t>Settlement of share-based payment plan</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w w:val="86"/>
              </w:rPr>
              <w:t>583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193,296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344,115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(245,771)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(25,474</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center"/>
              <w:ind w:left="354"/>
              <w:spacing w:after="0"/>
              <w:rPr>
                <w:sz w:val="20"/>
                <w:szCs w:val="20"/>
                <w:color w:val="auto"/>
              </w:rPr>
            </w:pPr>
            <w:r>
              <w:rPr>
                <w:rFonts w:ascii="Arial" w:cs="Arial" w:eastAsia="Arial" w:hAnsi="Arial"/>
                <w:sz w:val="18"/>
                <w:szCs w:val="18"/>
                <w:b w:val="1"/>
                <w:bCs w:val="1"/>
                <w:color w:val="auto"/>
                <w:w w:val="74"/>
              </w:rPr>
              <w:t>(13)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266,153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86"/>
              </w:rPr>
              <w:t>847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267,000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15"/>
          </w:tcPr>
          <w:p>
            <w:pPr>
              <w:ind w:left="18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3"/>
            <w:vMerge w:val="restart"/>
          </w:tcPr>
          <w:p>
            <w:pPr>
              <w:jc w:val="center"/>
              <w:ind w:right="180"/>
              <w:spacing w:after="0" w:line="113" w:lineRule="exact"/>
              <w:rPr>
                <w:sz w:val="20"/>
                <w:szCs w:val="20"/>
                <w:color w:val="auto"/>
              </w:rPr>
            </w:pPr>
            <w:r>
              <w:rPr>
                <w:rFonts w:ascii="Arial" w:cs="Arial" w:eastAsia="Arial" w:hAnsi="Arial"/>
                <w:sz w:val="13"/>
                <w:szCs w:val="13"/>
                <w:b w:val="1"/>
                <w:bCs w:val="1"/>
                <w:color w:val="auto"/>
                <w:w w:val="98"/>
              </w:rPr>
              <w:t>currency</w:t>
            </w: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3"/>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5"/>
                <w:szCs w:val="5"/>
                <w:color w:val="auto"/>
              </w:rPr>
            </w:pPr>
          </w:p>
        </w:tc>
        <w:tc>
          <w:tcPr>
            <w:tcW w:w="10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5"/>
                <w:szCs w:val="5"/>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7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9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rPr>
              <w:t>Notes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reserve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reserves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3,270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172,416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(112,100)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(33,115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center"/>
              <w:ind w:left="218"/>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(85,653)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(85,653)</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(85,950)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(23)</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(85,653)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7"/>
                <w:szCs w:val="17"/>
                <w:b w:val="1"/>
                <w:bCs w:val="1"/>
                <w:color w:val="auto"/>
                <w:w w:val="72"/>
              </w:rPr>
              <w:t>(23)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(85,676</w:t>
            </w:r>
          </w:p>
        </w:tc>
        <w:tc>
          <w:tcPr>
            <w:tcW w:w="120" w:type="dxa"/>
            <w:vAlign w:val="bottom"/>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100" w:type="dxa"/>
            <w:vAlign w:val="bottom"/>
            <w:gridSpan w:val="2"/>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(85,973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w:t>
            </w:r>
          </w:p>
        </w:tc>
        <w:tc>
          <w:tcPr>
            <w:tcW w:w="6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163,494</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(163,494)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58"/>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payments</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w w:val="99"/>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5,909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166,764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8,922</w:t>
            </w: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(197,753)</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(27,206)</w:t>
            </w:r>
          </w:p>
        </w:tc>
        <w:tc>
          <w:tcPr>
            <w:tcW w:w="940" w:type="dxa"/>
            <w:vAlign w:val="bottom"/>
            <w:gridSpan w:val="5"/>
            <w:shd w:val="clear" w:color="auto" w:fill="CCEEFF"/>
          </w:tcPr>
          <w:p>
            <w:pPr>
              <w:ind w:left="540"/>
              <w:spacing w:after="0"/>
              <w:rPr>
                <w:sz w:val="20"/>
                <w:szCs w:val="20"/>
                <w:color w:val="auto"/>
              </w:rPr>
            </w:pPr>
            <w:r>
              <w:rPr>
                <w:rFonts w:ascii="Arial" w:cs="Arial" w:eastAsia="Arial" w:hAnsi="Arial"/>
                <w:sz w:val="18"/>
                <w:szCs w:val="18"/>
                <w:b w:val="1"/>
                <w:bCs w:val="1"/>
                <w:color w:val="auto"/>
              </w:rPr>
              <w:t>(23)</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(49,296)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Year ended</w:t>
      </w:r>
    </w:p>
    <w:p>
      <w:pPr>
        <w:jc w:val="center"/>
        <w:ind w:left="8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for the year</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(48,262)</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(47,662</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 and intangible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21,984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Net foreign exchange differences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Gain/(Loss) on disposal of property, plant and equipment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an associate and a joint venture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Movements in provisions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Decrease/(Increase) in trade receivable and contract assets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(18,732)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inventories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(Decrease)/Increase in trade and other payables, contract liabilities and refund liabilities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(20,976)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paid</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(58,180</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(52,562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(30,598)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 (67,148)</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 capital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365,177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411,495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12" w:lineRule="exact"/>
        <w:rPr>
          <w:sz w:val="20"/>
          <w:szCs w:val="20"/>
          <w:color w:val="auto"/>
        </w:rPr>
      </w:pPr>
    </w:p>
    <w:p>
      <w:pPr>
        <w:ind w:left="980" w:hanging="776"/>
        <w:spacing w:after="0"/>
        <w:tabs>
          <w:tab w:leader="none" w:pos="98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BioNTech AG is a limited company incorporated and domiciled in Germany. Its shares are not publicly traded. The registered office is located in Mainz, An der Goldgrube 12, 55131 Germany. The accompanying International Financial Reporting Standards (IFRS) consolidated financial statements present the financial position and the results of operation of BioNTech AG and its subsidiaries, hereinafter also referred to as “BioNTech” or the “Group”. Effective March 8, 2019, BioNTech AG changed its name and legal form to BioNTech SE. The Group is principally engaged in developing innovative immunotherapies for the individualized treatment of cancer and other infectious diseases.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on the Group’s structure is provided in Note 5. Information on other related party relationships of the Group is provided in Note 26.</w:t>
      </w:r>
    </w:p>
    <w:p>
      <w:pPr>
        <w:spacing w:after="0" w:line="24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consolidated financial statements of the Group for the year ended December 31, 2018 were authorized for issue in accordance with a resolution of the directors on June 18, 2019.</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BioNTech prepares and publishes its consolidated financial statements in Euros. Unless otherwise stated, the numbers are rounded to thousands of Euros.</w:t>
      </w:r>
    </w:p>
    <w:p>
      <w:pPr>
        <w:spacing w:after="0" w:line="315" w:lineRule="exact"/>
        <w:rPr>
          <w:sz w:val="20"/>
          <w:szCs w:val="20"/>
          <w:color w:val="auto"/>
        </w:rPr>
      </w:pPr>
    </w:p>
    <w:p>
      <w:pPr>
        <w:ind w:left="980" w:hanging="776"/>
        <w:spacing w:after="0"/>
        <w:tabs>
          <w:tab w:leader="none" w:pos="9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Basis of preparation</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consolidated financial statements have been prepared on a going concern basis in accordance with the IFRS as issued by the International Accounting Standards Board (IASB).</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BioNTech adopted IFRS for the first time on January 1, 2017 and therefore, an additional statement of financial position as of January 1, 2017 is presented in these consolidated financial statements due to the first-time adoption of IFRS.</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Basis of consolidation</w:t>
      </w:r>
    </w:p>
    <w:p>
      <w:pPr>
        <w:spacing w:after="0" w:line="121"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The consolidated financial statements comprise the financial statements of the Company and its controlled investees (subsidiaries) as at December 31,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controls an investee if, and only if, the Group has</w:t>
      </w:r>
    </w:p>
    <w:p>
      <w:pPr>
        <w:spacing w:after="0" w:line="131" w:lineRule="exact"/>
        <w:rPr>
          <w:sz w:val="20"/>
          <w:szCs w:val="20"/>
          <w:color w:val="auto"/>
        </w:rPr>
      </w:pPr>
    </w:p>
    <w:p>
      <w:pPr>
        <w:ind w:left="1180" w:hanging="436"/>
        <w:spacing w:after="0"/>
        <w:tabs>
          <w:tab w:leader="none" w:pos="1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power over the investee (</w:t>
      </w:r>
      <w:r>
        <w:rPr>
          <w:rFonts w:ascii="Arial" w:cs="Arial" w:eastAsia="Arial" w:hAnsi="Arial"/>
          <w:sz w:val="18"/>
          <w:szCs w:val="18"/>
          <w:i w:val="1"/>
          <w:iCs w:val="1"/>
          <w:color w:val="auto"/>
        </w:rPr>
        <w:t>i.e.</w:t>
      </w:r>
      <w:r>
        <w:rPr>
          <w:rFonts w:ascii="Arial" w:cs="Arial" w:eastAsia="Arial" w:hAnsi="Arial"/>
          <w:sz w:val="18"/>
          <w:szCs w:val="18"/>
          <w:color w:val="auto"/>
        </w:rPr>
        <w:t>, existing rights that give it the current ability to direct the relevant activities of the investee);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exposure, or rights, to variable returns from its involvement with the investee;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ability to use its power over the investee to affect its returns.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Generally, there is a presumption that a majority of voting rights results in control.</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Group re-assesses whether it controls an investee if facts and circumstances indicate that there are changes to one or more of the three elements of control. Consolidation of a subsidiary begins when the Group obtains control over the subsidiary and ceases when the Group loses control of the subsidiary. Assets, liabilities, income and expenses of a subsidiary acquired or disposed of during the year are included in the consolidated financial statements from the date the Group gains control of the subsidiary until the date the Group ceases to control the subsidiary.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statement of profit or loss and each component of other comprehensive income are attributed to the equity holders of the parent of the Group and to the non-controlling interests, even if this results in the non-controlling interests having a deficit balance. When necessary, adjustments are made to the financial statements of subsidiaries to bring their accounting policies in line with the Group’s accounting policies. All intra-group assets and liabilities, equity, income, expenses and cash flows relating to transactions between members of the Group are eliminated in full on consolidation.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If the Group loses control over a subsidiary, it derecognizes the related assets (including goodwill), liabilities, non-controlling interests and other components of equity, while any resultant gain or loss is recognized in the statement of profit or loss. Any investment retained is recognized at fair value.</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Business combinations and goodwill</w:t>
      </w:r>
    </w:p>
    <w:p>
      <w:pPr>
        <w:spacing w:after="0" w:line="121" w:lineRule="exact"/>
        <w:rPr>
          <w:sz w:val="20"/>
          <w:szCs w:val="20"/>
          <w:color w:val="auto"/>
        </w:rPr>
      </w:pPr>
    </w:p>
    <w:p>
      <w:pPr>
        <w:jc w:val="both"/>
        <w:ind w:left="200" w:right="980" w:firstLine="441"/>
        <w:spacing w:after="0" w:line="342" w:lineRule="auto"/>
        <w:rPr>
          <w:sz w:val="20"/>
          <w:szCs w:val="20"/>
          <w:color w:val="auto"/>
        </w:rPr>
      </w:pPr>
      <w:r>
        <w:rPr>
          <w:rFonts w:ascii="Arial" w:cs="Arial" w:eastAsia="Arial" w:hAnsi="Arial"/>
          <w:sz w:val="16"/>
          <w:szCs w:val="16"/>
          <w:color w:val="auto"/>
        </w:rPr>
        <w:t>Business combinations are accounted for using the acquisition method. The cost of an acquisition is measured as the aggregate of the consideration transferred, which is measured at acquisition date fair value, and the amount of any non-controlling interests in the acquiree.</w:t>
      </w:r>
    </w:p>
    <w:p>
      <w:pPr>
        <w:spacing w:after="0" w:line="124" w:lineRule="exact"/>
        <w:rPr>
          <w:sz w:val="20"/>
          <w:szCs w:val="20"/>
          <w:color w:val="auto"/>
        </w:rPr>
      </w:pPr>
    </w:p>
    <w:p>
      <w:pPr>
        <w:ind w:left="200" w:right="1140" w:firstLine="441"/>
        <w:spacing w:after="0" w:line="342" w:lineRule="auto"/>
        <w:rPr>
          <w:sz w:val="20"/>
          <w:szCs w:val="20"/>
          <w:color w:val="auto"/>
        </w:rPr>
      </w:pPr>
      <w:r>
        <w:rPr>
          <w:rFonts w:ascii="Arial" w:cs="Arial" w:eastAsia="Arial" w:hAnsi="Arial"/>
          <w:sz w:val="16"/>
          <w:szCs w:val="16"/>
          <w:color w:val="auto"/>
        </w:rPr>
        <w:t>Goodwill is initially measured at cost as the excess of the aggregate of the consideration transferred and the amount recognized for non-controlling interests and any previous interest held over the net identifiable assets acquired and liabilities assumed.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initial recognition, goodwill is tested at least annually or when there is an indication for impairment. See Note 2.3.13.</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Current versus non-current classifications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Group presents assets and liabilities in the consolidated statements of financial position based on current or non-current classification. An asset is current when it is either: (i) expected to be realized within 12 months after the reporting period or (ii) cash or cash equivalents, unless it is restricted from being exchanged or used to settle a liability for at least 12 months after the reporting period. All other assets are classified as non-current. A liability is current when it is due to be settled within 12 months after the reporting period. The Group classifies all other liabilities as non-current.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assets and liabilities are classified as non-current assets and liabilities, respectively.</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Fair value measurement</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92" w:lineRule="exact"/>
        <w:rPr>
          <w:sz w:val="20"/>
          <w:szCs w:val="20"/>
          <w:color w:val="auto"/>
        </w:rPr>
      </w:pPr>
    </w:p>
    <w:p>
      <w:pPr>
        <w:ind w:left="1180" w:hanging="436"/>
        <w:spacing w:after="0"/>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Level 1 contains the use of quoted prices in active markets for identical assets or liabilities.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Level 3 inputs are unobservable.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Within this hierarchy, estimated values are made by management based on reasonable assumptions, including other fair value methods.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assets and liabilities that are recognized in the financial statements at fair value on a recurring basis, the Group determines whether transfers have occurred between levels in the fair value hierarchy by re-assessing categorization (based on the lowest level input that is significant to the fair value measurement as a whole) at the end of each reporting period.</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b w:val="1"/>
          <w:bCs w:val="1"/>
          <w:color w:val="auto"/>
        </w:rPr>
        <w:t>Revenue from contracts with customers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IFRS 15</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applying IFRS 15 effective January 1, 2017, the Group has used the following practical expedients permitted by the standard:</w:t>
      </w:r>
    </w:p>
    <w:p>
      <w:pPr>
        <w:spacing w:after="0" w:line="131" w:lineRule="exact"/>
        <w:rPr>
          <w:sz w:val="20"/>
          <w:szCs w:val="20"/>
          <w:color w:val="auto"/>
        </w:rPr>
      </w:pPr>
    </w:p>
    <w:p>
      <w:pPr>
        <w:ind w:left="1180" w:right="80" w:hanging="436"/>
        <w:spacing w:after="0" w:line="277" w:lineRule="auto"/>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for completed contracts that have variable consideration, the transaction price at the date the contract was completed was used rather than estimating variable consideration amounts; and</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for contracts that were modified before the beginning of the earliest period presented, the aggregate effect of all of the modifications that occurred before the beginning of the earliest period presented were reflected.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Revenue from contracts with customers is recognized when control of the goods or services are transferred to the customer at an amount that reflects the consideration to which BioNTech expects to be entitled in exchange for those goods or services. If a contract with a customer contains more than one performance obligation, the transaction price is allocated to each performance obligation on a relative-stand-alone selling price basis. BioNTech has generally concluded that it acts as the principal in its revenue arrangements because it typically controls the goods or services before transferring them to the customer. The following is a description of these activities.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from collaboration and license agreements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BioNTech generates revenues from collaboration and license agreements under which BioNTech grants licenses to use, research, develop, manufacture and commercialize product candidates and products. If the grant of a license is bundled together with the rendering of services, it is assessed whether these agreements are comprised of more than one performance obligation. A performance obligation is only accounted for as the grant of a license if the grant of a license is the sole or the predominant promise of the performance obligation. For each promise to grant a license that is a separate performance obligation, it is considered whether control is transferred to a licensee either at a point in time or over time. Under the terms of its licensing arrangements, BioNTech provides the licensee with a right to access BioNTech’s intellectual property as it exists throughout the license period (as BioNTech’s intellectual property is still subject to further research). Therefore, the promise to grant a license is accounted for as a performance obligation satisfied over time, as the licensee simultaneously receives and consumes the benefits of BioNTech’s performance.</w:t>
      </w:r>
    </w:p>
    <w:p>
      <w:pPr>
        <w:spacing w:after="0" w:line="166"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If the consideration in an agreement includes a variable amount, BioNTech estimates the amount of consideration to which BioNTech will be entitled in exchange for transferring the goods to the customer. At contract inception, the variable consideration is estimated based on the most likely amount of consideration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240" w:top="459" w:right="4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auto"/>
        </w:rPr>
        <w:t>expected from the transaction and constrained until it is highly probable that a significant revenue reversal in the amount of cumulative revenue recognized will not occur when the associated uncertainty with respect the variable consideration is subsequently resolved. The estimated deferred revenue is updated at each reporting date to reflect the current facts and circumstances.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Rendering of services</w:t>
      </w:r>
    </w:p>
    <w:p>
      <w:pPr>
        <w:spacing w:after="0" w:line="121"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BioNTech provides development and manufacturing services to customers and recognizes revenue over time using an input-based method to measure progress toward complete satisfaction of the services because the customer simultaneously receives and consumes the benefits provided by BioNTech. If BioNTech has a right to consideration from a customer in the amount that corresponds directly with the value to the customer of BioNTech’s performance completed to date (for example, service contracts in which BioNTech bills a fixed amount for each hour or day of service provided), BioNTech recognizes revenue in the amount for which BioNTech has a right to invoice the customer.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products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Revenue from the sale of medical products (</w:t>
      </w:r>
      <w:r>
        <w:rPr>
          <w:rFonts w:ascii="Arial" w:cs="Arial" w:eastAsia="Arial" w:hAnsi="Arial"/>
          <w:sz w:val="16"/>
          <w:szCs w:val="16"/>
          <w:i w:val="1"/>
          <w:iCs w:val="1"/>
          <w:color w:val="auto"/>
        </w:rPr>
        <w:t>e.g</w:t>
      </w:r>
      <w:r>
        <w:rPr>
          <w:rFonts w:ascii="Arial" w:cs="Arial" w:eastAsia="Arial" w:hAnsi="Arial"/>
          <w:sz w:val="16"/>
          <w:szCs w:val="16"/>
          <w:color w:val="auto"/>
        </w:rPr>
        <w:t>., peptides and retroviral vectors for clinical supply) is recognized when BioNTech transfers control of the product to the customer. Control of the product normally transfers when the customer gains physical possession and BioNTech has not retained any significant risks of ownership or future obligations with respect to the product. A receivable is recognized, as the consideration is unconditional and only the passage of time is required before payment is due. The transaction price is quoted in the relevant price lists in force at the date of customer placing the respective order for such products. Payments from customers are due within 20 days (Europe) or 30 days (non-Europe) after invoice.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assets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BioNTech performs by transferring goods or services to a customer before the customer pays consideration or before payment is due, a contract asset is recognized for the earned consideration that is conditional.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receivable represents BioNTech’s right to an amount of consideration that is unconditional (</w:t>
      </w:r>
      <w:r>
        <w:rPr>
          <w:rFonts w:ascii="Arial" w:cs="Arial" w:eastAsia="Arial" w:hAnsi="Arial"/>
          <w:sz w:val="18"/>
          <w:szCs w:val="18"/>
          <w:i w:val="1"/>
          <w:iCs w:val="1"/>
          <w:color w:val="auto"/>
        </w:rPr>
        <w:t>i.e</w:t>
      </w:r>
      <w:r>
        <w:rPr>
          <w:rFonts w:ascii="Arial" w:cs="Arial" w:eastAsia="Arial" w:hAnsi="Arial"/>
          <w:sz w:val="18"/>
          <w:szCs w:val="18"/>
          <w:color w:val="auto"/>
        </w:rPr>
        <w:t>., only the passage of time is required before payment of the consideration is due).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contract liability is the obligation to transfer goods or services to a customer for which BioNTech has received consideration (or an amount of consideration is due) from the customer. If a customer pays consideration before BioNTech transfers goods or services to the customer, a contract liability is recognized when the payment is made or when the payment is due (whichever is earlier). Contract liabilities are recognized as revenue when BioNTech performs under the contract.</w:t>
      </w:r>
    </w:p>
    <w:p>
      <w:pPr>
        <w:spacing w:after="0" w:line="3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Government grants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the grant is intended to compensate, are expensed. When the grant relates to an asset, it is recognized as deduction in calculating the carrying amount of the asset and thus in the statement of profit or loss over the life of the depreciable asset as a reduced depreciation expense.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60"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4"/>
          <w:szCs w:val="14"/>
          <w:b w:val="1"/>
          <w:bCs w:val="1"/>
          <w:color w:val="auto"/>
        </w:rPr>
        <w:t>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income tax</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liabilities are recognized for all taxable temporary differences, except:</w:t>
      </w:r>
    </w:p>
    <w:p>
      <w:pPr>
        <w:spacing w:after="0" w:line="131" w:lineRule="exact"/>
        <w:rPr>
          <w:sz w:val="20"/>
          <w:szCs w:val="20"/>
          <w:color w:val="auto"/>
        </w:rPr>
      </w:pPr>
    </w:p>
    <w:p>
      <w:pPr>
        <w:ind w:left="1180" w:right="260" w:hanging="436"/>
        <w:spacing w:after="0" w:line="277" w:lineRule="auto"/>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or</w:t>
      </w:r>
    </w:p>
    <w:p>
      <w:pPr>
        <w:spacing w:after="0" w:line="75" w:lineRule="exact"/>
        <w:rPr>
          <w:rFonts w:ascii="Arial" w:cs="Arial" w:eastAsia="Arial" w:hAnsi="Arial"/>
          <w:sz w:val="18"/>
          <w:szCs w:val="18"/>
          <w:color w:val="auto"/>
        </w:rPr>
      </w:pPr>
    </w:p>
    <w:p>
      <w:pPr>
        <w:jc w:val="both"/>
        <w:ind w:left="1180" w:right="20" w:hanging="436"/>
        <w:spacing w:after="0" w:line="264" w:lineRule="auto"/>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respect of taxable temporary differences associated with investments in subsidiaries, associates and interests in joint arrangements, when the timing of the reversal of the temporary differences can be controlled and it is probable that the temporary differences will not reverse in the foreseeable future.</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unused tax credits and unused tax losses can be utilized, except:</w:t>
      </w:r>
    </w:p>
    <w:p>
      <w:pPr>
        <w:spacing w:after="0" w:line="87" w:lineRule="exact"/>
        <w:rPr>
          <w:sz w:val="20"/>
          <w:szCs w:val="20"/>
          <w:color w:val="auto"/>
        </w:rPr>
      </w:pPr>
    </w:p>
    <w:p>
      <w:pPr>
        <w:ind w:left="1180" w:right="180" w:hanging="436"/>
        <w:spacing w:after="0" w:line="264" w:lineRule="auto"/>
        <w:tabs>
          <w:tab w:leader="none" w:pos="11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6"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associates and interests in joint arrangements, deferred tax assets are recognized only to the extent that it is probable that the temporary differences will reverse in the foreseeable future and taxable profit will be available against which the temporary differences can be utilized.</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items are recognized in relation to the underlying transaction either in other comprehensive income or directly in equity.</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Group offsets deferred tax assets and deferred tax liabilities only if it has a legally enforceable right to set off current tax assets and current tax liabilities and the deferred tax assets and deferred tax liabilities relate to income taxes levied by the same taxation authority on either (i) the same taxable entity or (ii)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tax</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Expenses and assets are recognized net of sales tax, except when the sales tax incurred on a purchase of assets or services is not recoverable from the taxation authority.</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net amount of sales tax recoverable from, or payable to, the taxation authority is included as part of receivables or payables in the statement of financial position.</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Foreign currencies</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The Group’s consolidated financial statements are presented in Euros, which is also the parent company’s functional currency. For each entity, the Group determines the functional currency, and items included in the financial statements of such entity are measured using that functional currency. The Group uses the direct method of consolidation and on disposal of a foreign operation, the gain or loss that is reclassified to the statement of profit or loss reflects the amount that arises from using this method.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and balances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rates at the dates of the initial transactions.</w:t>
      </w:r>
    </w:p>
    <w:p>
      <w:pPr>
        <w:spacing w:after="0" w:line="170"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determining the spot exchange rate to use on initial recognition of the related asset, expense or income (or part of it) on the derecognition of a non-monetary asset or non-monetary liability relating to advance consideration, the date of the transaction is the date on which the Group initially recognizes the non-monetary asset or non-monetary liability arising from the advance consideration. If there are multiple payments or receipts in advance, the Group determines the transaction date for each payment or receipt of advance consideration.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consolidation, the assets and liabilities of foreign operations are translated into Euros at the rate of exchange prevailing at the reporting date and their statements of profit or loss are translated at exchange rates prevailing at the dates of the transactions.</w:t>
      </w:r>
    </w:p>
    <w:p>
      <w:pPr>
        <w:spacing w:after="0" w:line="170"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pacing w:after="0" w:line="124"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Any goodwill arising on the acquisition of a foreign operation and any fair value adjustments to the carrying amounts of assets and liabilities arising upon the acquisition are treated as assets and liabilities of the foreign operation and translated at the spot rate of exchange at the reporting date.</w:t>
      </w:r>
    </w:p>
    <w:p>
      <w:pPr>
        <w:spacing w:after="0" w:line="26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Construction in progress is stated at cost, net of accumulated impairment losses, if any. Property, plant and equipment are stated at cost, net of accumulated depreciation and accumulated impairment losses, if any. Such cost includes the cost of replacing part of the property, plant and equipment if the recognition criteria are met. All other repair and maintenance costs are expensed as incurred.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2"/>
              </w:rPr>
              <w:t>Property, plant and equipment</w:t>
            </w:r>
          </w:p>
        </w:tc>
        <w:tc>
          <w:tcPr>
            <w:tcW w:w="2740" w:type="dxa"/>
            <w:vAlign w:val="bottom"/>
            <w:vMerge w:val="restart"/>
          </w:tcPr>
          <w:p>
            <w:pPr>
              <w:spacing w:after="0"/>
              <w:rPr>
                <w:sz w:val="14"/>
                <w:szCs w:val="14"/>
                <w:color w:val="auto"/>
              </w:rPr>
            </w:pPr>
          </w:p>
        </w:tc>
        <w:tc>
          <w:tcPr>
            <w:tcW w:w="2840" w:type="dxa"/>
            <w:vAlign w:val="bottom"/>
            <w:gridSpan w:val="2"/>
          </w:tcPr>
          <w:p>
            <w:pPr>
              <w:jc w:val="center"/>
              <w:ind w:left="2139"/>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2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7-33</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Equipment, tools and installations</w:t>
            </w:r>
          </w:p>
        </w:tc>
        <w:tc>
          <w:tcPr>
            <w:tcW w:w="2840" w:type="dxa"/>
            <w:vAlign w:val="bottom"/>
            <w:gridSpan w:val="2"/>
          </w:tcPr>
          <w:p>
            <w:pPr>
              <w:jc w:val="center"/>
              <w:ind w:left="2119"/>
              <w:spacing w:after="0"/>
              <w:rPr>
                <w:sz w:val="20"/>
                <w:szCs w:val="20"/>
                <w:color w:val="auto"/>
              </w:rPr>
            </w:pPr>
            <w:r>
              <w:rPr>
                <w:rFonts w:ascii="Arial" w:cs="Arial" w:eastAsia="Arial" w:hAnsi="Arial"/>
                <w:sz w:val="18"/>
                <w:szCs w:val="18"/>
                <w:color w:val="auto"/>
                <w:w w:val="88"/>
              </w:rPr>
              <w:t>3-15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An item of property, plant and equipment initially recognized is derecognized upon disposal (</w:t>
      </w:r>
      <w:r>
        <w:rPr>
          <w:rFonts w:ascii="Arial" w:cs="Arial" w:eastAsia="Arial" w:hAnsi="Arial"/>
          <w:sz w:val="16"/>
          <w:szCs w:val="16"/>
          <w:i w:val="1"/>
          <w:iCs w:val="1"/>
          <w:color w:val="auto"/>
        </w:rPr>
        <w:t>i.e</w:t>
      </w:r>
      <w:r>
        <w:rPr>
          <w:rFonts w:ascii="Arial" w:cs="Arial" w:eastAsia="Arial" w:hAnsi="Arial"/>
          <w:sz w:val="16"/>
          <w:szCs w:val="16"/>
          <w:color w:val="auto"/>
        </w:rPr>
        <w:t>.,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profit or loss when the asset is derecognized.</w:t>
      </w:r>
    </w:p>
    <w:p>
      <w:pPr>
        <w:spacing w:after="0" w:line="14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4"/>
          <w:szCs w:val="14"/>
          <w:b w:val="1"/>
          <w:bCs w:val="1"/>
          <w:color w:val="auto"/>
        </w:rPr>
        <w:t>Leases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adopted IFRS 16 Leases for annual periods beginning on January 1, 2017.</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At the inception of a contract, the Group assesses whether the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Group assesses whether:</w:t>
      </w:r>
    </w:p>
    <w:p>
      <w:pPr>
        <w:spacing w:after="0" w:line="87" w:lineRule="exact"/>
        <w:rPr>
          <w:sz w:val="20"/>
          <w:szCs w:val="20"/>
          <w:color w:val="auto"/>
        </w:rPr>
      </w:pPr>
    </w:p>
    <w:p>
      <w:pPr>
        <w:ind w:left="1180" w:right="140" w:hanging="436"/>
        <w:spacing w:after="0" w:line="264" w:lineRule="auto"/>
        <w:tabs>
          <w:tab w:leader="none" w:pos="1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asset—this may be specified explicitly or implicitly and should be physically distinct or represent substantially all of the capacity of a physically distinct asset. If the supplier has a substantive substitution right, then the asset is not identified;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Group has the right to obtain substantially all of the economic benefits from use of the asset throughout the period of use; and</w:t>
      </w:r>
    </w:p>
    <w:p>
      <w:pPr>
        <w:spacing w:after="0" w:line="142" w:lineRule="exact"/>
        <w:rPr>
          <w:rFonts w:ascii="Arial" w:cs="Arial" w:eastAsia="Arial" w:hAnsi="Arial"/>
          <w:sz w:val="17"/>
          <w:szCs w:val="17"/>
          <w:color w:val="auto"/>
        </w:rPr>
      </w:pPr>
    </w:p>
    <w:p>
      <w:pPr>
        <w:jc w:val="both"/>
        <w:ind w:left="1180" w:right="40" w:hanging="436"/>
        <w:spacing w:after="0" w:line="264" w:lineRule="auto"/>
        <w:tabs>
          <w:tab w:leader="none" w:pos="1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Group has the right to direct the use of the asset. The Group has this right when it has the decision-making rights that are most relevant to changing how and for what purpose the asset is used. In rare cases where the decision about how and for what purpose the asset is used is predetermined, the Group has the right to direct the use of the asset if either:</w:t>
      </w:r>
    </w:p>
    <w:p>
      <w:pPr>
        <w:spacing w:after="0" w:line="86" w:lineRule="exact"/>
        <w:rPr>
          <w:rFonts w:ascii="Arial" w:cs="Arial" w:eastAsia="Arial" w:hAnsi="Arial"/>
          <w:sz w:val="18"/>
          <w:szCs w:val="18"/>
          <w:color w:val="auto"/>
        </w:rPr>
      </w:pPr>
    </w:p>
    <w:p>
      <w:pPr>
        <w:ind w:left="1620" w:hanging="322"/>
        <w:spacing w:after="0"/>
        <w:tabs>
          <w:tab w:leader="none" w:pos="16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Group has the right to operate the asset;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Group designed the asset in a way that predetermines how and for what purpose it will be used.</w:t>
      </w:r>
    </w:p>
    <w:p>
      <w:pPr>
        <w:spacing w:after="0" w:line="225"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At inception or on reassessment of a contract that contains a lease component, the Group allocates the consideration in the contract to each lease component on the basis of their relative stand-alone prices. However, for the leases of land and buildings in which it is a lessee, the Group has elected not to separate non-lease components, and instead accounts for the lease and non-lease components as a single lease component.</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the costs to dismantle and remove the underlying asset or to restore the underlying asset or the site on which it is located, less any lease incentives received by the Group.</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right-of-use asset is subsequently depreciated using the straight-line method from the commencement date to the earlier of the end of the useful life of the right-of-use asset and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 payments included in the measurement of the lease liability comprise the following:</w:t>
      </w:r>
    </w:p>
    <w:p>
      <w:pPr>
        <w:spacing w:after="0" w:line="131" w:lineRule="exact"/>
        <w:rPr>
          <w:sz w:val="20"/>
          <w:szCs w:val="20"/>
          <w:color w:val="auto"/>
        </w:rPr>
      </w:pPr>
    </w:p>
    <w:p>
      <w:pPr>
        <w:ind w:left="1180" w:hanging="436"/>
        <w:spacing w:after="0"/>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variable lease payments that depend on an index or a rate, initially measured using the index or rate as of the commencement date;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amounts expected to be payable under a residual value guarantee; and</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statement of profit or loss if the carrying amount of the right-of-use asset has been reduced to zero.</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Group presents right-of-use assets in ‘property, plant and equipment’ and lease liabilities in ‘financial liabilities’ in the statement of financial position.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or shorter lease term,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Right-of-use assets</w:t>
            </w:r>
          </w:p>
        </w:tc>
        <w:tc>
          <w:tcPr>
            <w:tcW w:w="2840" w:type="dxa"/>
            <w:vAlign w:val="bottom"/>
            <w:gridSpan w:val="2"/>
          </w:tcPr>
          <w:p>
            <w:pPr>
              <w:jc w:val="center"/>
              <w:ind w:left="2136"/>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464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3"/>
        </w:trPr>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35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1-25</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Equipment, tools and installations</w:t>
            </w:r>
          </w:p>
        </w:tc>
        <w:tc>
          <w:tcPr>
            <w:tcW w:w="2840" w:type="dxa"/>
            <w:vAlign w:val="bottom"/>
            <w:gridSpan w:val="2"/>
          </w:tcPr>
          <w:p>
            <w:pPr>
              <w:jc w:val="center"/>
              <w:ind w:left="2116"/>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Automobiles</w:t>
            </w:r>
          </w:p>
        </w:tc>
        <w:tc>
          <w:tcPr>
            <w:tcW w:w="2840" w:type="dxa"/>
            <w:vAlign w:val="bottom"/>
            <w:gridSpan w:val="2"/>
            <w:shd w:val="clear" w:color="auto" w:fill="CCEEFF"/>
          </w:tcPr>
          <w:p>
            <w:pPr>
              <w:jc w:val="center"/>
              <w:ind w:left="2116"/>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Short-term leases and leases of low-value assets</w:t>
      </w:r>
    </w:p>
    <w:p>
      <w:pPr>
        <w:spacing w:after="0" w:line="12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Group has elected not to recognize right-of-use assets and lease liabilities for short-term leases of machinery that have a lease term of 12 months or less or leases of low-value assets. The Group recognizes the lease payments associated with these leases as an expense in the statement of profit or loss on a straight-line basis over the lease term.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IFRS 16</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applying IFRS 16 for the first time on January 1, 2017, the Group has used the following practical expedients permitted by the standard:</w:t>
      </w:r>
    </w:p>
    <w:p>
      <w:pPr>
        <w:spacing w:after="0" w:line="142" w:lineRule="exact"/>
        <w:rPr>
          <w:sz w:val="20"/>
          <w:szCs w:val="20"/>
          <w:color w:val="auto"/>
        </w:rPr>
      </w:pPr>
    </w:p>
    <w:p>
      <w:pPr>
        <w:ind w:left="5540" w:right="3100" w:hanging="4796"/>
        <w:spacing w:after="0" w:line="449" w:lineRule="auto"/>
        <w:tabs>
          <w:tab w:leader="none" w:pos="117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use of a single discount rate for a portfolio of leases with reasonably similar characteristics; F-28</w:t>
      </w:r>
    </w:p>
    <w:p>
      <w:pPr>
        <w:sectPr>
          <w:pgSz w:w="11900" w:h="16838" w:orient="portrait"/>
          <w:cols w:equalWidth="0" w:num="1">
            <w:col w:w="11120"/>
          </w:cols>
          <w:pgMar w:left="240" w:top="459" w:right="5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accounting for operating leases with a remaining lease term of less than 12 months as at January 1, 2017 as short-term leases;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exclusion of initial direct costs for the measurement of the right-of-use asset at the date of initial application;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use of hindsight in determining the lease term where the contract contains options to extend or terminate the lease.</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useful lives of intangible assets are assessed as either finite or indefinite.</w:t>
      </w:r>
    </w:p>
    <w:p>
      <w:pPr>
        <w:spacing w:after="0" w:line="225"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Intangible assets with finite lives are amortized generally on a straight-line basis over the useful economic life and assessed for impairment whenever there is an indication that the intangible asset may be impaired. The amortization period and the amortization method for an intangible asset with a finite useful life are at least reviewed at the end of each reporting period. The amortization expense on intangible assets with finite lives is recognized in the statement of profit or loss in the expense category that is consistent with the function of the intangible assets.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useful lives applied to the Group’s intangible assets is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7"/>
              </w:rPr>
              <w:t>Intangible assets</w:t>
            </w:r>
          </w:p>
        </w:tc>
        <w:tc>
          <w:tcPr>
            <w:tcW w:w="3300" w:type="dxa"/>
            <w:vAlign w:val="bottom"/>
            <w:vMerge w:val="restart"/>
          </w:tcPr>
          <w:p>
            <w:pPr>
              <w:spacing w:after="0"/>
              <w:rPr>
                <w:sz w:val="14"/>
                <w:szCs w:val="14"/>
                <w:color w:val="auto"/>
              </w:rPr>
            </w:pPr>
          </w:p>
        </w:tc>
        <w:tc>
          <w:tcPr>
            <w:tcW w:w="3160" w:type="dxa"/>
            <w:vAlign w:val="bottom"/>
            <w:gridSpan w:val="2"/>
          </w:tcPr>
          <w:p>
            <w:pPr>
              <w:jc w:val="center"/>
              <w:ind w:left="2459"/>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02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Industrial property rights</w:t>
            </w:r>
          </w:p>
        </w:tc>
        <w:tc>
          <w:tcPr>
            <w:tcW w:w="2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3160" w:type="dxa"/>
            <w:vAlign w:val="bottom"/>
            <w:gridSpan w:val="2"/>
          </w:tcPr>
          <w:p>
            <w:pPr>
              <w:jc w:val="right"/>
              <w:ind w:right="79"/>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Intangible assets with indefinite useful lives are not amortized, but are tested for impairment annually, either individually or at the level of a cash-generating unit. The assessment of indefinite life is reviewed annually to determine whether the indefinite life continues to be supportable. If not, the change in useful life from indefinite to finite is made on a prospective basis.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group has classified advanced payments on intangible assets as intangible assets with an indefinite useful live. Advanced payments on intangible assets are tested for impairment on an annual basis.</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An intangible asset is derecognized upon disposal (</w:t>
      </w:r>
      <w:r>
        <w:rPr>
          <w:rFonts w:ascii="Arial" w:cs="Arial" w:eastAsia="Arial" w:hAnsi="Arial"/>
          <w:sz w:val="18"/>
          <w:szCs w:val="18"/>
          <w:i w:val="1"/>
          <w:iCs w:val="1"/>
          <w:color w:val="auto"/>
        </w:rPr>
        <w:t>i.e</w:t>
      </w:r>
      <w:r>
        <w:rPr>
          <w:rFonts w:ascii="Arial" w:cs="Arial" w:eastAsia="Arial" w:hAnsi="Arial"/>
          <w:sz w:val="18"/>
          <w:szCs w:val="18"/>
          <w:color w:val="auto"/>
        </w:rPr>
        <w:t>.,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statement of profit or loss.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Research costs are expensed as incurred. Development expenditures on an individual project are recognized as an intangible asset when the Group can demonstrate:</w:t>
      </w:r>
    </w:p>
    <w:p>
      <w:pPr>
        <w:spacing w:after="0" w:line="76" w:lineRule="exact"/>
        <w:rPr>
          <w:sz w:val="20"/>
          <w:szCs w:val="20"/>
          <w:color w:val="auto"/>
        </w:rPr>
      </w:pPr>
    </w:p>
    <w:p>
      <w:pPr>
        <w:ind w:left="1180" w:hanging="436"/>
        <w:spacing w:after="0"/>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technical feasibility of completing the intangible asset so that the asset will be available for use or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its intention to complete and its ability and intention to use or sell the asset;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how the asset will generate future economic benefits;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availability of resources to complete the asset;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ability to reliably measure the expenditure during development.</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Group has not capitalized any development expenditures. The related expenditure is reflected in the statement of profit or loss in the period in which the expenditure is incurred.</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6"/>
          <w:szCs w:val="16"/>
          <w:b w:val="1"/>
          <w:bCs w:val="1"/>
          <w:color w:val="auto"/>
        </w:rPr>
        <w:t>Financial instruments – initial recognition and subsequent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financial instrument is any contract that gives rise to a financial asset of one entity and a financial liability or equity instrument of another entity.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Financial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measured at amortized cost, fair value through other comprehensive income, or fair value through profit or loss.</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 determined under IFRS 15. Refer to the accounting policies in Note 2.3.4.</w:t>
      </w:r>
    </w:p>
    <w:p>
      <w:pPr>
        <w:spacing w:after="0" w:line="15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order for a financial asset to be classified and measured at amortized cost or fair value through OCI, it needs to give rise to cash flows that are ‘solely payments of principal and interest (SPPI)’ on the principal amount outstanding. This assessment is referred to as the SPPI test and is performed at an instrument level.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subsequent measurement, financial assets are classified into four categories:</w:t>
      </w:r>
    </w:p>
    <w:p>
      <w:pPr>
        <w:spacing w:after="0" w:line="131" w:lineRule="exact"/>
        <w:rPr>
          <w:sz w:val="20"/>
          <w:szCs w:val="20"/>
          <w:color w:val="auto"/>
        </w:rPr>
      </w:pPr>
    </w:p>
    <w:p>
      <w:pPr>
        <w:ind w:left="1180" w:hanging="436"/>
        <w:spacing w:after="0"/>
        <w:tabs>
          <w:tab w:leader="none" w:pos="1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financial assets at amortized cost (debt instruments);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financial assets at fair value through other comprehensive income with recycling of cumulative gains and losses (debt instruments);</w:t>
      </w:r>
    </w:p>
    <w:p>
      <w:pPr>
        <w:spacing w:after="0" w:line="142" w:lineRule="exact"/>
        <w:rPr>
          <w:rFonts w:ascii="Arial" w:cs="Arial" w:eastAsia="Arial" w:hAnsi="Arial"/>
          <w:sz w:val="17"/>
          <w:szCs w:val="17"/>
          <w:color w:val="auto"/>
        </w:rPr>
      </w:pPr>
    </w:p>
    <w:p>
      <w:pPr>
        <w:ind w:left="1180" w:right="540" w:hanging="436"/>
        <w:spacing w:after="0" w:line="277" w:lineRule="auto"/>
        <w:tabs>
          <w:tab w:leader="none" w:pos="1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financial assets designated at fair value through other comprehensive income with no recycling of cumulative gains and losses upon derecognition (equity instruments); 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assets at amortized cost (debt instruments)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measures financial assets at amortized cost if both of the following conditions are met:</w:t>
      </w:r>
    </w:p>
    <w:p>
      <w:pPr>
        <w:spacing w:after="0" w:line="131" w:lineRule="exact"/>
        <w:rPr>
          <w:sz w:val="20"/>
          <w:szCs w:val="20"/>
          <w:color w:val="auto"/>
        </w:rPr>
      </w:pPr>
    </w:p>
    <w:p>
      <w:pPr>
        <w:ind w:left="1180" w:hanging="436"/>
        <w:spacing w:after="0"/>
        <w:tabs>
          <w:tab w:leader="none" w:pos="11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with the objective to hold financial assets in order to collect contractual cash flows; and</w:t>
      </w:r>
    </w:p>
    <w:p>
      <w:pPr>
        <w:spacing w:after="0" w:line="153" w:lineRule="exact"/>
        <w:rPr>
          <w:rFonts w:ascii="Arial" w:cs="Arial" w:eastAsia="Arial" w:hAnsi="Arial"/>
          <w:sz w:val="16"/>
          <w:szCs w:val="16"/>
          <w:color w:val="auto"/>
        </w:rPr>
      </w:pPr>
    </w:p>
    <w:p>
      <w:pPr>
        <w:ind w:left="1180" w:right="240" w:hanging="436"/>
        <w:spacing w:after="0" w:line="277" w:lineRule="auto"/>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Financial assets at amortized cost are subsequently measured using the effective interest (EIR) method, and are subject to impairment. Gains and losses are recognized in the statement of profit or loss when the asset is derecognized, modified or impaired.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w:t>
      </w:r>
      <w:r>
        <w:rPr>
          <w:rFonts w:ascii="Arial" w:cs="Arial" w:eastAsia="Arial" w:hAnsi="Arial"/>
          <w:sz w:val="18"/>
          <w:szCs w:val="18"/>
          <w:i w:val="1"/>
          <w:iCs w:val="1"/>
          <w:color w:val="auto"/>
        </w:rPr>
        <w:t>i.e.</w:t>
      </w:r>
      <w:r>
        <w:rPr>
          <w:rFonts w:ascii="Arial" w:cs="Arial" w:eastAsia="Arial" w:hAnsi="Arial"/>
          <w:sz w:val="18"/>
          <w:szCs w:val="18"/>
          <w:color w:val="auto"/>
        </w:rPr>
        <w:t>, removed from the Group’s consolidated statement of financial position) when:</w:t>
      </w:r>
    </w:p>
    <w:p>
      <w:pPr>
        <w:spacing w:after="0" w:line="76" w:lineRule="exact"/>
        <w:rPr>
          <w:sz w:val="20"/>
          <w:szCs w:val="20"/>
          <w:color w:val="auto"/>
        </w:rPr>
      </w:pPr>
    </w:p>
    <w:p>
      <w:pPr>
        <w:ind w:left="1180" w:hanging="436"/>
        <w:spacing w:after="0"/>
        <w:tabs>
          <w:tab w:leader="none" w:pos="11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30"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Group has transferred its rights to receive cash flows from the asset or has assumed an obligation to pay the received cash flows in full without material delay to a third party under a ‘pass-through’ arrangement; and either (i) the Group has transferred substantially all the risks and rewards of the asset, or (ii) the Group has neither transferred nor retained substantially all the risks and rewards of the asset, but has transferred control of the asset.</w:t>
      </w:r>
    </w:p>
    <w:p>
      <w:pPr>
        <w:spacing w:after="0" w:line="18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When the Group has transferred its rights to receive cash flows from an asset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its continuing involvement. In that case, the Group also recognizes an associated liability. The transferred asset and the associated liability are measured on a basis that reflects the rights and obligations that the Group has retained.</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allowance for expected credit losses (ECLs) should be recognized for all debt instruments not held at fair value through profit or loss.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For trade receivables and contract assets,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considers a financial asset in default when contractual payments are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ii) Financial liabilities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as payables.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financial liabilities include trade payables and other financial liabilities.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measurement of financial liabilities depends on their classification, as described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liabilities at fair value through profit or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has no financial liabilities measured at fair value through profit or loss.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Loans, borrowings, trade payables and other financial liabilities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After initial recognition, interest-bearing loans and borrowings, trade payables and other financial liabilities are subsequently measured at amortized cost using the EIR method. Gains and losses are recognized in the statement of profit or loss when the liabilities are derecognized as well as through the EIR amortization process.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Amortized cost is calculated by taking into account any discount or premium on acquisition and fees or costs that are an integral part of the EIR.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EIR amortization is included as finance costs in the statement of profit or loss.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category generally applies to interest-bearing loans and borrowings.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profit or loss.</w:t>
      </w:r>
    </w:p>
    <w:p>
      <w:pPr>
        <w:spacing w:after="0" w:line="3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are valued at the lower of cost and net realizable value.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incurred in bringing each product to its present location and condition are accounted for as follows:</w:t>
      </w:r>
    </w:p>
    <w:p>
      <w:pPr>
        <w:spacing w:after="0" w:line="131" w:lineRule="exact"/>
        <w:rPr>
          <w:sz w:val="20"/>
          <w:szCs w:val="20"/>
          <w:color w:val="auto"/>
        </w:rPr>
      </w:pPr>
    </w:p>
    <w:p>
      <w:pPr>
        <w:ind w:left="1180" w:hanging="436"/>
        <w:spacing w:after="0"/>
        <w:tabs>
          <w:tab w:leader="none" w:pos="11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raw materials and supplies: purchase cost on a first-in/first-out basis; or</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unfinished goods and services and finished goods and services: cost of direct materials and labor and a proportion of manufacturing overheads based on the normal operating capacity, but excluding borrowing costs.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80"/>
          </w:cols>
          <w:pgMar w:left="240" w:top="459" w:right="4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Impairment of non-financial assets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 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 generating unit exceeds its recoverable amount, the asset is considered impaired and is written down to its recoverable amount.</w:t>
      </w:r>
    </w:p>
    <w:p>
      <w:pPr>
        <w:spacing w:after="0" w:line="15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Group bases its impairment calculation on detailed budgets and forecast calculations, which are prepared separately for each of the Group’s cash generating units to which the individual assets are allocated. These budgets and forecast calculations generally cover a period of five years. A long-term growth rate is calculated and applied to project future cash flows after the fifth year.</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Impairment losses of continuing operations are recognized in the statement of profit or loss in expense categories consistent with the function of the impaired asset.</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assets excluding goodwill, an assessment is made at each reporting date to determine whether there is an indication that previously recognized impairment losses no longer exist or have decreased. If such indication exists, the Group estimates the asset’s or cash 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profit or loss unless the asset is carried at a revalued amount, in which case, the reversal is treated as a revaluation increase.</w:t>
      </w:r>
    </w:p>
    <w:p>
      <w:pPr>
        <w:spacing w:after="0" w:line="32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Cash and cash equivalents comprise cash in banks and on hand and short-term deposits with an original maturity of three months or less, which are subject to an insignificant risk of changes in value.</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5"/>
          <w:szCs w:val="15"/>
          <w:b w:val="1"/>
          <w:bCs w:val="1"/>
          <w:color w:val="auto"/>
        </w:rPr>
        <w:t>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profit or loss net of any reimbursement.</w:t>
      </w:r>
    </w:p>
    <w:p>
      <w:pPr>
        <w:spacing w:after="0" w:line="33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5"/>
          <w:szCs w:val="15"/>
          <w:b w:val="1"/>
          <w:bCs w:val="1"/>
          <w:color w:val="auto"/>
        </w:rPr>
        <w:t>Share-based payments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Employees (and others providing similar services) receive remuneration in the form of share-based payments. Furthermore, employees and others providing similar services to the group are granted share appreciation rights, which are settled in equity instruments (equity-settled transactions).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240" w:top="460" w:right="47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Equity-settled transactions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cost of equity-settled transactions is determined by the fair value at the date when the grant is made using an appropriate valuation model, further details of which are given in Note 16.</w:t>
      </w:r>
    </w:p>
    <w:p>
      <w:pPr>
        <w:spacing w:after="0" w:line="17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These costs are recognized in Research and development expenses, Sales and marketing expenses or General and administrative expenses, together with a corresponding increase in equity (other capital reserves), over the period in which the service is provided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31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First-time adoption of IFRS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These financial statements, for the year ended December 31, 2018, are the first the Group has prepared in accordance with IFRS. For periods up to and including the year ended December 31, 2017, the Group prepared its financial statements in accordance with German GAAP as local generally accepted accounting principles.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Accordingly, the Group has prepared financial statements that comply with IFRS applicable as at December 31, 2018 and the early adoption of IFRS 16 Leases, together with the comparative period data for the year ended December 31, 2017, as described in the summary of significant accounting policies. In preparing the financial statements, the Group’s opening statement of financial position was prepared as at 1 January 2017, the Group’s date of transition to IFRS. The principal adjustments made by the Group in restating its German GAAP financial statements, including the statement of financial position as at 1 January 2017 and the financial statements for the year ended December 31, 2017 as described below.</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Exemptions applied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IFRS 1 allows first-time adopters certain exemptions from the retrospective application of certain requirements under IFRS.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has applied the following exemptions:</w:t>
      </w:r>
    </w:p>
    <w:p>
      <w:pPr>
        <w:spacing w:after="0" w:line="131" w:lineRule="exact"/>
        <w:rPr>
          <w:sz w:val="20"/>
          <w:szCs w:val="20"/>
          <w:color w:val="auto"/>
        </w:rPr>
      </w:pPr>
    </w:p>
    <w:p>
      <w:pPr>
        <w:ind w:left="1180" w:right="80" w:hanging="436"/>
        <w:spacing w:after="0" w:line="273" w:lineRule="auto"/>
        <w:tabs>
          <w:tab w:leader="none" w:pos="11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IFRS 3 Business Combinations has not been applied to either acquisitions of subsidiaries that are considered businesses under IFRS, or acquisitions of interests in associates and joint ventures that occurred before January 1, 2017. Use of this exemption means that the German GAAP carrying amounts of assets and liabilities, which are required to be recognized under IFRS, is their deemed cost at the date of the acquisition. After the date of the acquisition, measurement is in accordance with IFRS. Assets and liabilities that do not qualify for recognition under IFRS are excluded from the opening IFRS statement of financial position. The Group did not recognize or exclude any previously recognized amounts as a result of IFRS recognition requirements.</w:t>
      </w:r>
    </w:p>
    <w:p>
      <w:pPr>
        <w:spacing w:after="0" w:line="83" w:lineRule="exact"/>
        <w:rPr>
          <w:rFonts w:ascii="Arial" w:cs="Arial" w:eastAsia="Arial" w:hAnsi="Arial"/>
          <w:sz w:val="17"/>
          <w:szCs w:val="17"/>
          <w:color w:val="auto"/>
        </w:rPr>
      </w:pPr>
    </w:p>
    <w:p>
      <w:pPr>
        <w:ind w:left="1180" w:right="200" w:hanging="436"/>
        <w:spacing w:after="0" w:line="259" w:lineRule="auto"/>
        <w:tabs>
          <w:tab w:leader="none" w:pos="11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IFRS 1 also requires that the German GAAP carrying amount of goodwill is used in the opening IFRS statement of financial position (apart from adjustments for goodwill impairment and recognition or derecognition of intangible assets). In accordance with IFRS 1, the Group has tested goodwill for impairment at the date of transition to IFRS. No goodwill impairment was deemed necessary at January 1, 2017.</w:t>
      </w:r>
    </w:p>
    <w:p>
      <w:pPr>
        <w:spacing w:after="0" w:line="92" w:lineRule="exact"/>
        <w:rPr>
          <w:rFonts w:ascii="Arial" w:cs="Arial" w:eastAsia="Arial" w:hAnsi="Arial"/>
          <w:sz w:val="18"/>
          <w:szCs w:val="18"/>
          <w:color w:val="auto"/>
        </w:rPr>
      </w:pPr>
    </w:p>
    <w:p>
      <w:pPr>
        <w:ind w:left="1180" w:right="140" w:hanging="436"/>
        <w:spacing w:after="0" w:line="255" w:lineRule="auto"/>
        <w:tabs>
          <w:tab w:leader="none" w:pos="11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BioNTech measures the lease liability under IFRS 16 for all leases at the date of transition to IFRS. The lease liability is measured at the present value of the remaining lease payments, discounted using BioNTech’s incremental borrowing rate at the date of transition to IFRS. The right-of-use asset is measured at cost, which consists of the present value of the unpaid lease payments, adjusted for any initial direct costs, prepaid payments or dismantling costs. The Group applies a single discount rate to a portfolio of leases with reasonably similar characteristics. The Group elects not to apply the requirements for lease liabilities and right-of-use assets as described above to leases for which the lease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64" w:lineRule="auto"/>
        <w:rPr>
          <w:sz w:val="20"/>
          <w:szCs w:val="20"/>
          <w:color w:val="auto"/>
        </w:rPr>
      </w:pPr>
      <w:r>
        <w:rPr>
          <w:rFonts w:ascii="Arial" w:cs="Arial" w:eastAsia="Arial" w:hAnsi="Arial"/>
          <w:sz w:val="18"/>
          <w:szCs w:val="18"/>
          <w:color w:val="auto"/>
        </w:rPr>
        <w:t>term ends within 12 months of the transition to IFRSs, and BioNTech elects to exclude initial direct costs from measurement of the right-of-use asset at the date of transition to IFRSs and the use of hindsight, in determining the lease term if the contract contains options to extend or terminate the lease.</w:t>
      </w:r>
    </w:p>
    <w:p>
      <w:pPr>
        <w:spacing w:after="0" w:line="87" w:lineRule="exact"/>
        <w:rPr>
          <w:sz w:val="20"/>
          <w:szCs w:val="20"/>
          <w:color w:val="auto"/>
        </w:rPr>
      </w:pPr>
    </w:p>
    <w:p>
      <w:pPr>
        <w:ind w:left="1180" w:hanging="436"/>
        <w:spacing w:after="0"/>
        <w:tabs>
          <w:tab w:leader="none" w:pos="11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Cumulative currency translation differences for all foreign operations are deemed to be zero as at January 1,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Estimates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estimates at January 1, 2017 and at December 31, 2017 are consistent with those made for the same dates in accordance with German GAAP (after adjustments to reflect any differences in accounting policies).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differences between German GAAP and IFRS as of January 1, 2017 were as follows: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4"/>
          </w:tcPr>
          <w:p>
            <w:pPr>
              <w:jc w:val="center"/>
              <w:ind w:left="116"/>
              <w:spacing w:after="0"/>
              <w:rPr>
                <w:sz w:val="20"/>
                <w:szCs w:val="20"/>
                <w:color w:val="auto"/>
              </w:rPr>
            </w:pPr>
            <w:r>
              <w:rPr>
                <w:rFonts w:ascii="Arial" w:cs="Arial" w:eastAsia="Arial" w:hAnsi="Arial"/>
                <w:sz w:val="14"/>
                <w:szCs w:val="14"/>
                <w:b w:val="1"/>
                <w:bCs w:val="1"/>
                <w:color w:val="auto"/>
                <w:w w:val="96"/>
              </w:rPr>
              <w:t>German GAAP</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52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Adjustment</w:t>
            </w:r>
          </w:p>
        </w:tc>
        <w:tc>
          <w:tcPr>
            <w:tcW w:w="1200" w:type="dxa"/>
            <w:vAlign w:val="bottom"/>
            <w:gridSpan w:val="4"/>
          </w:tcPr>
          <w:p>
            <w:pPr>
              <w:jc w:val="center"/>
              <w:ind w:left="7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G, F</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(26,143)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(11,472)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76,269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(23,989)</w:t>
            </w: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J</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 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B, 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 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(26,384)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(67,479)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(25,954)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equity method investees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(65,477</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(20,428</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(65,501</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(20,449</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(85,950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(20,449)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(20,449)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80" w:type="dxa"/>
            <w:vAlign w:val="bottom"/>
            <w:gridSpan w:val="2"/>
          </w:tcPr>
          <w:p>
            <w:pPr>
              <w:ind w:left="920"/>
              <w:spacing w:after="0"/>
              <w:rPr>
                <w:sz w:val="20"/>
                <w:szCs w:val="20"/>
                <w:color w:val="auto"/>
              </w:rPr>
            </w:pPr>
            <w:r>
              <w:rPr>
                <w:rFonts w:ascii="Arial" w:cs="Arial" w:eastAsia="Arial" w:hAnsi="Arial"/>
                <w:sz w:val="18"/>
                <w:szCs w:val="18"/>
                <w:color w:val="auto"/>
              </w:rPr>
              <w:t>F-35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96"/>
              </w:rPr>
              <w:t>German GAAP</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gridSpan w:val="2"/>
            <w:vMerge w:val="restart"/>
          </w:tcPr>
          <w:p>
            <w:pPr>
              <w:ind w:left="6640"/>
              <w:spacing w:after="0"/>
              <w:rPr>
                <w:sz w:val="20"/>
                <w:szCs w:val="20"/>
                <w:color w:val="auto"/>
              </w:rPr>
            </w:pPr>
            <w:r>
              <w:rPr>
                <w:rFonts w:ascii="Arial" w:cs="Arial" w:eastAsia="Arial" w:hAnsi="Arial"/>
                <w:sz w:val="14"/>
                <w:szCs w:val="14"/>
                <w:b w:val="1"/>
                <w:bCs w:val="1"/>
                <w:color w:val="auto"/>
                <w:w w:val="89"/>
              </w:rPr>
              <w:t>Note</w:t>
            </w:r>
          </w:p>
        </w:tc>
        <w:tc>
          <w:tcPr>
            <w:tcW w:w="44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Adjustment</w:t>
            </w:r>
          </w:p>
        </w:tc>
        <w:tc>
          <w:tcPr>
            <w:tcW w:w="11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(65,501</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(20,449</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Other comprehensive income that may be reclassified to profit or loss in subsequent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periods (net of tax)</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other comprehensive income/(loss) that may be reclassified to profit or loss in</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subsequent periods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(65,501)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(20,473)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color w:val="auto"/>
              </w:rPr>
              <w:t>Attributable to:</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(20,473)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(65,501)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(20,473)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gridSpan w:val="2"/>
            <w:vMerge w:val="restart"/>
          </w:tcPr>
          <w:p>
            <w:pPr>
              <w:ind w:left="5320"/>
              <w:spacing w:after="0"/>
              <w:rPr>
                <w:sz w:val="20"/>
                <w:szCs w:val="20"/>
                <w:color w:val="auto"/>
              </w:rPr>
            </w:pPr>
            <w:r>
              <w:rPr>
                <w:rFonts w:ascii="Arial" w:cs="Arial" w:eastAsia="Arial" w:hAnsi="Arial"/>
                <w:sz w:val="18"/>
                <w:szCs w:val="18"/>
                <w:color w:val="auto"/>
              </w:rPr>
              <w:t>F-36</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German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IFRS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GAAP as at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7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Adjustment</w:t>
            </w:r>
          </w:p>
        </w:tc>
        <w:tc>
          <w:tcPr>
            <w:tcW w:w="14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58"/>
        </w:trPr>
        <w:tc>
          <w:tcPr>
            <w:tcW w:w="4600" w:type="dxa"/>
            <w:vAlign w:val="bottom"/>
            <w:gridSpan w:val="3"/>
            <w:vMerge w:val="continue"/>
          </w:tcPr>
          <w:p>
            <w:pPr>
              <w:spacing w:after="0"/>
              <w:rPr>
                <w:sz w:val="13"/>
                <w:szCs w:val="13"/>
                <w:color w:val="auto"/>
              </w:rPr>
            </w:pPr>
          </w:p>
        </w:tc>
        <w:tc>
          <w:tcPr>
            <w:tcW w:w="27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11"/>
              <w:spacing w:after="0" w:line="158"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30"/>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C, D</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11,098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assets</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Contract assets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 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303,680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326,672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318,125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369,044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172,416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(112,100)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(33,145</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(33,145</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2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273,414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299,509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 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Deferred income and accrued expenses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243,595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(243,595)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302,085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(245,450)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304,042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358,102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369,044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180" w:type="dxa"/>
            <w:vAlign w:val="bottom"/>
            <w:gridSpan w:val="2"/>
            <w:vMerge w:val="restart"/>
          </w:tcPr>
          <w:p>
            <w:pPr>
              <w:jc w:val="right"/>
              <w:ind w:right="2011"/>
              <w:spacing w:after="0"/>
              <w:rPr>
                <w:sz w:val="20"/>
                <w:szCs w:val="20"/>
                <w:color w:val="auto"/>
              </w:rPr>
            </w:pPr>
            <w:r>
              <w:rPr>
                <w:rFonts w:ascii="Arial" w:cs="Arial" w:eastAsia="Arial" w:hAnsi="Arial"/>
                <w:sz w:val="18"/>
                <w:szCs w:val="18"/>
                <w:color w:val="auto"/>
              </w:rPr>
              <w:t>F-37</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German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IFRS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GAAP as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2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Notes</w:t>
            </w:r>
          </w:p>
        </w:tc>
        <w:tc>
          <w:tcPr>
            <w:tcW w:w="146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Adjustment</w:t>
            </w:r>
          </w:p>
        </w:tc>
        <w:tc>
          <w:tcPr>
            <w:tcW w:w="11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4640" w:type="dxa"/>
            <w:vAlign w:val="bottom"/>
            <w:gridSpan w:val="3"/>
            <w:vMerge w:val="continue"/>
          </w:tcPr>
          <w:p>
            <w:pPr>
              <w:spacing w:after="0"/>
              <w:rPr>
                <w:sz w:val="13"/>
                <w:szCs w:val="13"/>
                <w:color w:val="auto"/>
              </w:rPr>
            </w:pPr>
          </w:p>
        </w:tc>
        <w:tc>
          <w:tcPr>
            <w:tcW w:w="22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1"/>
              <w:spacing w:after="0" w:line="158"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2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C</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81,691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1,845</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B</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financial assets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59,040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 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(7,730</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323,403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3"/>
            <w:vMerge w:val="continue"/>
          </w:tcPr>
          <w:p>
            <w:pPr>
              <w:spacing w:after="0"/>
              <w:rPr>
                <w:sz w:val="18"/>
                <w:szCs w:val="18"/>
                <w:color w:val="auto"/>
              </w:rPr>
            </w:pP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166,764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(177,325)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partent</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(47,663</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(47,663</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41,634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liabilities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222,741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Provisions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(6,941)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 F</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and accrued expenses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 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(241,902)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282,312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(123,768</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158,544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323,946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98,973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equity and liabilities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20" w:type="dxa"/>
            <w:vAlign w:val="bottom"/>
            <w:gridSpan w:val="2"/>
            <w:vMerge w:val="restart"/>
          </w:tcPr>
          <w:p>
            <w:pPr>
              <w:jc w:val="right"/>
              <w:ind w:right="1491"/>
              <w:spacing w:after="0"/>
              <w:rPr>
                <w:sz w:val="20"/>
                <w:szCs w:val="20"/>
                <w:color w:val="auto"/>
              </w:rPr>
            </w:pPr>
            <w:r>
              <w:rPr>
                <w:rFonts w:ascii="Arial" w:cs="Arial" w:eastAsia="Arial" w:hAnsi="Arial"/>
                <w:sz w:val="18"/>
                <w:szCs w:val="18"/>
                <w:color w:val="auto"/>
              </w:rPr>
              <w:t>F-38</w:t>
            </w: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German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GAAP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4"/>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Adjustment</w:t>
            </w:r>
          </w:p>
        </w:tc>
        <w:tc>
          <w:tcPr>
            <w:tcW w:w="11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w w:val="89"/>
              </w:rPr>
              <w:t>Note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(65,522)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(20,428)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(65,498</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 and intangible assets</w:t>
            </w:r>
          </w:p>
        </w:tc>
        <w:tc>
          <w:tcPr>
            <w:tcW w:w="4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expense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Net foreign exchange differences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Finance expense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an associate and a joint venture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Movements in provisions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w w:val="98"/>
              </w:rPr>
              <w:t>Decrease/(Increase) in trade receivable, contract assets and further positions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inventories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340"/>
              <w:spacing w:after="0" w:line="201" w:lineRule="exact"/>
              <w:rPr>
                <w:sz w:val="20"/>
                <w:szCs w:val="20"/>
                <w:color w:val="auto"/>
              </w:rPr>
            </w:pPr>
            <w:r>
              <w:rPr>
                <w:rFonts w:ascii="Arial" w:cs="Arial" w:eastAsia="Arial" w:hAnsi="Arial"/>
                <w:sz w:val="18"/>
                <w:szCs w:val="18"/>
                <w:color w:val="auto"/>
                <w:w w:val="96"/>
              </w:rPr>
              <w:t>(Decrease)/Increase in trade and other payables, contract liabilities and refund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paid</w:t>
            </w:r>
          </w:p>
        </w:tc>
        <w:tc>
          <w:tcPr>
            <w:tcW w:w="4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(12,745</w:t>
            </w:r>
          </w:p>
        </w:tc>
        <w:tc>
          <w:tcPr>
            <w:tcW w:w="220" w:type="dxa"/>
            <w:vAlign w:val="bottom"/>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(39,818</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(52,562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Purchase of intangibles</w:t>
            </w:r>
          </w:p>
        </w:tc>
        <w:tc>
          <w:tcPr>
            <w:tcW w:w="4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M</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(74,882)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(94,009)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41,460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(1,642,634</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(106,754)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5320"/>
              <w:spacing w:after="0"/>
              <w:rPr>
                <w:sz w:val="20"/>
                <w:szCs w:val="20"/>
                <w:color w:val="auto"/>
              </w:rPr>
            </w:pPr>
            <w:r>
              <w:rPr>
                <w:rFonts w:ascii="Arial" w:cs="Arial" w:eastAsia="Arial" w:hAnsi="Arial"/>
                <w:sz w:val="18"/>
                <w:szCs w:val="18"/>
                <w:color w:val="auto"/>
              </w:rPr>
              <w:t>F-39</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Notes to the reconciliation of equity as at 1 January 2017 and December 2017, total comprehensive income and cash flow for the year ended December 31, 2017</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Property, Plant and Equipment</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IFRS, carrying amounts of Property, plant and equipment have been determined based on the useful lives listed in Note 2.3.8. The useful lives under IFRS reflect the economic lives of the respective assets appropriately and differ from those according to German GAAP. According to IFRS the carrying amounts of Property, Plant and Equipment as of January 1, 2017 are k€1,256 higher compared to HGB (December 31, 2017: k€5,293 higher).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Leasing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German GAAP, all leases have been classified as operating leases and no assets or liabilities have been capitalized for the Group’s leases.</w:t>
      </w:r>
    </w:p>
    <w:p>
      <w:pPr>
        <w:spacing w:after="0" w:line="24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IFRS, all leases except short-term leases and leases of low-value assets have been capitalized, which leads to right-of-use assets and corresponding lease liabilities in the balance sheet. According to IFRS the Right-of-use assets as of 1 January 2017 amount to k€28,132 (December 31, 2017: k€51,915), while the corresponding lease liabilities as of 1 January 2017 are k€28,132 (December 31, 2017: k€52,182).</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statement of operations the finance costs have increased as a result from interest expenses, resulting from the lease liabilities.</w:t>
      </w:r>
    </w:p>
    <w:p>
      <w:pPr>
        <w:spacing w:after="0" w:line="225"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In the statement of cash flows the Group reported cash payments for the reduction of the outstanding liability relating to leases under financing activities for the purposes of IFRS and the interest on the lease liability is reported in the cash flows from operating activities.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Other Intangible Assets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Carrying amounts of Intangible Assets have been determined based on the useful lives listed in note 2.3.10. The useful lives in the IFRS financial statements reflect the consumption of use of the respective assets appropriately. According to IFRS, the carrying amounts of Other Intangible Assets as of 1 January 2017 are k€86 higher compared to German GAAP (December 31, 2017: k€1,512 higher).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Goodwill</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According to German GAAP, goodwill is amortized on a straight-line basis over a period of five years. Under IFRS goodwill is tested annually for impairment (see Note 2.3.1).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Inventories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German GAAP, inventories comprise amongst other items capitalized cost for products in the process of production for customer orders. Under IFRS, these customer orders are contracts with customers including performance obligations satisfied over time. Therefore, capitalized costs have to be expensed and revenue has to be recognized dependent on the measure of progress. As BioNTech does not have an unconditional right to consideration for goods and services transferred at this moment, BioNTech presents a contract asset or a contract liability for each contract with a customer depending on the proportion of goods and services transferred and consideration received.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Deferred income and accrued expenses</w:t>
      </w:r>
    </w:p>
    <w:p>
      <w:pPr>
        <w:spacing w:after="0" w:line="12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Under German GAAP, expenses from license payments were capitalized as prepaid expenses and released over the term of the license to the statement of operations. Under IFRS, these costs are inputs to the satisfaction of performance obligation and have to be expensed as incurred.</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Deferred income and revenues</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Under German GAAP, upfront and advance payments received are presented as deferred income. Under IFRS, if a payment from a contract with a customer is received or due (whichever is earlier) before BioNTech transfers a good or service to the customer or these payments exceed the goods and services transferred to a customer so far, a contract liability shall be presented. The contract liability is presented as current and non-current.</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Furthermore, under German GAAP, revenues from advance payments received were partly recognized on a straight-line basis and additional milestone payments were recognized as revenue when the milestone payments were due. Under IFRS, the timing of revenue recognition of milestone payments as a variable consideration depends on the satisfaction of the performance obligation to which the variable consideration is allocated. Therefore, under IFRS, revenue from performance obligations satisfied over time is only recognized by measuring the progress toward complete satisfaction of the respective performance obligation. Additionally, under IFRS, reimbursed costs were presented net instead of gross presentation under German GAAP.</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Other current liabilities and other operating income</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Under German GAAP, other current liabilities are presented for a grant received from a customer related to the acquisition of property, plant and equipment and intangibles. Under IFRS, these payments received are treated as part of the transaction price and therefore presented as contract liability.</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German GAAP, other operating income was presented for a partial release of the grant received from the customer related to amortization and depreciation of acquired assets attributable to the customer. Under IFRS, revenue has only to be recognized depending on the measure of progress of the related performance obligation.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Cost of sales</w:t>
      </w:r>
    </w:p>
    <w:p>
      <w:pPr>
        <w:spacing w:after="0" w:line="121"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Under German GAAP, expenses from license payments were capitalized as prepaid expenses and released over the term of the license (see D. Accrued expenses). According to IFRS, these expenses are expensed as incurred as at January 1, 2017 as these expenses were costs of a performance obligation.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 Research and development expenses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Under German GAAP, reimbursements of research and development costs were presented as revenue. Under IFRS, reimbursed costs are presented net instead of a presentation as revenues.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 Share-based payments</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Under German GAAP, the Group recognized only the costs for the equity-settled share-based payment plan as expenses. IFRS requires the fair value of the equity-settled share-based payment plan to be determined using an appropriate valuation model. Costs were recognized in fiscal year 2017 because the plan vested immediately. An additional expense of k€5,291 was recognized in the statement of operations for the year ended December 31, 2017. Please refer to Note 16 for further information on the share-based payment plan.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 Other operating expenses/Finance cost</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Under German GAAP, foreign exchange gains and losses are shown in other operating expenses and other operating income. Under IFRS, net foreign exchange losses of k€25,954 are reclassified and shown as finance cost within finance result.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240" w:top="459" w:right="4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 Cash flow from investing activities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 xml:space="preserve">Under German GAAP, the Group presented the acquisition of an intangible asset </w:t>
      </w:r>
      <w:r>
        <w:rPr>
          <w:rFonts w:ascii="Arial" w:cs="Arial" w:eastAsia="Arial" w:hAnsi="Arial"/>
          <w:sz w:val="18"/>
          <w:szCs w:val="18"/>
          <w:i w:val="1"/>
          <w:iCs w:val="1"/>
          <w:color w:val="auto"/>
        </w:rPr>
        <w:t>(e.g.</w:t>
      </w:r>
      <w:r>
        <w:rPr>
          <w:rFonts w:ascii="Arial" w:cs="Arial" w:eastAsia="Arial" w:hAnsi="Arial"/>
          <w:sz w:val="18"/>
          <w:szCs w:val="18"/>
          <w:color w:val="auto"/>
        </w:rPr>
        <w:t>, patent) in the cash flow from investing activities with a corresponding increase in trade and other payables (k€41,460 were payable as of December 31, 2017).</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Under IFRS, the Group only reports the cash payments made during fiscal year 2017 to acquire the intangible asset in the cash flows arising from investing activities. Please refer to Note 10 for further information on such intangible assets.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 in the opening equity balance is the net accumulation of all IFRS opening balance adjustments.</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Standards issued but not yet effective</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and that might have an impact on the Group’s financial statements are disclosed below. The Group intends to adopt these new and amended standards and interpretations, if applicable, when they become effective.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Standards/Interpretation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85"/>
        </w:trPr>
        <w:tc>
          <w:tcPr>
            <w:tcW w:w="2300" w:type="dxa"/>
            <w:vAlign w:val="bottom"/>
            <w:vMerge w:val="restart"/>
          </w:tcPr>
          <w:p>
            <w:pPr>
              <w:spacing w:after="0"/>
              <w:rPr>
                <w:sz w:val="20"/>
                <w:szCs w:val="20"/>
                <w:color w:val="auto"/>
              </w:rPr>
            </w:pPr>
            <w:r>
              <w:rPr>
                <w:rFonts w:ascii="Arial" w:cs="Arial" w:eastAsia="Arial" w:hAnsi="Arial"/>
                <w:sz w:val="18"/>
                <w:szCs w:val="18"/>
                <w:color w:val="auto"/>
              </w:rPr>
              <w:t>IFRIC 23</w:t>
            </w:r>
          </w:p>
        </w:tc>
        <w:tc>
          <w:tcPr>
            <w:tcW w:w="7400" w:type="dxa"/>
            <w:vAlign w:val="bottom"/>
            <w:gridSpan w:val="3"/>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application</w:t>
            </w:r>
          </w:p>
        </w:tc>
        <w:tc>
          <w:tcPr>
            <w:tcW w:w="0" w:type="dxa"/>
            <w:vAlign w:val="bottom"/>
          </w:tcPr>
          <w:p>
            <w:pPr>
              <w:spacing w:after="0"/>
              <w:rPr>
                <w:sz w:val="1"/>
                <w:szCs w:val="1"/>
                <w:color w:val="auto"/>
              </w:rPr>
            </w:pPr>
          </w:p>
        </w:tc>
      </w:tr>
      <w:tr>
        <w:trPr>
          <w:trHeight w:val="224"/>
        </w:trPr>
        <w:tc>
          <w:tcPr>
            <w:tcW w:w="2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Uncertainty over income tax treatment</w:t>
            </w:r>
          </w:p>
        </w:tc>
        <w:tc>
          <w:tcPr>
            <w:tcW w:w="20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Amendments to IFRS 9</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Prepayment Features with Negative Compensation</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Amendments to IAS 19</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Plan Amendment, Curtailment or Settlement</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Amendments to IAS 28</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Long-term interests in associates and joint ventures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Annual improvements 2015-</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Annual improvement cycle to IFRS 2015-2017</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2017 Cycle</w:t>
            </w:r>
          </w:p>
        </w:tc>
        <w:tc>
          <w:tcPr>
            <w:tcW w:w="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does not expect a significant impact of the application of these standards.</w:t>
      </w:r>
    </w:p>
    <w:p>
      <w:pPr>
        <w:spacing w:after="0" w:line="370" w:lineRule="exact"/>
        <w:rPr>
          <w:sz w:val="20"/>
          <w:szCs w:val="20"/>
          <w:color w:val="auto"/>
        </w:rPr>
      </w:pPr>
    </w:p>
    <w:p>
      <w:pPr>
        <w:ind w:left="980" w:hanging="776"/>
        <w:spacing w:after="0"/>
        <w:tabs>
          <w:tab w:leader="none" w:pos="98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 continued</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preparation of the Group’s consolidated financial statements requires management to make judgements, estimates and assumptions that affect the reported amounts of revenues, expenses, assets and liabilities, the accompanying disclosures, and the disclosure of contingent liabilities. Uncertainty about these assumptions and estimates could result in outcomes that require a material adjustment to the carrying amount of assets or liabilities affected in future periods.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Judgments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the following judgments, which have the most significant effect on the amounts recognized in the consolidated financial statements: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BioNTech applied the following judgements that significantly affect the determination of the amount and timing of revenue from contracts with customers:</w:t>
      </w:r>
    </w:p>
    <w:p>
      <w:pPr>
        <w:spacing w:after="0" w:line="76" w:lineRule="exact"/>
        <w:rPr>
          <w:sz w:val="20"/>
          <w:szCs w:val="20"/>
          <w:color w:val="auto"/>
        </w:rPr>
      </w:pPr>
    </w:p>
    <w:p>
      <w:pPr>
        <w:ind w:left="5540" w:right="1860" w:hanging="4796"/>
        <w:spacing w:after="0" w:line="449" w:lineRule="auto"/>
        <w:tabs>
          <w:tab w:leader="none" w:pos="117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Identification and determination of the nature of performance obligations in collaboration and license agreements. F-42</w:t>
      </w:r>
    </w:p>
    <w:p>
      <w:pPr>
        <w:sectPr>
          <w:pgSz w:w="11900" w:h="16838" w:orient="portrait"/>
          <w:cols w:equalWidth="0" w:num="1">
            <w:col w:w="11240"/>
          </w:cols>
          <w:pgMar w:left="240" w:top="459" w:right="41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BioNTech generates revenues from collaboration and license agreements under which BioNTech grants licenses to use, research, develop, manufacture and commercialize candidates and products. As these agreements comprise several promises, it must be assessed whether these promises are capable of being distinct within the context of the contract. If these promises are not distinct, they have to be combined until the bundle of promised goods and services is distinct. For some agreements, this results in BioNTech accounting for all goods and services promised in a collaboration and license agreement as a single performance obligation with a single measure of progress.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these combined performance obligations, it must be assessed which of these promises is the predominant promise to determine the nature of the performance obligation. BioNTech determined that the grant of the license is the predominant promise within the (combined) performance obligation to grant a license to the customers. It was assessed that BioNTech grants their customers a right to access or a right to use BioNTech’s intellectual property due to the collaboration and license agreements.</w:t>
      </w:r>
    </w:p>
    <w:p>
      <w:pPr>
        <w:spacing w:after="0" w:line="18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Consequently, the promise to grant a license is accounted for as a performance obligation satisfied over time as BioNTech’s customer simultaneously receive and consumes the benefits from BioNTech’s performance.</w:t>
      </w:r>
    </w:p>
    <w:p>
      <w:pPr>
        <w:spacing w:after="0" w:line="76" w:lineRule="exact"/>
        <w:rPr>
          <w:sz w:val="20"/>
          <w:szCs w:val="20"/>
          <w:color w:val="auto"/>
        </w:rPr>
      </w:pPr>
    </w:p>
    <w:p>
      <w:pPr>
        <w:ind w:left="1180" w:hanging="436"/>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Estimation of variable consideration and assessment of the constraint when determining the deferred revenue.</w:t>
      </w:r>
    </w:p>
    <w:p>
      <w:pPr>
        <w:spacing w:after="0" w:line="225"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 xml:space="preserve">BioNTech’s collaboration and license agreements comprise variable considerations which are contingent on the occurrence or non-occurrence of a future event </w:t>
      </w:r>
      <w:r>
        <w:rPr>
          <w:rFonts w:ascii="Arial" w:cs="Arial" w:eastAsia="Arial" w:hAnsi="Arial"/>
          <w:sz w:val="16"/>
          <w:szCs w:val="16"/>
          <w:i w:val="1"/>
          <w:iCs w:val="1"/>
          <w:color w:val="auto"/>
        </w:rPr>
        <w:t>(i.e.</w:t>
      </w:r>
      <w:r>
        <w:rPr>
          <w:rFonts w:ascii="Arial" w:cs="Arial" w:eastAsia="Arial" w:hAnsi="Arial"/>
          <w:sz w:val="16"/>
          <w:szCs w:val="16"/>
          <w:color w:val="auto"/>
        </w:rPr>
        <w:t>, reaching a certain milestone). When determining the deferred revenue of a collaboration and license agreement, BioNTech is required to estimate the amount of consideration to which it will be entitled in exchange for transferring the promised goods or services to the customer.</w:t>
      </w:r>
    </w:p>
    <w:p>
      <w:pPr>
        <w:spacing w:after="0" w:line="14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there are usually only two possible outcomes (</w:t>
      </w:r>
      <w:r>
        <w:rPr>
          <w:rFonts w:ascii="Arial" w:cs="Arial" w:eastAsia="Arial" w:hAnsi="Arial"/>
          <w:sz w:val="18"/>
          <w:szCs w:val="18"/>
          <w:i w:val="1"/>
          <w:iCs w:val="1"/>
          <w:color w:val="auto"/>
        </w:rPr>
        <w:t>i.e.</w:t>
      </w:r>
      <w:r>
        <w:rPr>
          <w:rFonts w:ascii="Arial" w:cs="Arial" w:eastAsia="Arial" w:hAnsi="Arial"/>
          <w:sz w:val="18"/>
          <w:szCs w:val="18"/>
          <w:color w:val="auto"/>
        </w:rPr>
        <w:t>, milestone is reached or not), BioNTech has assessed that the method of the most likely amount is the best method to predict the amount of consideration to which BioNTech will be entitled.</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The most likely amount of these milestone payments </w:t>
      </w:r>
      <w:r>
        <w:rPr>
          <w:rFonts w:ascii="Arial" w:cs="Arial" w:eastAsia="Arial" w:hAnsi="Arial"/>
          <w:sz w:val="18"/>
          <w:szCs w:val="18"/>
          <w:i w:val="1"/>
          <w:iCs w:val="1"/>
          <w:color w:val="auto"/>
        </w:rPr>
        <w:t>(i.e.</w:t>
      </w:r>
      <w:r>
        <w:rPr>
          <w:rFonts w:ascii="Arial" w:cs="Arial" w:eastAsia="Arial" w:hAnsi="Arial"/>
          <w:sz w:val="18"/>
          <w:szCs w:val="18"/>
          <w:color w:val="auto"/>
        </w:rPr>
        <w:t>, the full milestone payment) is only included in the transaction price if the occurrence of reaching future milestone is highly probable. BioNTech has assessed that the likelihood of achieving the respective milestone decreases depending on how far the expected date of achieving the milestone lies in the future.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BioNTech has concluded that future milestone payments are fully constrained at the end of the current fiscal year.</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Future milestone payments would become unconstrained at the satisfaction of the milestone event, specifically a development event, a regulatory approval or achievement of a sales milestone.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carrying amounts of the revenue recognition-related contract balances, see Note 4.</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59" w:right="4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Determining the fair value of share-based payment transactions requires the most appropriate valuation for the specific program, which depends on the underlying terms and conditions.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estimate also requires the determination of the most appropriate inputs to the valuation model, including the fair value of the share option.</w:t>
      </w:r>
    </w:p>
    <w:p>
      <w:pPr>
        <w:spacing w:after="0" w:line="24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Due to the lack of quoted market prices, the Group has used an external appraisal for the measurement of the cash- and equity-settled transactions’ fair value at the grant date considering certain assumption relating to, </w:t>
      </w:r>
      <w:r>
        <w:rPr>
          <w:rFonts w:ascii="Arial" w:cs="Arial" w:eastAsia="Arial" w:hAnsi="Arial"/>
          <w:sz w:val="17"/>
          <w:szCs w:val="17"/>
          <w:i w:val="1"/>
          <w:iCs w:val="1"/>
          <w:color w:val="auto"/>
        </w:rPr>
        <w:t>e.g.</w:t>
      </w:r>
      <w:r>
        <w:rPr>
          <w:rFonts w:ascii="Arial" w:cs="Arial" w:eastAsia="Arial" w:hAnsi="Arial"/>
          <w:sz w:val="17"/>
          <w:szCs w:val="17"/>
          <w:color w:val="auto"/>
        </w:rPr>
        <w:t>, the volatility of stock price, the determination of an appropriate risk-free interest rate, expected dividends and the probability of reaching a minimum hurdle to exercise the relevant options.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Significant accounting judgments are required for the determination of the appropriate incremental borrowing rate, which is to be used in the calculation of the asset and liability that are recognized in the financial statements regarding the lease contracts.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carrying amounts of right-of-use assets and the related lease liability, see Note 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Deferred tax assets are recognized for unused tax losses only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18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The Group has tax losses carried forward and these losses relate to subsidiaries that have a history of losses. The subsidiaries neither have any taxable temporary difference nor any tax planning opportunities available that could partly support the recognition of these losses as deferred tax assets.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this basis, the Group has determined that it cannot recognize deferred tax assets on the tax losses carried forward.</w:t>
      </w:r>
    </w:p>
    <w:p>
      <w:pPr>
        <w:spacing w:after="0" w:line="370" w:lineRule="exact"/>
        <w:rPr>
          <w:sz w:val="20"/>
          <w:szCs w:val="20"/>
          <w:color w:val="auto"/>
        </w:rPr>
      </w:pPr>
    </w:p>
    <w:p>
      <w:pPr>
        <w:ind w:left="980" w:hanging="776"/>
        <w:spacing w:after="0"/>
        <w:tabs>
          <w:tab w:leader="none" w:pos="98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3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Disaggregated revenue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the disaggregation of the Group’s revenue from contracts with customers: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3620" w:type="dxa"/>
            <w:vAlign w:val="bottom"/>
          </w:tcPr>
          <w:p>
            <w:pPr>
              <w:spacing w:after="0"/>
              <w:rPr>
                <w:sz w:val="14"/>
                <w:szCs w:val="14"/>
                <w:color w:val="auto"/>
              </w:rPr>
            </w:pP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4700" w:type="dxa"/>
            <w:vAlign w:val="bottom"/>
            <w:gridSpan w:val="3"/>
            <w:vMerge w:val="continue"/>
          </w:tcPr>
          <w:p>
            <w:pPr>
              <w:spacing w:after="0"/>
              <w:rPr>
                <w:sz w:val="11"/>
                <w:szCs w:val="11"/>
                <w:color w:val="auto"/>
              </w:rPr>
            </w:pPr>
          </w:p>
        </w:tc>
        <w:tc>
          <w:tcPr>
            <w:tcW w:w="3620" w:type="dxa"/>
            <w:vAlign w:val="bottom"/>
          </w:tcPr>
          <w:p>
            <w:pPr>
              <w:spacing w:after="0"/>
              <w:rPr>
                <w:sz w:val="11"/>
                <w:szCs w:val="11"/>
                <w:color w:val="auto"/>
              </w:rPr>
            </w:pPr>
          </w:p>
        </w:tc>
        <w:tc>
          <w:tcPr>
            <w:tcW w:w="700" w:type="dxa"/>
            <w:vAlign w:val="bottom"/>
            <w:tcBorders>
              <w:top w:val="single" w:sz="8" w:color="auto"/>
            </w:tcBorders>
          </w:tcPr>
          <w:p>
            <w:pPr>
              <w:jc w:val="right"/>
              <w:ind w:right="141"/>
              <w:spacing w:after="0" w:line="129"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Revenues resulting from collaboration and license agreements</w:t>
            </w:r>
          </w:p>
        </w:tc>
        <w:tc>
          <w:tcPr>
            <w:tcW w:w="36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€101,837</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€ 42,333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Eli Lilly and Company</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Genentech Inc.</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Genmab A/S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2,740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Pfizer Inc.</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Sanofi S.A.</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41,712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sales transactions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Sum</w:t>
            </w:r>
          </w:p>
        </w:tc>
        <w:tc>
          <w:tcPr>
            <w:tcW w:w="3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127,575</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61,598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320" w:type="dxa"/>
            <w:vAlign w:val="bottom"/>
            <w:gridSpan w:val="2"/>
          </w:tcPr>
          <w:p>
            <w:pPr>
              <w:jc w:val="right"/>
              <w:ind w:right="3701"/>
              <w:spacing w:after="0"/>
              <w:rPr>
                <w:sz w:val="20"/>
                <w:szCs w:val="20"/>
                <w:color w:val="auto"/>
              </w:rPr>
            </w:pPr>
            <w:r>
              <w:rPr>
                <w:rFonts w:ascii="Arial" w:cs="Arial" w:eastAsia="Arial" w:hAnsi="Arial"/>
                <w:sz w:val="18"/>
                <w:szCs w:val="18"/>
                <w:color w:val="auto"/>
              </w:rPr>
              <w:t>F-44</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Through December 31, 2018, BioNTech received k€279,542 in upfront fees from Genentech under the Genentech Collaboration Agreement. Such amounts are initially deferred and subsequently recognized as revenue as the Company performs under the agreement and measured based on the costs incurred under the respective research programs. Of these upfront fees, k€49,536 was recognized as revenue in the year ended 2018 (k€27,829 in 2017). As of December 31, 2018, k€195,582 of upfront fees is recognized as deferred revenue within Contract liabilities in the statement of financial position.</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Through December 31, 2018 BioNTech received k€59,560 in upfront and near-term milestone payments from Sanofi under the Sanofi Agreement. Such amounts are initially deferred and subsequently recognized as revenue as BioNTech performs under the agreement and measured based on the costs incurred under the respective research programs. Of these upfront fees, k€8,535 was recognized as revenue in the year ended 2018 (k€5,665 in 2017). As of December 31, 2018, k€38,716 of upfront fees is recognized as deferred revenue within Contract liabilities in the statement of financial position. In addition, during the year ended December 31, 2018, BioNTech recognized k€33,177 of revenue from Sanofi for reimbursement of 50% of CellScript sublicense costs pursuant to a separate sub-sublicense agreement dated December 22, 2018.</w:t>
      </w:r>
    </w:p>
    <w:p>
      <w:pPr>
        <w:spacing w:after="0" w:line="178"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Revenue from BioNTech’s collaborators that exceeds 10% of BioNTech’s total revenue is included in the segments Clinical, Manufacturing and Technology Platform. Of the revenue from other sales transactions, k€10,748 in 2018 (k€10,652 in 2017) apply to product sales.</w:t>
      </w: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4.2</w:t>
            </w:r>
          </w:p>
        </w:tc>
        <w:tc>
          <w:tcPr>
            <w:tcW w:w="3880" w:type="dxa"/>
            <w:vAlign w:val="bottom"/>
            <w:gridSpan w:val="3"/>
          </w:tcPr>
          <w:p>
            <w:pPr>
              <w:ind w:left="280"/>
              <w:spacing w:after="0"/>
              <w:rPr>
                <w:sz w:val="20"/>
                <w:szCs w:val="20"/>
                <w:color w:val="auto"/>
              </w:rPr>
            </w:pPr>
            <w:r>
              <w:rPr>
                <w:rFonts w:ascii="Arial" w:cs="Arial" w:eastAsia="Arial" w:hAnsi="Arial"/>
                <w:sz w:val="18"/>
                <w:szCs w:val="18"/>
                <w:b w:val="1"/>
                <w:bCs w:val="1"/>
                <w:color w:val="auto"/>
              </w:rPr>
              <w:t>Contract balances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0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66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2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18,938</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4,575</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271,674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8"/>
              </w:rPr>
              <w:t>291,372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306,880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Trade receivables are non-interest bearing and are generally settled within 20 to 30 days.</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Contract assets are recognized for revenue earned from BioNTech’s performance of creating customer-specific cell and gene therapies. Upon completion of the produced product or upon reaching a contracted progress payment, the amounts recognized as contract assets are reclassified to trade receivables. As the customers’ advance payments exceeded BioNTech’s transferred goods and services for which a conditional right to consideration exists in all contracts in 2017 and 2018, only contract liabilities are presented.</w:t>
      </w:r>
    </w:p>
    <w:p>
      <w:pPr>
        <w:spacing w:after="0" w:line="18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Additionally, contract liabilities include long-term advances received from BioNTech’s major collaboration and license agreements. The outstanding balances of these accounts decreased in 2018 and 2017 as revenues resulting from these agreements exceeded further payments received from the collaborators due to the achievement of milestones. BioNTech received payments or an unconditional right of consideration of k€71,761 in 2018 (2017: k€26,552) from the collaboration and license agreements and recognized revenues resulting from collaboration and license agreements of k€101,837 in 2018 (2017: k€42,333), which reduced the contract liabilities.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Set out below is the amount of revenue recognized from:</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thousands)</w:t>
            </w:r>
          </w:p>
        </w:tc>
        <w:tc>
          <w:tcPr>
            <w:tcW w:w="5400" w:type="dxa"/>
            <w:vAlign w:val="bottom"/>
          </w:tcPr>
          <w:p>
            <w:pPr>
              <w:spacing w:after="0"/>
              <w:rPr>
                <w:sz w:val="16"/>
                <w:szCs w:val="16"/>
                <w:color w:val="auto"/>
              </w:rPr>
            </w:pPr>
          </w:p>
        </w:tc>
        <w:tc>
          <w:tcPr>
            <w:tcW w:w="19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included in contract liabilities at the beginning of the year</w:t>
            </w:r>
          </w:p>
        </w:tc>
        <w:tc>
          <w:tcPr>
            <w:tcW w:w="1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65,068</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40,428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00" w:type="dxa"/>
            <w:vAlign w:val="bottom"/>
            <w:vMerge w:val="restart"/>
          </w:tcPr>
          <w:p>
            <w:pPr>
              <w:ind w:left="3620"/>
              <w:spacing w:after="0"/>
              <w:rPr>
                <w:sz w:val="20"/>
                <w:szCs w:val="20"/>
                <w:color w:val="auto"/>
              </w:rPr>
            </w:pPr>
            <w:r>
              <w:rPr>
                <w:rFonts w:ascii="Arial" w:cs="Arial" w:eastAsia="Arial" w:hAnsi="Arial"/>
                <w:sz w:val="18"/>
                <w:szCs w:val="18"/>
                <w:color w:val="auto"/>
              </w:rPr>
              <w:t>F-45</w:t>
            </w:r>
          </w:p>
        </w:tc>
        <w:tc>
          <w:tcPr>
            <w:tcW w:w="1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Performance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BioNTech’s performance obligations is summarized below: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BioNTech accounts for its promises to grant licenses as performance obligations satisfied over time as the customers simultaneously receive and consume the benefit of BioNTech’s performance of providing access to its intellectual property as the performance occurs. BioNTech recognizes revenue over time by measuring the progress toward complete satisfaction of that performance obligation according to the method that demonstrates BioNTech’s performance towards complete satisfaction. In contracts in which the costs vary based on the stage of research, an input-based measure considering cost incurred depicts most reliably the progress of the related research activities. In other contracts, revenue recognition on a straight-line basis most reliably depicts BioNTech’s performance toward complete satisfaction.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deferred revenue allocated to the remaining performance obligations (unsatisfied or partially unsatisfied) as at year-end are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39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2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64,522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76,582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More than one year</w:t>
            </w:r>
          </w:p>
        </w:tc>
        <w:tc>
          <w:tcPr>
            <w:tcW w:w="2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205,647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214,026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270,169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290,608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deferred revenue allocated to the remaining performance obligations does not contain deferred revenues of performance obligations which are part of contracts that have an original expected duration of one year or less or of performance obligations for which the consideration from the customer corresponds directly to the value to the customer of BioNTech’s performance to date.</w:t>
      </w:r>
    </w:p>
    <w:p>
      <w:pPr>
        <w:spacing w:after="0" w:line="326" w:lineRule="exact"/>
        <w:rPr>
          <w:sz w:val="20"/>
          <w:szCs w:val="20"/>
          <w:color w:val="auto"/>
        </w:rPr>
      </w:pPr>
    </w:p>
    <w:p>
      <w:pPr>
        <w:ind w:left="200" w:right="8660" w:firstLine="4"/>
        <w:spacing w:after="0" w:line="425" w:lineRule="auto"/>
        <w:tabs>
          <w:tab w:leader="none" w:pos="970" w:val="left"/>
        </w:tabs>
        <w:numPr>
          <w:ilvl w:val="0"/>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Group information Information about subsidiaries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consolidated financial statements of the Group include the following subsidiaries: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Country of</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w w:val="99"/>
              </w:rPr>
              <w:t>% equity interest</w:t>
            </w: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Headquarter</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ind w:left="280"/>
              <w:spacing w:after="0" w:line="119" w:lineRule="exact"/>
              <w:rPr>
                <w:sz w:val="20"/>
                <w:szCs w:val="20"/>
                <w:color w:val="auto"/>
              </w:rPr>
            </w:pPr>
            <w:r>
              <w:rPr>
                <w:rFonts w:ascii="Arial" w:cs="Arial" w:eastAsia="Arial" w:hAnsi="Arial"/>
                <w:sz w:val="13"/>
                <w:szCs w:val="13"/>
                <w:b w:val="1"/>
                <w:bCs w:val="1"/>
                <w:color w:val="auto"/>
              </w:rPr>
              <w:t>As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January,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BioNTech RNA Pharmaceuticals GmbH</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Mainz</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Protein Therapeutics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Diagnostics 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Small Molecules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Business Services 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Austria Beteiligungen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Austria</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Wien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BioNTech Innovative Manufacturing Services GmbH (Frühere Eufets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Idar-Oberstein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JPT Peptide Technologies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Berlin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TheraCode JPT Inc.</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United States</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Acton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Cell &amp; Gene Therapies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94.50%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94.50%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Apta IT 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Munich</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49.99%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Real Estate Verwaltungs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Holzkirchen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Real Estate GmbH &amp; Co. KG</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Holzkirchen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BioNTech Real Estate Verwaltungs GmbH and BioNTech Real Estate GmbH &amp; Co. KG were established during 2018.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Parent company</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AT Impf GmbH, Munich, owns 54.16% (December 31, 2017 and January 1, 2017: 62.77%) of the ordinary shares in BioNTech and is the parent company of the Group.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Entity with significant influence over the Group</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Medine GmbH, Mainz, owns 21.57% (December 31, 2017: 25%; January 1, 2017: 25.99%) of the ordinary shares in BioNTech and has significant influence over the Group.</w:t>
      </w:r>
    </w:p>
    <w:p>
      <w:pPr>
        <w:spacing w:after="0" w:line="315" w:lineRule="exact"/>
        <w:rPr>
          <w:sz w:val="20"/>
          <w:szCs w:val="20"/>
          <w:color w:val="auto"/>
        </w:rPr>
      </w:pPr>
    </w:p>
    <w:p>
      <w:pPr>
        <w:ind w:left="980" w:hanging="776"/>
        <w:spacing w:after="0"/>
        <w:tabs>
          <w:tab w:leader="none" w:pos="98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Income and expenses</w:t>
      </w:r>
    </w:p>
    <w:p>
      <w:pPr>
        <w:spacing w:after="0" w:line="131" w:lineRule="exact"/>
        <w:rPr>
          <w:sz w:val="20"/>
          <w:szCs w:val="20"/>
          <w:color w:val="auto"/>
        </w:rPr>
      </w:pPr>
    </w:p>
    <w:p>
      <w:pPr>
        <w:jc w:val="right"/>
        <w:ind w:right="9220"/>
        <w:spacing w:after="0"/>
        <w:tabs>
          <w:tab w:leader="none" w:pos="102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Costs of sales</w:t>
      </w:r>
    </w:p>
    <w:p>
      <w:pPr>
        <w:spacing w:after="0" w:line="27" w:lineRule="exact"/>
        <w:rPr>
          <w:sz w:val="20"/>
          <w:szCs w:val="20"/>
          <w:color w:val="auto"/>
        </w:rPr>
      </w:pPr>
    </w:p>
    <w:p>
      <w:pPr>
        <w:jc w:val="right"/>
        <w:ind w:right="92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€ 6,726</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€6,105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Laboratory supplies</w:t>
            </w: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1,368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Purchased Services</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1,367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360" w:type="dxa"/>
            <w:vAlign w:val="bottom"/>
            <w:gridSpan w:val="2"/>
          </w:tcPr>
          <w:p>
            <w:pPr>
              <w:ind w:left="82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13,690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9,318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6.2</w:t>
            </w:r>
          </w:p>
        </w:tc>
        <w:tc>
          <w:tcPr>
            <w:tcW w:w="53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Research and development expenses</w:t>
            </w: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500" w:type="dxa"/>
            <w:vAlign w:val="bottom"/>
            <w:vMerge w:val="continue"/>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4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€ 45,668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€ 31,970</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Purchased services</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42,079</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22,686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Lab supplies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9,859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 and lease related cost</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€ 143,040</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85,496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expenses were mainly comprised of clinical studies (2018: k€3,500; 2017: k€887), travel costs (2018: k€1,281; 2017: k€776) and incidental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rental costs (2018: k€1,523; 2017: k€730).</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6.3</w:t>
            </w:r>
          </w:p>
        </w:tc>
        <w:tc>
          <w:tcPr>
            <w:tcW w:w="5520" w:type="dxa"/>
            <w:vAlign w:val="bottom"/>
            <w:gridSpan w:val="2"/>
          </w:tcPr>
          <w:p>
            <w:pPr>
              <w:ind w:left="280"/>
              <w:spacing w:after="0"/>
              <w:rPr>
                <w:sz w:val="20"/>
                <w:szCs w:val="20"/>
                <w:color w:val="auto"/>
              </w:rPr>
            </w:pPr>
            <w:r>
              <w:rPr>
                <w:rFonts w:ascii="Arial" w:cs="Arial" w:eastAsia="Arial" w:hAnsi="Arial"/>
                <w:sz w:val="18"/>
                <w:szCs w:val="18"/>
                <w:b w:val="1"/>
                <w:bCs w:val="1"/>
                <w:color w:val="auto"/>
              </w:rPr>
              <w:t>Sales and marketing expenses</w:t>
            </w:r>
          </w:p>
        </w:tc>
        <w:tc>
          <w:tcPr>
            <w:tcW w:w="2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552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9"/>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r>
      <w:tr>
        <w:trPr>
          <w:trHeight w:val="17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Purchased services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2,771</w:t>
            </w:r>
          </w:p>
        </w:tc>
        <w:tc>
          <w:tcPr>
            <w:tcW w:w="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Travel costs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4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3,041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6,603</w:t>
            </w: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2018, the other costs were mainly comprised of transport costs (k€119) and depreciation (k€21). In 2017, the other costs were mainly comprised of distribution costs of the entity TheraCode JPT Inc. (k€441) and transport costs (k€146).</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6.4</w:t>
            </w:r>
          </w:p>
        </w:tc>
        <w:tc>
          <w:tcPr>
            <w:tcW w:w="5400" w:type="dxa"/>
            <w:vAlign w:val="bottom"/>
            <w:gridSpan w:val="2"/>
          </w:tcPr>
          <w:p>
            <w:pPr>
              <w:ind w:left="280"/>
              <w:spacing w:after="0"/>
              <w:rPr>
                <w:sz w:val="20"/>
                <w:szCs w:val="20"/>
                <w:color w:val="auto"/>
              </w:rPr>
            </w:pPr>
            <w:r>
              <w:rPr>
                <w:rFonts w:ascii="Arial" w:cs="Arial" w:eastAsia="Arial" w:hAnsi="Arial"/>
                <w:sz w:val="18"/>
                <w:szCs w:val="18"/>
                <w:b w:val="1"/>
                <w:bCs w:val="1"/>
                <w:color w:val="auto"/>
              </w:rPr>
              <w:t>General and administrative expenses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540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6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Purchased services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3,544</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IT and office equipment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 costs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6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6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26,334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23,520</w:t>
            </w:r>
          </w:p>
        </w:tc>
        <w:tc>
          <w:tcPr>
            <w:tcW w:w="60" w:type="dxa"/>
            <w:vAlign w:val="bottom"/>
            <w:shd w:val="clear" w:color="auto" w:fill="CCEEFF"/>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2018, the other expenses were mainly comprised of travel costs (k€1,043), job advertisement expenses (k€861) and contract staffing (k€781). In the prior year, the other expenses were mainly comprised of job advertisement expenses (k€719), travel costs (k€247), training expenses (k€210) and incidental rental costs (k€182).</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6.5</w:t>
            </w:r>
          </w:p>
        </w:tc>
        <w:tc>
          <w:tcPr>
            <w:tcW w:w="5360" w:type="dxa"/>
            <w:vAlign w:val="bottom"/>
            <w:gridSpan w:val="2"/>
          </w:tcPr>
          <w:p>
            <w:pPr>
              <w:ind w:left="280"/>
              <w:spacing w:after="0"/>
              <w:rPr>
                <w:sz w:val="20"/>
                <w:szCs w:val="20"/>
                <w:color w:val="auto"/>
              </w:rPr>
            </w:pPr>
            <w:r>
              <w:rPr>
                <w:rFonts w:ascii="Arial" w:cs="Arial" w:eastAsia="Arial" w:hAnsi="Arial"/>
                <w:sz w:val="18"/>
                <w:szCs w:val="18"/>
                <w:b w:val="1"/>
                <w:bCs w:val="1"/>
                <w:color w:val="auto"/>
              </w:rPr>
              <w:t>Other operating income</w:t>
            </w:r>
          </w:p>
        </w:tc>
        <w:tc>
          <w:tcPr>
            <w:tcW w:w="2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2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5,396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2,349</w:t>
            </w: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6.6</w:t>
            </w:r>
          </w:p>
        </w:tc>
        <w:tc>
          <w:tcPr>
            <w:tcW w:w="53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Other operating expenses</w:t>
            </w: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500" w:type="dxa"/>
            <w:vAlign w:val="bottom"/>
            <w:vMerge w:val="continue"/>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intangible assets</w:t>
            </w:r>
          </w:p>
        </w:tc>
        <w:tc>
          <w:tcPr>
            <w:tcW w:w="3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720</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expenses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720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288</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40" w:type="dxa"/>
            <w:vAlign w:val="bottom"/>
            <w:gridSpan w:val="2"/>
          </w:tcPr>
          <w:p>
            <w:pPr>
              <w:jc w:val="right"/>
              <w:ind w:right="2785"/>
              <w:spacing w:after="0"/>
              <w:rPr>
                <w:sz w:val="20"/>
                <w:szCs w:val="20"/>
                <w:color w:val="auto"/>
              </w:rPr>
            </w:pPr>
            <w:r>
              <w:rPr>
                <w:rFonts w:ascii="Arial" w:cs="Arial" w:eastAsia="Arial" w:hAnsi="Arial"/>
                <w:sz w:val="18"/>
                <w:szCs w:val="18"/>
                <w:color w:val="auto"/>
              </w:rPr>
              <w:t>F-48</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the impairment loss of k€281 represented the write-down of a software program as it was no longer usable.</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Arial" w:cs="Arial" w:eastAsia="Arial" w:hAnsi="Arial"/>
                <w:sz w:val="18"/>
                <w:szCs w:val="18"/>
                <w:b w:val="1"/>
                <w:bCs w:val="1"/>
                <w:color w:val="auto"/>
              </w:rPr>
              <w:t>6.7</w:t>
            </w:r>
          </w:p>
        </w:tc>
        <w:tc>
          <w:tcPr>
            <w:tcW w:w="762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Finance income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620" w:type="dxa"/>
            <w:vAlign w:val="bottom"/>
            <w:gridSpan w:val="2"/>
          </w:tcPr>
          <w:p>
            <w:pPr>
              <w:ind w:left="4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Interest income on cash</w:t>
            </w:r>
          </w:p>
        </w:tc>
        <w:tc>
          <w:tcPr>
            <w:tcW w:w="200" w:type="dxa"/>
            <w:vAlign w:val="bottom"/>
          </w:tcPr>
          <w:p>
            <w:pPr>
              <w:spacing w:after="0"/>
              <w:rPr>
                <w:sz w:val="18"/>
                <w:szCs w:val="18"/>
                <w:color w:val="auto"/>
              </w:rPr>
            </w:pPr>
          </w:p>
        </w:tc>
        <w:tc>
          <w:tcPr>
            <w:tcW w:w="520" w:type="dxa"/>
            <w:vAlign w:val="bottom"/>
            <w:gridSpan w:val="4"/>
          </w:tcPr>
          <w:p>
            <w:pPr>
              <w:jc w:val="center"/>
              <w:spacing w:after="0"/>
              <w:rPr>
                <w:sz w:val="20"/>
                <w:szCs w:val="20"/>
                <w:color w:val="auto"/>
              </w:rPr>
            </w:pPr>
            <w:r>
              <w:rPr>
                <w:rFonts w:ascii="Arial" w:cs="Arial" w:eastAsia="Arial" w:hAnsi="Arial"/>
                <w:sz w:val="18"/>
                <w:szCs w:val="18"/>
                <w:color w:val="auto"/>
                <w:w w:val="90"/>
              </w:rPr>
              <w:t>€1,996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€2,133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6,050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b w:val="1"/>
                <w:bCs w:val="1"/>
                <w:color w:val="auto"/>
              </w:rPr>
              <w:t>Finance income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8,046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20" w:type="dxa"/>
            <w:vAlign w:val="bottom"/>
            <w:gridSpan w:val="2"/>
            <w:vMerge w:val="restart"/>
          </w:tcPr>
          <w:p>
            <w:pPr>
              <w:ind w:left="100"/>
              <w:spacing w:after="0"/>
              <w:rPr>
                <w:sz w:val="20"/>
                <w:szCs w:val="20"/>
                <w:color w:val="auto"/>
              </w:rPr>
            </w:pPr>
            <w:r>
              <w:rPr>
                <w:rFonts w:ascii="Arial" w:cs="Arial" w:eastAsia="Arial" w:hAnsi="Arial"/>
                <w:sz w:val="18"/>
                <w:szCs w:val="18"/>
                <w:color w:val="auto"/>
              </w:rPr>
              <w:t>Finance income results from BioNTech’s interests on short-term deposits.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340" w:type="dxa"/>
            <w:vAlign w:val="bottom"/>
          </w:tcPr>
          <w:p>
            <w:pPr>
              <w:spacing w:after="0"/>
              <w:rPr>
                <w:sz w:val="20"/>
                <w:szCs w:val="20"/>
                <w:color w:val="auto"/>
              </w:rPr>
            </w:pPr>
            <w:r>
              <w:rPr>
                <w:rFonts w:ascii="Arial" w:cs="Arial" w:eastAsia="Arial" w:hAnsi="Arial"/>
                <w:sz w:val="18"/>
                <w:szCs w:val="18"/>
                <w:b w:val="1"/>
                <w:bCs w:val="1"/>
                <w:color w:val="auto"/>
              </w:rPr>
              <w:t>6.8</w:t>
            </w:r>
          </w:p>
        </w:tc>
        <w:tc>
          <w:tcPr>
            <w:tcW w:w="762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Finance expense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620" w:type="dxa"/>
            <w:vAlign w:val="bottom"/>
            <w:gridSpan w:val="2"/>
          </w:tcPr>
          <w:p>
            <w:pPr>
              <w:ind w:left="4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expense</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Financial instruments measured at amortised cost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left="14"/>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losses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b w:val="1"/>
                <w:bCs w:val="1"/>
                <w:color w:val="auto"/>
              </w:rPr>
              <w:t>Finance expense</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center"/>
              <w:ind w:left="14"/>
              <w:spacing w:after="0"/>
              <w:rPr>
                <w:sz w:val="20"/>
                <w:szCs w:val="20"/>
                <w:color w:val="auto"/>
              </w:rPr>
            </w:pPr>
            <w:r>
              <w:rPr>
                <w:rFonts w:ascii="Arial" w:cs="Arial" w:eastAsia="Arial" w:hAnsi="Arial"/>
                <w:sz w:val="18"/>
                <w:szCs w:val="18"/>
                <w:b w:val="1"/>
                <w:bCs w:val="1"/>
                <w:color w:val="auto"/>
                <w:w w:val="89"/>
              </w:rPr>
              <w:t>48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26.007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20" w:type="dxa"/>
            <w:vAlign w:val="bottom"/>
            <w:gridSpan w:val="2"/>
            <w:vMerge w:val="restart"/>
          </w:tcPr>
          <w:p>
            <w:pPr>
              <w:ind w:left="100"/>
              <w:spacing w:after="0"/>
              <w:rPr>
                <w:sz w:val="20"/>
                <w:szCs w:val="20"/>
                <w:color w:val="auto"/>
              </w:rPr>
            </w:pPr>
            <w:r>
              <w:rPr>
                <w:rFonts w:ascii="Arial" w:cs="Arial" w:eastAsia="Arial" w:hAnsi="Arial"/>
                <w:sz w:val="18"/>
                <w:szCs w:val="18"/>
                <w:color w:val="auto"/>
              </w:rPr>
              <w:t>Foreign exchange losses are a result from the Group’s unhedged USD cash accounts.</w:t>
            </w: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6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Income tax</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1"/>
              </w:rPr>
              <w:t>Tax expense for the years ended December 31, 2018 and 2017 are comprised of current income taxes.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of tax expense to the estimated tax rate for the years ended 2017 and 2018 is as follows (in thousands):</w:t>
      </w:r>
    </w:p>
    <w:p>
      <w:pPr>
        <w:spacing w:after="0" w:line="244"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Year ended</w:t>
      </w:r>
    </w:p>
    <w:p>
      <w:pPr>
        <w:jc w:val="center"/>
        <w:ind w:left="91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(47,662</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(85,950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4"/>
        </w:trPr>
        <w:tc>
          <w:tcPr>
            <w:tcW w:w="7960" w:type="dxa"/>
            <w:vAlign w:val="bottom"/>
            <w:gridSpan w:val="2"/>
          </w:tcPr>
          <w:p>
            <w:pPr>
              <w:spacing w:after="0"/>
              <w:rPr>
                <w:sz w:val="20"/>
                <w:szCs w:val="20"/>
                <w:color w:val="auto"/>
              </w:rPr>
            </w:pPr>
            <w:r>
              <w:rPr>
                <w:rFonts w:ascii="Arial" w:cs="Arial" w:eastAsia="Arial" w:hAnsi="Arial"/>
                <w:sz w:val="18"/>
                <w:szCs w:val="18"/>
                <w:color w:val="auto"/>
              </w:rPr>
              <w:t>Expected tax benefit (based on BioNTech’s statutory tax rate of 30.99%; prior year: 30.86%)</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Government grants exempted from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deductible tax-expenses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Utilization of tax losses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Non-recognition of deferred taxes on tax losses and temporary differences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(13,634)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Other effects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5320"/>
              <w:spacing w:after="0"/>
              <w:rPr>
                <w:sz w:val="20"/>
                <w:szCs w:val="20"/>
                <w:color w:val="auto"/>
              </w:rPr>
            </w:pPr>
            <w:r>
              <w:rPr>
                <w:rFonts w:ascii="Arial" w:cs="Arial" w:eastAsia="Arial" w:hAnsi="Arial"/>
                <w:sz w:val="18"/>
                <w:szCs w:val="18"/>
                <w:color w:val="auto"/>
              </w:rPr>
              <w:t>F-49</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taxes relate to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At January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6"/>
              </w:rPr>
              <w:t>Recognized in</w:t>
            </w:r>
          </w:p>
        </w:tc>
        <w:tc>
          <w:tcPr>
            <w:tcW w:w="20" w:type="dxa"/>
            <w:vAlign w:val="bottom"/>
          </w:tcPr>
          <w:p>
            <w:pPr>
              <w:spacing w:after="0"/>
              <w:rPr>
                <w:sz w:val="14"/>
                <w:szCs w:val="14"/>
                <w:color w:val="auto"/>
              </w:rPr>
            </w:pPr>
          </w:p>
        </w:tc>
        <w:tc>
          <w:tcPr>
            <w:tcW w:w="1660" w:type="dxa"/>
            <w:vAlign w:val="bottom"/>
            <w:gridSpan w:val="4"/>
            <w:vMerge w:val="restart"/>
          </w:tcPr>
          <w:p>
            <w:pPr>
              <w:jc w:val="center"/>
              <w:ind w:left="321"/>
              <w:spacing w:after="0"/>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P&amp;L</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16,631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11,810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Accruals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(before valuation)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16,676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12,275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5"/>
            <w:vMerge w:val="restart"/>
          </w:tcPr>
          <w:p>
            <w:pPr>
              <w:spacing w:after="0"/>
              <w:rPr>
                <w:sz w:val="20"/>
                <w:szCs w:val="20"/>
                <w:color w:val="auto"/>
              </w:rPr>
            </w:pPr>
            <w:r>
              <w:rPr>
                <w:rFonts w:ascii="Arial" w:cs="Arial" w:eastAsia="Arial" w:hAnsi="Arial"/>
                <w:sz w:val="18"/>
                <w:szCs w:val="18"/>
                <w:color w:val="auto"/>
              </w:rPr>
              <w:t>Valuation Adjustment</w:t>
            </w:r>
          </w:p>
        </w:tc>
        <w:tc>
          <w:tcPr>
            <w:tcW w:w="1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5"/>
            <w:vMerge w:val="continue"/>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(16,676</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(12,275</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(after valuation)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80" w:type="dxa"/>
            <w:vAlign w:val="bottom"/>
            <w:gridSpan w:val="9"/>
            <w:vMerge w:val="restart"/>
          </w:tcPr>
          <w:p>
            <w:pPr>
              <w:ind w:left="1160"/>
              <w:spacing w:after="0"/>
              <w:rPr>
                <w:sz w:val="20"/>
                <w:szCs w:val="20"/>
                <w:color w:val="auto"/>
              </w:rPr>
            </w:pPr>
            <w:r>
              <w:rPr>
                <w:rFonts w:ascii="Arial" w:cs="Arial" w:eastAsia="Arial" w:hAnsi="Arial"/>
                <w:sz w:val="14"/>
                <w:szCs w:val="14"/>
                <w:b w:val="1"/>
                <w:bCs w:val="1"/>
                <w:color w:val="auto"/>
              </w:rPr>
              <w:t>At January 1,</w:t>
            </w:r>
          </w:p>
        </w:tc>
        <w:tc>
          <w:tcPr>
            <w:tcW w:w="160" w:type="dxa"/>
            <w:vAlign w:val="bottom"/>
          </w:tcPr>
          <w:p>
            <w:pPr>
              <w:spacing w:after="0"/>
              <w:rPr>
                <w:sz w:val="24"/>
                <w:szCs w:val="24"/>
                <w:color w:val="auto"/>
              </w:rPr>
            </w:pPr>
          </w:p>
        </w:tc>
        <w:tc>
          <w:tcPr>
            <w:tcW w:w="118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rPr>
              <w:t>Recognized in</w:t>
            </w:r>
          </w:p>
        </w:tc>
        <w:tc>
          <w:tcPr>
            <w:tcW w:w="20" w:type="dxa"/>
            <w:vAlign w:val="bottom"/>
          </w:tcPr>
          <w:p>
            <w:pPr>
              <w:spacing w:after="0"/>
              <w:rPr>
                <w:sz w:val="24"/>
                <w:szCs w:val="24"/>
                <w:color w:val="auto"/>
              </w:rPr>
            </w:pPr>
          </w:p>
        </w:tc>
        <w:tc>
          <w:tcPr>
            <w:tcW w:w="1660" w:type="dxa"/>
            <w:vAlign w:val="bottom"/>
            <w:gridSpan w:val="4"/>
            <w:vMerge w:val="restart"/>
          </w:tcPr>
          <w:p>
            <w:pPr>
              <w:jc w:val="center"/>
              <w:ind w:left="321"/>
              <w:spacing w:after="0"/>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38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P&amp;L</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accounts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Liabilities (currency losses)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5"/>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Accruals</w:t>
            </w:r>
          </w:p>
        </w:tc>
        <w:tc>
          <w:tcPr>
            <w:tcW w:w="1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5"/>
          </w:tcPr>
          <w:p>
            <w:pPr>
              <w:spacing w:after="0"/>
              <w:rPr>
                <w:sz w:val="20"/>
                <w:szCs w:val="20"/>
                <w:color w:val="auto"/>
              </w:rPr>
            </w:pPr>
            <w:r>
              <w:rPr>
                <w:rFonts w:ascii="Arial" w:cs="Arial" w:eastAsia="Arial" w:hAnsi="Arial"/>
                <w:sz w:val="18"/>
                <w:szCs w:val="18"/>
                <w:b w:val="1"/>
                <w:bCs w:val="1"/>
                <w:color w:val="auto"/>
              </w:rPr>
              <w:t>Deferred Tax Assets (before valuation)</w:t>
            </w:r>
          </w:p>
        </w:tc>
        <w:tc>
          <w:tcPr>
            <w:tcW w:w="1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8,925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Adjustment</w:t>
            </w:r>
          </w:p>
        </w:tc>
        <w:tc>
          <w:tcPr>
            <w:tcW w:w="1420" w:type="dxa"/>
            <w:vAlign w:val="bottom"/>
            <w:gridSpan w:val="4"/>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(16,676)</w:t>
            </w:r>
          </w:p>
        </w:tc>
        <w:tc>
          <w:tcPr>
            <w:tcW w:w="0" w:type="dxa"/>
            <w:vAlign w:val="bottom"/>
          </w:tcPr>
          <w:p>
            <w:pPr>
              <w:spacing w:after="0"/>
              <w:rPr>
                <w:sz w:val="1"/>
                <w:szCs w:val="1"/>
                <w:color w:val="auto"/>
              </w:rPr>
            </w:pPr>
          </w:p>
        </w:tc>
      </w:tr>
      <w:tr>
        <w:trPr>
          <w:trHeight w:val="20"/>
        </w:trPr>
        <w:tc>
          <w:tcPr>
            <w:tcW w:w="56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Deferred Tax Assets (after valuation)</w:t>
            </w: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5"/>
            <w:vMerge w:val="continue"/>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40" w:type="dxa"/>
            <w:vAlign w:val="bottom"/>
            <w:gridSpan w:val="5"/>
          </w:tcPr>
          <w:p>
            <w:pPr>
              <w:spacing w:after="0"/>
              <w:rPr>
                <w:sz w:val="20"/>
                <w:szCs w:val="20"/>
                <w:color w:val="auto"/>
              </w:rPr>
            </w:pPr>
            <w:r>
              <w:rPr>
                <w:rFonts w:ascii="Arial" w:cs="Arial" w:eastAsia="Arial" w:hAnsi="Arial"/>
                <w:sz w:val="18"/>
                <w:szCs w:val="18"/>
                <w:color w:val="auto"/>
              </w:rPr>
              <w:t>Accumulated tax losses of the Group amount to the following:</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9"/>
          </w:tcPr>
          <w:p>
            <w:pPr>
              <w:jc w:val="center"/>
              <w:ind w:left="134"/>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restart"/>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9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9"/>
          </w:tcPr>
          <w:p>
            <w:pPr>
              <w:jc w:val="center"/>
              <w:ind w:left="134"/>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tcPr>
          <w:p>
            <w:pPr>
              <w:jc w:val="right"/>
              <w:ind w:right="132"/>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Corporate Tax</w:t>
            </w:r>
          </w:p>
        </w:tc>
        <w:tc>
          <w:tcPr>
            <w:tcW w:w="1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€179,264</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€178,491</w:t>
            </w:r>
          </w:p>
        </w:tc>
        <w:tc>
          <w:tcPr>
            <w:tcW w:w="48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€124,401</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Trade Tax</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176,425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6"/>
          </w:tcPr>
          <w:p>
            <w:pPr>
              <w:jc w:val="right"/>
              <w:ind w:right="230"/>
              <w:spacing w:after="0"/>
              <w:rPr>
                <w:sz w:val="20"/>
                <w:szCs w:val="20"/>
                <w:color w:val="auto"/>
              </w:rPr>
            </w:pPr>
            <w:r>
              <w:rPr>
                <w:rFonts w:ascii="Arial" w:cs="Arial" w:eastAsia="Arial" w:hAnsi="Arial"/>
                <w:sz w:val="18"/>
                <w:szCs w:val="18"/>
                <w:color w:val="auto"/>
              </w:rPr>
              <w:t>176,024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122,904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Deferred tax assets on tax losses have not been capitalized as there is no sufficient probability in terms of IAS 12 that there will be future taxable profits available against which the unused tax losses can be utilized. The accumulated tax losses relate entirely to Germany. There is no expiration date for any for the accumulated tax losses under German law.</w:t>
      </w:r>
    </w:p>
    <w:p>
      <w:pPr>
        <w:spacing w:after="0" w:line="326" w:lineRule="exact"/>
        <w:rPr>
          <w:sz w:val="20"/>
          <w:szCs w:val="20"/>
          <w:color w:val="auto"/>
        </w:rPr>
      </w:pPr>
    </w:p>
    <w:p>
      <w:pPr>
        <w:ind w:left="980" w:hanging="776"/>
        <w:spacing w:after="0"/>
        <w:tabs>
          <w:tab w:leader="none" w:pos="98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Basic earnings per share (EPS) is calculated by dividing the loss for the year attributable to ordinary equity holders of the parent by the weighted average number of ordinary shares outstanding during the year.</w:t>
      </w:r>
    </w:p>
    <w:p>
      <w:pPr>
        <w:spacing w:after="0" w:line="17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Diluted EPS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59" w:right="41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reflects the income and share data used in the basic and diluted EPS calculations: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6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76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attributable to ordinary equity holders of the parent for basic earnings</w:t>
            </w:r>
          </w:p>
        </w:tc>
        <w:tc>
          <w:tcPr>
            <w:tcW w:w="15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(48,018</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(85,653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for basic EPS*</w:t>
            </w:r>
          </w:p>
        </w:tc>
        <w:tc>
          <w:tcPr>
            <w:tcW w:w="2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Effects of dilution from share options</w:t>
            </w:r>
          </w:p>
        </w:tc>
        <w:tc>
          <w:tcPr>
            <w:tcW w:w="1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ordinary shares adjusted for the effect of dilution*</w:t>
            </w:r>
          </w:p>
        </w:tc>
        <w:tc>
          <w:tcPr>
            <w:tcW w:w="1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weighted average number of shares takes into account the weighted average effect of changes in shares during the year.</w:t>
      </w:r>
    </w:p>
    <w:p>
      <w:pPr>
        <w:spacing w:after="0" w:line="225"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authorization of these financial statements. Stock options were not included in the calculation of diluted EPS because they are antidilutive for the periods presented.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59" w:right="41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6220" w:type="dxa"/>
            <w:vAlign w:val="bottom"/>
            <w:gridSpan w:val="2"/>
          </w:tcPr>
          <w:p>
            <w:pPr>
              <w:ind w:left="560"/>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Construction 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Land and</w:t>
            </w:r>
          </w:p>
        </w:tc>
        <w:tc>
          <w:tcPr>
            <w:tcW w:w="4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progress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4"/>
            <w:vMerge w:val="restart"/>
          </w:tcPr>
          <w:p>
            <w:pPr>
              <w:spacing w:after="0"/>
              <w:rPr>
                <w:sz w:val="20"/>
                <w:szCs w:val="20"/>
                <w:color w:val="auto"/>
              </w:rPr>
            </w:pPr>
            <w:r>
              <w:rPr>
                <w:rFonts w:ascii="Arial" w:cs="Arial" w:eastAsia="Arial" w:hAnsi="Arial"/>
                <w:sz w:val="14"/>
                <w:szCs w:val="14"/>
                <w:color w:val="auto"/>
              </w:rPr>
              <w:t>(in thousands)</w:t>
            </w:r>
          </w:p>
        </w:tc>
        <w:tc>
          <w:tcPr>
            <w:tcW w:w="6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tools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advance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4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buildings</w:t>
            </w:r>
          </w:p>
        </w:tc>
        <w:tc>
          <w:tcPr>
            <w:tcW w:w="1500" w:type="dxa"/>
            <w:vAlign w:val="bottom"/>
            <w:gridSpan w:val="4"/>
          </w:tcPr>
          <w:p>
            <w:pPr>
              <w:ind w:left="460"/>
              <w:spacing w:after="0" w:line="158" w:lineRule="exact"/>
              <w:rPr>
                <w:sz w:val="20"/>
                <w:szCs w:val="20"/>
                <w:color w:val="auto"/>
              </w:rPr>
            </w:pPr>
            <w:r>
              <w:rPr>
                <w:rFonts w:ascii="Arial" w:cs="Arial" w:eastAsia="Arial" w:hAnsi="Arial"/>
                <w:sz w:val="14"/>
                <w:szCs w:val="14"/>
                <w:b w:val="1"/>
                <w:bCs w:val="1"/>
                <w:color w:val="auto"/>
              </w:rPr>
              <w:t>installations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payments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Acquisition and production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w w:val="82"/>
              </w:rPr>
              <w:t>€ 11,126</w:t>
            </w:r>
          </w:p>
        </w:tc>
        <w:tc>
          <w:tcPr>
            <w:tcW w:w="560" w:type="dxa"/>
            <w:vAlign w:val="bottom"/>
            <w:gridSpan w:val="2"/>
          </w:tcPr>
          <w:p>
            <w:pPr>
              <w:ind w:left="4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39,944</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3,613</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54,683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13,077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January 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13,077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Disposals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22,147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73,613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102,853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Construction 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Land and</w:t>
            </w:r>
          </w:p>
        </w:tc>
        <w:tc>
          <w:tcPr>
            <w:tcW w:w="4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progress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tools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advance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9"/>
              </w:rPr>
              <w:t>buildings</w:t>
            </w:r>
          </w:p>
        </w:tc>
        <w:tc>
          <w:tcPr>
            <w:tcW w:w="1500" w:type="dxa"/>
            <w:vAlign w:val="bottom"/>
            <w:gridSpan w:val="4"/>
          </w:tcPr>
          <w:p>
            <w:pPr>
              <w:ind w:left="460"/>
              <w:spacing w:after="0"/>
              <w:rPr>
                <w:sz w:val="20"/>
                <w:szCs w:val="20"/>
                <w:color w:val="auto"/>
              </w:rPr>
            </w:pPr>
            <w:r>
              <w:rPr>
                <w:rFonts w:ascii="Arial" w:cs="Arial" w:eastAsia="Arial" w:hAnsi="Arial"/>
                <w:sz w:val="14"/>
                <w:szCs w:val="14"/>
                <w:b w:val="1"/>
                <w:bCs w:val="1"/>
                <w:color w:val="auto"/>
              </w:rPr>
              <w:t>installations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payments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depreciation and impairment charges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5,232</w:t>
            </w:r>
          </w:p>
        </w:tc>
        <w:tc>
          <w:tcPr>
            <w:tcW w:w="560" w:type="dxa"/>
            <w:vAlign w:val="bottom"/>
            <w:gridSpan w:val="2"/>
          </w:tcPr>
          <w:p>
            <w:pPr>
              <w:ind w:left="4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17,076</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January 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15,675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 under construction</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Assets under construction for buildings included in property, plant and equipment amounted to k€5,725 as of December 31, 2018 (December 31, 2017: k€1,327; January 1, 2017: nil).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10</w:t>
            </w:r>
          </w:p>
        </w:tc>
        <w:tc>
          <w:tcPr>
            <w:tcW w:w="140" w:type="dxa"/>
            <w:vAlign w:val="bottom"/>
          </w:tcPr>
          <w:p>
            <w:pPr>
              <w:spacing w:after="0"/>
              <w:rPr>
                <w:sz w:val="20"/>
                <w:szCs w:val="20"/>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Concessions,</w:t>
            </w:r>
          </w:p>
        </w:tc>
        <w:tc>
          <w:tcPr>
            <w:tcW w:w="50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Advance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860" w:type="dxa"/>
            <w:vAlign w:val="bottom"/>
            <w:gridSpan w:val="3"/>
            <w:vMerge w:val="restart"/>
          </w:tcPr>
          <w:p>
            <w:pPr>
              <w:ind w:left="120"/>
              <w:spacing w:after="0"/>
              <w:rPr>
                <w:sz w:val="20"/>
                <w:szCs w:val="20"/>
                <w:color w:val="auto"/>
              </w:rPr>
            </w:pPr>
            <w:r>
              <w:rPr>
                <w:rFonts w:ascii="Arial" w:cs="Arial" w:eastAsia="Arial" w:hAnsi="Arial"/>
                <w:sz w:val="14"/>
                <w:szCs w:val="14"/>
                <w:color w:val="auto"/>
              </w:rPr>
              <w:t>(in thousands)</w:t>
            </w: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Goodwill</w:t>
            </w:r>
          </w:p>
        </w:tc>
        <w:tc>
          <w:tcPr>
            <w:tcW w:w="5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licenses and</w:t>
            </w:r>
          </w:p>
        </w:tc>
        <w:tc>
          <w:tcPr>
            <w:tcW w:w="5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586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360" w:type="dxa"/>
            <w:vAlign w:val="bottom"/>
            <w:gridSpan w:val="3"/>
          </w:tcPr>
          <w:p>
            <w:pPr>
              <w:jc w:val="center"/>
              <w:ind w:left="415"/>
              <w:spacing w:after="0" w:line="158" w:lineRule="exact"/>
              <w:rPr>
                <w:sz w:val="20"/>
                <w:szCs w:val="20"/>
                <w:color w:val="auto"/>
              </w:rPr>
            </w:pPr>
            <w:r>
              <w:rPr>
                <w:rFonts w:ascii="Arial" w:cs="Arial" w:eastAsia="Arial" w:hAnsi="Arial"/>
                <w:sz w:val="14"/>
                <w:szCs w:val="14"/>
                <w:b w:val="1"/>
                <w:bCs w:val="1"/>
                <w:color w:val="auto"/>
                <w:w w:val="93"/>
              </w:rPr>
              <w:t>similar rights</w:t>
            </w:r>
          </w:p>
        </w:tc>
        <w:tc>
          <w:tcPr>
            <w:tcW w:w="1400" w:type="dxa"/>
            <w:vAlign w:val="bottom"/>
            <w:gridSpan w:val="4"/>
          </w:tcPr>
          <w:p>
            <w:pPr>
              <w:ind w:left="500"/>
              <w:spacing w:after="0" w:line="158" w:lineRule="exact"/>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Acquisition costs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As of January 1, 2017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68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9,421</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3,839</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2017</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534</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85,271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As of January 1, 2018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85,271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89,370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(4,431)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at December 31, 2018</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101,853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103,883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Concessions,</w:t>
            </w:r>
          </w:p>
        </w:tc>
        <w:tc>
          <w:tcPr>
            <w:tcW w:w="50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Advance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Goodwill</w:t>
            </w:r>
          </w:p>
        </w:tc>
        <w:tc>
          <w:tcPr>
            <w:tcW w:w="5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licenses and</w:t>
            </w:r>
          </w:p>
        </w:tc>
        <w:tc>
          <w:tcPr>
            <w:tcW w:w="5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36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w w:val="93"/>
              </w:rPr>
              <w:t>similar rights</w:t>
            </w:r>
          </w:p>
        </w:tc>
        <w:tc>
          <w:tcPr>
            <w:tcW w:w="1400" w:type="dxa"/>
            <w:vAlign w:val="bottom"/>
            <w:gridSpan w:val="4"/>
          </w:tcPr>
          <w:p>
            <w:pPr>
              <w:ind w:left="500"/>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amortization and impairment charges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As of January 1, 2017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2,609</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Impairment loss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2017</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As of January 1, 2018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at December 31, 2018</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As January 1, 2017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68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6,812</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3,839</w:t>
            </w: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79,438</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86,011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Intangible assets comprise a license with a carrying amount of k€55,420 (December 31, 2017: k€61,876; January 1, 2017: nil) and a useful lifetime of 10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2017, an impairment loss of k€281 was recorded for a software program. The impairment loss was recognized under other operating expenses.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Contractual commitments for the acquisition of intangible assets amounts to k€19,482 (2017: k€40,078; January 1, 2017: nil).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impairment testing, goodwill acquired through business combinations and intangible assets not yet in use have been allocated to the respective cash-generating units.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59" w:right="4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CGUs are based on the level of legal entities. Therefore, the goodwill has been allocated to the CGU JPT.</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JPT</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380" w:type="dxa"/>
            <w:vAlign w:val="bottom"/>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5"/>
                <w:szCs w:val="15"/>
                <w:color w:val="auto"/>
              </w:rPr>
            </w:pPr>
          </w:p>
        </w:tc>
        <w:tc>
          <w:tcPr>
            <w:tcW w:w="840" w:type="dxa"/>
            <w:vAlign w:val="bottom"/>
          </w:tcPr>
          <w:p>
            <w:pPr>
              <w:jc w:val="right"/>
              <w:ind w:right="205"/>
              <w:spacing w:after="0" w:line="158"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5"/>
                <w:szCs w:val="15"/>
                <w:color w:val="auto"/>
              </w:rPr>
            </w:pPr>
          </w:p>
        </w:tc>
        <w:tc>
          <w:tcPr>
            <w:tcW w:w="660" w:type="dxa"/>
            <w:vAlign w:val="bottom"/>
          </w:tcPr>
          <w:p>
            <w:pPr>
              <w:jc w:val="right"/>
              <w:ind w:right="10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4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8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Group performed its annual goodwill impairment for the balance sheet dates January 1, 2017, December 31, 2017 and December 31, 2018.</w:t>
      </w:r>
    </w:p>
    <w:p>
      <w:pPr>
        <w:spacing w:after="0" w:line="24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recoverable amount was determined on a value in use calculation using cash flow projections from budgets approved by senior management covering a five-year period.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Management concluded that no reasonable possible change of key assumptions on which the calculation of the recoverable amount is based would cause the carrying amount of the CGU to exceed its recoverable amount.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pre-tax discount rate applied to cash flow projections for the year ended 2018 is 12.2% (December 31, 2017: 12.3%; January 1, 2017: 12.3%)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cash flows beyond the five-year period are extrapolated using a 1.0% growth rate (2017: 1.0%; 2016: 1.0%).</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the recoverable amount exceeded the carrying amount of the CGU for every balance sheet date, no impairment charge was required.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Intangible assets not yet available for use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there were no intangible assets not yet available that were not recognized.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2017, the Group performed an impairment test for intangible assets not yet in use, which had carrying amounts of k€1,190 (January 1,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nil).</w:t>
      </w:r>
    </w:p>
    <w:p>
      <w:pPr>
        <w:spacing w:after="0" w:line="21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recoverable amount was determined on a value in use calculation. Intangible assets of k€1,190 were available for use as planned during the current period.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Management concluded that no reasonable possible change of key assumptions on which the calculation of the recoverable amount is based would cause the carrying amount of the CGU to exceed its recoverable amount.</w:t>
      </w:r>
    </w:p>
    <w:p>
      <w:pPr>
        <w:spacing w:after="0" w:line="315" w:lineRule="exact"/>
        <w:rPr>
          <w:sz w:val="20"/>
          <w:szCs w:val="20"/>
          <w:color w:val="auto"/>
        </w:rPr>
      </w:pPr>
    </w:p>
    <w:p>
      <w:pPr>
        <w:ind w:left="980" w:hanging="776"/>
        <w:spacing w:after="0"/>
        <w:tabs>
          <w:tab w:leader="none" w:pos="98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w:t>
      </w:r>
    </w:p>
    <w:p>
      <w:pPr>
        <w:spacing w:after="0" w:line="13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Capital risk management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objective of the capital management of BioNTech is primarily designed to finance the Group’s growth strategy.</w:t>
      </w:r>
    </w:p>
    <w:p>
      <w:pPr>
        <w:spacing w:after="0" w:line="225"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The Group’s controlling committee reviews the total amount of cash of the Group on a weekly basis. As part of this review, the committee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340" w:type="dxa"/>
            <w:vAlign w:val="bottom"/>
            <w:vMerge w:val="restart"/>
          </w:tcPr>
          <w:p>
            <w:pPr>
              <w:spacing w:after="0"/>
              <w:rPr>
                <w:sz w:val="14"/>
                <w:szCs w:val="14"/>
                <w:color w:val="auto"/>
              </w:rPr>
            </w:pPr>
          </w:p>
        </w:tc>
        <w:tc>
          <w:tcPr>
            <w:tcW w:w="2500" w:type="dxa"/>
            <w:vAlign w:val="bottom"/>
          </w:tcPr>
          <w:p>
            <w:pPr>
              <w:spacing w:after="0"/>
              <w:rPr>
                <w:sz w:val="14"/>
                <w:szCs w:val="14"/>
                <w:color w:val="auto"/>
              </w:rPr>
            </w:pPr>
          </w:p>
        </w:tc>
        <w:tc>
          <w:tcPr>
            <w:tcW w:w="256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6"/>
              </w:rPr>
              <w:t>As at 1 January</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2018</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2017</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411,495</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172,106</w:t>
            </w: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303,680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411,495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172,106</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80" w:type="dxa"/>
            <w:vAlign w:val="bottom"/>
            <w:gridSpan w:val="3"/>
          </w:tcPr>
          <w:p>
            <w:pPr>
              <w:ind w:left="1280"/>
              <w:spacing w:after="0"/>
              <w:rPr>
                <w:sz w:val="20"/>
                <w:szCs w:val="20"/>
                <w:color w:val="auto"/>
              </w:rPr>
            </w:pPr>
            <w:r>
              <w:rPr>
                <w:rFonts w:ascii="Arial" w:cs="Arial" w:eastAsia="Arial" w:hAnsi="Arial"/>
                <w:sz w:val="18"/>
                <w:szCs w:val="18"/>
                <w:color w:val="auto"/>
              </w:rPr>
              <w:t>F-54</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BioNTech is not subject to externally imposed capital requirements. The objectives of BioNTech’s capital management were achieved in the reporting year.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 changes were made in the objectives, policies or processes for managing cash during the years ended December 31, 2018 and 2017.</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4920" w:type="dxa"/>
            <w:vAlign w:val="bottom"/>
            <w:gridSpan w:val="3"/>
          </w:tcPr>
          <w:p>
            <w:pPr>
              <w:ind w:left="240"/>
              <w:spacing w:after="0"/>
              <w:rPr>
                <w:sz w:val="20"/>
                <w:szCs w:val="20"/>
                <w:color w:val="auto"/>
              </w:rPr>
            </w:pPr>
            <w:r>
              <w:rPr>
                <w:rFonts w:ascii="Arial" w:cs="Arial" w:eastAsia="Arial" w:hAnsi="Arial"/>
                <w:sz w:val="18"/>
                <w:szCs w:val="18"/>
                <w:b w:val="1"/>
                <w:bCs w:val="1"/>
                <w:color w:val="auto"/>
              </w:rPr>
              <w:t>Categories of financial instruments</w:t>
            </w: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Financial assets at amortised cost</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34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740" w:type="dxa"/>
            <w:vAlign w:val="bottom"/>
            <w:vMerge w:val="restart"/>
          </w:tcPr>
          <w:p>
            <w:pPr>
              <w:spacing w:after="0"/>
              <w:rPr>
                <w:sz w:val="24"/>
                <w:szCs w:val="24"/>
                <w:color w:val="auto"/>
              </w:rPr>
            </w:pPr>
          </w:p>
        </w:tc>
        <w:tc>
          <w:tcPr>
            <w:tcW w:w="21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 at 1</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January 2017</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€18,938</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€4,575</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Receivables from co-operation agreements</w:t>
            </w:r>
          </w:p>
        </w:tc>
        <w:tc>
          <w:tcPr>
            <w:tcW w:w="15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 and receivables</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9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19,292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4,839</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19,273</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non-current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liabilities: Interest-bearing loans and borrowings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49"/>
        </w:trPr>
        <w:tc>
          <w:tcPr>
            <w:tcW w:w="7240" w:type="dxa"/>
            <w:vAlign w:val="bottom"/>
            <w:gridSpan w:val="3"/>
            <w:vMerge w:val="restart"/>
          </w:tcPr>
          <w:p>
            <w:pPr>
              <w:ind w:left="4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January</w:t>
            </w:r>
          </w:p>
        </w:tc>
        <w:tc>
          <w:tcPr>
            <w:tcW w:w="0" w:type="dxa"/>
            <w:vAlign w:val="bottom"/>
          </w:tcPr>
          <w:p>
            <w:pPr>
              <w:spacing w:after="0"/>
              <w:rPr>
                <w:sz w:val="1"/>
                <w:szCs w:val="1"/>
                <w:color w:val="auto"/>
              </w:rPr>
            </w:pPr>
          </w:p>
        </w:tc>
      </w:tr>
      <w:tr>
        <w:trPr>
          <w:trHeight w:val="158"/>
        </w:trPr>
        <w:tc>
          <w:tcPr>
            <w:tcW w:w="72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left="54"/>
              <w:spacing w:after="0" w:line="158"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2.15% €10,000,000 secured bank loan</w:t>
            </w:r>
          </w:p>
        </w:tc>
        <w:tc>
          <w:tcPr>
            <w:tcW w:w="88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3"/>
              </w:rPr>
              <w:t>12/30/2027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4,000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2.08% €9,450,000 secured bank loan</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09/30/2028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1,600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5,600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5,600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w w:val="91"/>
              </w:rPr>
              <w:t>Other financial liabilities at amortised cost, other than interest-bearing loans and borrowings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40" w:type="dxa"/>
            <w:vAlign w:val="bottom"/>
            <w:gridSpan w:val="3"/>
            <w:vMerge w:val="restart"/>
          </w:tcPr>
          <w:p>
            <w:pPr>
              <w:ind w:left="440"/>
              <w:spacing w:after="0"/>
              <w:rPr>
                <w:sz w:val="20"/>
                <w:szCs w:val="20"/>
                <w:color w:val="auto"/>
              </w:rPr>
            </w:pPr>
            <w:r>
              <w:rPr>
                <w:rFonts w:ascii="Arial" w:cs="Arial" w:eastAsia="Arial" w:hAnsi="Arial"/>
                <w:sz w:val="14"/>
                <w:szCs w:val="14"/>
                <w:color w:val="auto"/>
              </w:rPr>
              <w:t>(in thousands)</w:t>
            </w:r>
          </w:p>
        </w:tc>
        <w:tc>
          <w:tcPr>
            <w:tcW w:w="68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58"/>
        </w:trPr>
        <w:tc>
          <w:tcPr>
            <w:tcW w:w="724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6"/>
          </w:tcPr>
          <w:p>
            <w:pPr>
              <w:jc w:val="center"/>
              <w:ind w:right="20"/>
              <w:spacing w:after="0" w:line="158" w:lineRule="exact"/>
              <w:rPr>
                <w:sz w:val="20"/>
                <w:szCs w:val="20"/>
                <w:color w:val="auto"/>
              </w:rPr>
            </w:pPr>
            <w:r>
              <w:rPr>
                <w:rFonts w:ascii="Arial" w:cs="Arial" w:eastAsia="Arial" w:hAnsi="Arial"/>
                <w:sz w:val="14"/>
                <w:szCs w:val="14"/>
                <w:b w:val="1"/>
                <w:bCs w:val="1"/>
                <w:color w:val="auto"/>
                <w:w w:val="94"/>
              </w:rPr>
              <w:t>January 2017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and other payables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€41,721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52,538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50,752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52,182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from license agreements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98,605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106,658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45,651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56,309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2.15% secured loan</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The loan is secured by a lien over land and buildings with a carrying value of k€10,000 (2017: nil). Additionally, the loan is secured by a permanent guarantee (</w:t>
      </w:r>
      <w:r>
        <w:rPr>
          <w:rFonts w:ascii="Arial" w:cs="Arial" w:eastAsia="Arial" w:hAnsi="Arial"/>
          <w:sz w:val="16"/>
          <w:szCs w:val="16"/>
          <w:i w:val="1"/>
          <w:iCs w:val="1"/>
          <w:color w:val="auto"/>
        </w:rPr>
        <w:t>Höchstbetragsbürgschaft</w:t>
      </w:r>
      <w:r>
        <w:rPr>
          <w:rFonts w:ascii="Arial" w:cs="Arial" w:eastAsia="Arial" w:hAnsi="Arial"/>
          <w:sz w:val="16"/>
          <w:szCs w:val="16"/>
          <w:color w:val="auto"/>
        </w:rPr>
        <w:t>) of the Company to the bank to the amount of k€10,000. The loan is repayable in equal quarterly instalments of k€312.5 commencing on March 31, 2020. As at December 31, 2018, the undrawn available amount is k€6,000.</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240" w:top="459" w:right="61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2.08% bank loan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loan is secured by a lien over land and buildings to the amount of k€9,450. Additionally, the loan is secured by a permanent guarantee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Höchstbetragbürgschaft</w:t>
      </w:r>
      <w:r>
        <w:rPr>
          <w:rFonts w:ascii="Arial" w:cs="Arial" w:eastAsia="Arial" w:hAnsi="Arial"/>
          <w:sz w:val="16"/>
          <w:szCs w:val="16"/>
          <w:color w:val="auto"/>
        </w:rPr>
        <w:t>) of the Company to the bank to the amount of k€9,450 (2017: nil). The loan is repayable by quarterly instalments of k€286.4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commencing on September 30, 2020. As at December 31, 2018, the available undrawn amount of k€7,850 will be drawn on predetermined dates.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loan will be fully drawn at January 15, 2020.</w:t>
      </w:r>
    </w:p>
    <w:p>
      <w:pPr>
        <w:spacing w:after="0" w:line="35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Fair values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liabilities include two fixed-interest rate loans. The fair value of the two fixed-interest rate loans is calculated based on significant observable inputs (Level 2). As of December 31, 2018, the carrying value approximates their fair values as they were agreed only recently and there have been no significant changes in relevant interest rates.</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Financial instruments risk management objectives and policies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Group’s financial liabilities comprise of bank loans, lease liabilities, trade and other payables. The main purpose of these financial liabilities is to enable the Group’s operations. The Group’s principal financial assets include mainly cash and trade receivables that derive directly from its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is exposed to market risk, credit risk and liquidity risk. The Group’s senior management oversees the management of these risks.</w:t>
      </w:r>
    </w:p>
    <w:p>
      <w:pPr>
        <w:spacing w:after="0" w:line="237" w:lineRule="exact"/>
        <w:rPr>
          <w:sz w:val="20"/>
          <w:szCs w:val="20"/>
          <w:color w:val="auto"/>
        </w:rPr>
      </w:pPr>
    </w:p>
    <w:p>
      <w:pPr>
        <w:ind w:left="200" w:right="480" w:firstLine="441"/>
        <w:spacing w:after="0" w:line="312" w:lineRule="auto"/>
        <w:rPr>
          <w:sz w:val="20"/>
          <w:szCs w:val="20"/>
          <w:color w:val="auto"/>
        </w:rPr>
      </w:pPr>
      <w:r>
        <w:rPr>
          <w:rFonts w:ascii="Arial" w:cs="Arial" w:eastAsia="Arial" w:hAnsi="Arial"/>
          <w:sz w:val="16"/>
          <w:szCs w:val="16"/>
          <w:color w:val="auto"/>
        </w:rPr>
        <w:t>The controlling committee provides assurance to the Group’s senior management that the Group’s financial risk activities are governed by appropriate policies and procedures and that financial risks are identified, measured and managed in accordance with the Group’s policies and risk objectives. The Board of Directors reviews and agrees policies for managing each of these risks, which are summarized below.</w:t>
      </w:r>
    </w:p>
    <w:p>
      <w:pPr>
        <w:spacing w:after="0" w:line="29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Market risk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Market risk is the risk that the fair value or future cash flows of a financial instrument will fluctuate due to changes in market prices. Market risk comprises of three types of risk: interest risk, foreign currency risk and other price risk. Financial instruments affected by market risk include cash and cash equivalents. Interest risk is not a risk for the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sensitivity analysis in the following sections relate to the position as at December 31, 2018 and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were no material changes in the Group’s market risk exposures or changes in the way risk was managed and valued during the periods.</w:t>
      </w:r>
    </w:p>
    <w:p>
      <w:pPr>
        <w:spacing w:after="0" w:line="39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b w:val="1"/>
          <w:bCs w:val="1"/>
          <w:color w:val="auto"/>
        </w:rPr>
        <w:t>Foreign currency risk</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The Group’s exposure to the risk of changes in foreign currency rates relates primarily to the Group’s operating activities (when revenue or expense is denominated in a foreign currency).</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order to reduce exchange rate risk, BioNTech makes every effort to generate expenses and income in the same functional currency. The Group does not hedge exchange rate risks.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20"/>
          </w:cols>
          <w:pgMar w:left="240" w:top="459" w:right="4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carrying amount of the monetary assets (the Group’s cash and cash equivalents) of BioNTech denominated in foreign currencies at the reporting date are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9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50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29"/>
        </w:trPr>
        <w:tc>
          <w:tcPr>
            <w:tcW w:w="396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2018</w:t>
            </w:r>
          </w:p>
        </w:tc>
        <w:tc>
          <w:tcPr>
            <w:tcW w:w="1180" w:type="dxa"/>
            <w:vAlign w:val="bottom"/>
            <w:tcBorders>
              <w:top w:val="single" w:sz="8" w:color="auto"/>
            </w:tcBorders>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USD Bank accounts</w:t>
            </w:r>
          </w:p>
        </w:tc>
        <w:tc>
          <w:tcPr>
            <w:tcW w:w="25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0"/>
              </w:rPr>
              <w:t>€176,376</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7"/>
              </w:rPr>
              <w:t>€ 140,822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tables demonstrate the sensitivity to a reasonably possible change in USD exchange rates, with all other variables held constant. The impact on the Group’s profit before tax is due to changes in the fair value of monetary assets. The Group’s exposure to foreign currency changes for all other currencies is not material.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Closing rate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 at</w:t>
            </w:r>
          </w:p>
        </w:tc>
        <w:tc>
          <w:tcPr>
            <w:tcW w:w="1500" w:type="dxa"/>
            <w:vAlign w:val="bottom"/>
            <w:gridSpan w:val="6"/>
          </w:tcPr>
          <w:p>
            <w:pPr>
              <w:ind w:left="32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23"/>
        </w:trPr>
        <w:tc>
          <w:tcPr>
            <w:tcW w:w="5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Currency</w:t>
            </w:r>
          </w:p>
        </w:tc>
        <w:tc>
          <w:tcPr>
            <w:tcW w:w="180" w:type="dxa"/>
            <w:vAlign w:val="bottom"/>
            <w:vMerge w:val="restart"/>
          </w:tcPr>
          <w:p>
            <w:pPr>
              <w:spacing w:after="0" w:line="20" w:lineRule="exact"/>
              <w:rPr>
                <w:sz w:val="1"/>
                <w:szCs w:val="1"/>
                <w:color w:val="auto"/>
              </w:rPr>
            </w:pPr>
          </w:p>
        </w:tc>
        <w:tc>
          <w:tcPr>
            <w:tcW w:w="110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i w:val="1"/>
                <w:iCs w:val="1"/>
                <w:color w:val="auto"/>
              </w:rPr>
              <w:t>1 € =</w:t>
            </w: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5840" w:type="dxa"/>
            <w:vAlign w:val="bottom"/>
            <w:gridSpan w:val="5"/>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84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Country</w:t>
            </w:r>
          </w:p>
        </w:tc>
        <w:tc>
          <w:tcPr>
            <w:tcW w:w="60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2017</w:t>
            </w: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USD</w:t>
            </w:r>
          </w:p>
        </w:tc>
        <w:tc>
          <w:tcPr>
            <w:tcW w:w="5240" w:type="dxa"/>
            <w:vAlign w:val="bottom"/>
            <w:tcBorders>
              <w:top w:val="single" w:sz="8" w:color="CCEEFF"/>
            </w:tcBorders>
            <w:gridSpan w:val="3"/>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1.1450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1.1993</w:t>
            </w:r>
          </w:p>
        </w:tc>
        <w:tc>
          <w:tcPr>
            <w:tcW w:w="1040" w:type="dxa"/>
            <w:vAlign w:val="bottom"/>
            <w:tcBorders>
              <w:top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1.1194</w:t>
            </w: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1.1810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1.1297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gridSpan w:val="3"/>
            <w:vMerge w:val="restart"/>
          </w:tcPr>
          <w:p>
            <w:pPr>
              <w:ind w:left="280"/>
              <w:spacing w:after="0"/>
              <w:rPr>
                <w:sz w:val="20"/>
                <w:szCs w:val="20"/>
                <w:color w:val="auto"/>
              </w:rPr>
            </w:pPr>
            <w:r>
              <w:rPr>
                <w:rFonts w:ascii="Arial" w:cs="Arial" w:eastAsia="Arial" w:hAnsi="Arial"/>
                <w:sz w:val="14"/>
                <w:szCs w:val="14"/>
                <w:i w:val="1"/>
                <w:iCs w:val="1"/>
                <w:color w:val="auto"/>
              </w:rPr>
              <w:t xml:space="preserve">In </w:t>
            </w:r>
            <w:r>
              <w:rPr>
                <w:rFonts w:ascii="Arial" w:cs="Arial" w:eastAsia="Arial" w:hAnsi="Arial"/>
                <w:sz w:val="14"/>
                <w:szCs w:val="14"/>
                <w:i w:val="1"/>
                <w:iCs w:val="1"/>
                <w:u w:val="single" w:color="auto"/>
                <w:color w:val="auto"/>
              </w:rPr>
              <w:t>k</w:t>
            </w:r>
            <w:r>
              <w:rPr>
                <w:rFonts w:ascii="Arial" w:cs="Arial" w:eastAsia="Arial" w:hAnsi="Arial"/>
                <w:sz w:val="14"/>
                <w:szCs w:val="14"/>
                <w:i w:val="1"/>
                <w:iCs w:val="1"/>
                <w:color w:val="auto"/>
              </w:rPr>
              <w:t>€</w:t>
            </w:r>
          </w:p>
        </w:tc>
        <w:tc>
          <w:tcPr>
            <w:tcW w:w="180" w:type="dxa"/>
            <w:vAlign w:val="bottom"/>
          </w:tcPr>
          <w:p>
            <w:pPr>
              <w:spacing w:after="0"/>
              <w:rPr>
                <w:sz w:val="24"/>
                <w:szCs w:val="2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Change in</w:t>
            </w:r>
          </w:p>
        </w:tc>
        <w:tc>
          <w:tcPr>
            <w:tcW w:w="340" w:type="dxa"/>
            <w:vAlign w:val="bottom"/>
          </w:tcPr>
          <w:p>
            <w:pPr>
              <w:spacing w:after="0"/>
              <w:rPr>
                <w:sz w:val="24"/>
                <w:szCs w:val="24"/>
                <w:color w:val="auto"/>
              </w:rPr>
            </w:pPr>
          </w:p>
        </w:tc>
        <w:tc>
          <w:tcPr>
            <w:tcW w:w="1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Effect on</w:t>
            </w:r>
          </w:p>
        </w:tc>
        <w:tc>
          <w:tcPr>
            <w:tcW w:w="660" w:type="dxa"/>
            <w:vAlign w:val="bottom"/>
          </w:tcPr>
          <w:p>
            <w:pPr>
              <w:spacing w:after="0"/>
              <w:rPr>
                <w:sz w:val="24"/>
                <w:szCs w:val="24"/>
                <w:color w:val="auto"/>
              </w:rPr>
            </w:pPr>
          </w:p>
        </w:tc>
        <w:tc>
          <w:tcPr>
            <w:tcW w:w="1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Effect 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USD rate</w:t>
            </w:r>
          </w:p>
        </w:tc>
        <w:tc>
          <w:tcPr>
            <w:tcW w:w="340" w:type="dxa"/>
            <w:vAlign w:val="bottom"/>
          </w:tcPr>
          <w:p>
            <w:pPr>
              <w:spacing w:after="0"/>
              <w:rPr>
                <w:sz w:val="14"/>
                <w:szCs w:val="14"/>
                <w:color w:val="auto"/>
              </w:rPr>
            </w:pPr>
          </w:p>
        </w:tc>
        <w:tc>
          <w:tcPr>
            <w:tcW w:w="1040" w:type="dxa"/>
            <w:vAlign w:val="bottom"/>
            <w:gridSpan w:val="5"/>
          </w:tcPr>
          <w:p>
            <w:pPr>
              <w:jc w:val="right"/>
              <w:ind w:right="160"/>
              <w:spacing w:after="0" w:line="158" w:lineRule="exact"/>
              <w:rPr>
                <w:sz w:val="20"/>
                <w:szCs w:val="20"/>
                <w:color w:val="auto"/>
              </w:rPr>
            </w:pPr>
            <w:r>
              <w:rPr>
                <w:rFonts w:ascii="Arial" w:cs="Arial" w:eastAsia="Arial" w:hAnsi="Arial"/>
                <w:sz w:val="14"/>
                <w:szCs w:val="14"/>
                <w:b w:val="1"/>
                <w:bCs w:val="1"/>
                <w:color w:val="auto"/>
                <w:w w:val="86"/>
              </w:rPr>
              <w:t>loss before tax</w:t>
            </w:r>
          </w:p>
        </w:tc>
        <w:tc>
          <w:tcPr>
            <w:tcW w:w="660" w:type="dxa"/>
            <w:vAlign w:val="bottom"/>
          </w:tcPr>
          <w:p>
            <w:pPr>
              <w:spacing w:after="0"/>
              <w:rPr>
                <w:sz w:val="14"/>
                <w:szCs w:val="14"/>
                <w:color w:val="auto"/>
              </w:rPr>
            </w:pPr>
          </w:p>
        </w:tc>
        <w:tc>
          <w:tcPr>
            <w:tcW w:w="1160" w:type="dxa"/>
            <w:vAlign w:val="bottom"/>
            <w:gridSpan w:val="5"/>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pre-tax equity</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(8,399)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9,283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(6,706)</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7,412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Credit risk management</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Credit risk is the risk that a counterparty will not meet its obligations under a financial instrument or customer contract, leading to a financial loss. The Group is exposed to credit risk from its operating activities, including deposits with banks and financial institutions, foreign exchange transactions and trade accounts receivable.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 receivables and contract assets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Group’s exposure to credit risk of trade receivables and contract assets is primarily on transactions with corporate customers in the biopharma/biotech industry that operate in Germany or in the United States. The Group evaluates this risk through detailed aging analysis and also detailed analysis of the creditworthiness of the customers at each reporting date. The Group follows risk control procedures to assess the credit quality of the customers taking into account their financial position, past experience and other factors. The compliance with credit limits by corporate customers is regularly monitored by management.</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credit risk on trade receivables and contract assets is very low as the customer portfolio of BioNTech mainly consists of medical universities, other public institutions and peers in the biopharma industry, which all have a very high credit rating and the group has not incurred bad debt expense. BioNTech does not expect that its customer portfolio will change.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Generally, trade receivables are written off if past due for more than one year and are not subject to enforcement activity. The maximum exposure to credit risk at the reporting date is the carrying value of each class of financial assets disclosed in Note 11.2. The Group does not hold collateral as security.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59" w:right="41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credit risk exposure on the Group’s trade receivables and contract assets is as follows: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December 31,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100" w:type="dxa"/>
            <w:vAlign w:val="bottom"/>
            <w:gridSpan w:val="3"/>
            <w:vMerge w:val="restart"/>
          </w:tcPr>
          <w:p>
            <w:pPr>
              <w:ind w:left="1320"/>
              <w:spacing w:after="0"/>
              <w:rPr>
                <w:sz w:val="20"/>
                <w:szCs w:val="20"/>
                <w:color w:val="auto"/>
              </w:rPr>
            </w:pPr>
            <w:r>
              <w:rPr>
                <w:rFonts w:ascii="Arial" w:cs="Arial" w:eastAsia="Arial" w:hAnsi="Arial"/>
                <w:sz w:val="14"/>
                <w:szCs w:val="14"/>
                <w:color w:val="auto"/>
              </w:rPr>
              <w:t>(in thousands)</w:t>
            </w:r>
          </w:p>
        </w:tc>
        <w:tc>
          <w:tcPr>
            <w:tcW w:w="2360" w:type="dxa"/>
            <w:vAlign w:val="bottom"/>
            <w:gridSpan w:val="4"/>
          </w:tcPr>
          <w:p>
            <w:pPr>
              <w:ind w:left="1300"/>
              <w:spacing w:after="0"/>
              <w:rPr>
                <w:sz w:val="20"/>
                <w:szCs w:val="20"/>
                <w:color w:val="auto"/>
              </w:rPr>
            </w:pPr>
            <w:r>
              <w:rPr>
                <w:rFonts w:ascii="Arial" w:cs="Arial" w:eastAsia="Arial" w:hAnsi="Arial"/>
                <w:sz w:val="14"/>
                <w:szCs w:val="14"/>
                <w:b w:val="1"/>
                <w:bCs w:val="1"/>
                <w:color w:val="auto"/>
              </w:rPr>
              <w:t>Contract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9"/>
              </w:rPr>
              <w:t>Trade</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2017</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100" w:type="dxa"/>
            <w:vAlign w:val="bottom"/>
            <w:gridSpan w:val="3"/>
            <w:vMerge w:val="restart"/>
          </w:tcPr>
          <w:p>
            <w:pPr>
              <w:ind w:left="1320"/>
              <w:spacing w:after="0"/>
              <w:rPr>
                <w:sz w:val="20"/>
                <w:szCs w:val="20"/>
                <w:color w:val="auto"/>
              </w:rPr>
            </w:pPr>
            <w:r>
              <w:rPr>
                <w:rFonts w:ascii="Arial" w:cs="Arial" w:eastAsia="Arial" w:hAnsi="Arial"/>
                <w:sz w:val="14"/>
                <w:szCs w:val="14"/>
                <w:color w:val="auto"/>
              </w:rPr>
              <w:t>(in thousands)</w:t>
            </w:r>
          </w:p>
        </w:tc>
        <w:tc>
          <w:tcPr>
            <w:tcW w:w="2360" w:type="dxa"/>
            <w:vAlign w:val="bottom"/>
            <w:gridSpan w:val="4"/>
          </w:tcPr>
          <w:p>
            <w:pPr>
              <w:ind w:left="1300"/>
              <w:spacing w:after="0"/>
              <w:rPr>
                <w:sz w:val="20"/>
                <w:szCs w:val="20"/>
                <w:color w:val="auto"/>
              </w:rPr>
            </w:pPr>
            <w:r>
              <w:rPr>
                <w:rFonts w:ascii="Arial" w:cs="Arial" w:eastAsia="Arial" w:hAnsi="Arial"/>
                <w:sz w:val="14"/>
                <w:szCs w:val="14"/>
                <w:b w:val="1"/>
                <w:bCs w:val="1"/>
                <w:color w:val="auto"/>
              </w:rPr>
              <w:t>Contract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9"/>
              </w:rPr>
              <w:t>Trade</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As at January 1, 2017</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100" w:type="dxa"/>
            <w:vAlign w:val="bottom"/>
            <w:gridSpan w:val="3"/>
            <w:vMerge w:val="restart"/>
          </w:tcPr>
          <w:p>
            <w:pPr>
              <w:ind w:left="1320"/>
              <w:spacing w:after="0"/>
              <w:rPr>
                <w:sz w:val="20"/>
                <w:szCs w:val="20"/>
                <w:color w:val="auto"/>
              </w:rPr>
            </w:pPr>
            <w:r>
              <w:rPr>
                <w:rFonts w:ascii="Arial" w:cs="Arial" w:eastAsia="Arial" w:hAnsi="Arial"/>
                <w:sz w:val="14"/>
                <w:szCs w:val="14"/>
                <w:color w:val="auto"/>
              </w:rPr>
              <w:t>(in thousands)</w:t>
            </w:r>
          </w:p>
        </w:tc>
        <w:tc>
          <w:tcPr>
            <w:tcW w:w="2360" w:type="dxa"/>
            <w:vAlign w:val="bottom"/>
            <w:gridSpan w:val="4"/>
          </w:tcPr>
          <w:p>
            <w:pPr>
              <w:ind w:left="1300"/>
              <w:spacing w:after="0"/>
              <w:rPr>
                <w:sz w:val="20"/>
                <w:szCs w:val="20"/>
                <w:color w:val="auto"/>
              </w:rPr>
            </w:pPr>
            <w:r>
              <w:rPr>
                <w:rFonts w:ascii="Arial" w:cs="Arial" w:eastAsia="Arial" w:hAnsi="Arial"/>
                <w:sz w:val="14"/>
                <w:szCs w:val="14"/>
                <w:b w:val="1"/>
                <w:bCs w:val="1"/>
                <w:color w:val="auto"/>
              </w:rPr>
              <w:t>Contract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9"/>
              </w:rPr>
              <w:t>Trade</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637</w:t>
            </w:r>
          </w:p>
        </w:tc>
        <w:tc>
          <w:tcPr>
            <w:tcW w:w="5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deposits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Credit risk from balances with banks and financial institutions is managed by the Group’s controlling department in accordance with the Group’s policy. Investments of surplus funds are made only with banks.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 risk stemming from cash and deposits is very low.</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Group’s maximum exposure to credit risk for the components of the statements of financial position at December 31, 2018 and 2017 are the carrying amounts as illustrated in Note 11.1.</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Liquidity risk</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Historically, BioNTech has relied on the financing from shareholders and collaborators in order to ensure sufficient liquidity. Lack of external financial support could pose a risk of going concern. The liquidity management of BioNTech ensures the availability of cash and cash equivalents for operational activities and further investments through appropriate budget planning. In addition, a sufficient level of cash and cash equivalents, which is managed centrally, is always maintained to finance the operational activities.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monitors liquidity risks using a liquidity planning tool.</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Ultimately, the responsibility for liquidity risk management lies with the management, which has established an appropriate approach to managing short-, medium- and long-term financing and liquidity requirements. BioNTech manages liquidity risks by holding appropriate reserves, as well as by monitoring forecasted and actual cash flows and reconciling the maturity profiles of financial assets and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concentration</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geographical region, or have economic features that would cause their ability to meet contractual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59" w:right="45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obligations to be similarly affected by changes in economic, political or other conditions. Concentrations indicate the relative sensitivity of the Group’s performance to developments affecting a particular industry.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order to avoid concentrations of risk, the Group’s policies and procedures include specific guidelines to focus on the maintenance of an effective diversification in the sources of funding and distribution of cash deposits. Identified concentrations of credit risks are controlled and managed accordingly.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maturity profile of the Group’s financial liabilities based on contractual undiscounted payments is summarized as follows: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400" w:type="dxa"/>
            <w:vAlign w:val="bottom"/>
          </w:tcPr>
          <w:p>
            <w:pPr>
              <w:spacing w:after="0"/>
              <w:rPr>
                <w:sz w:val="14"/>
                <w:szCs w:val="14"/>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88"/>
              </w:rPr>
              <w:t>1 to 5 years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&gt; 5 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 year</w:t>
            </w:r>
          </w:p>
        </w:tc>
        <w:tc>
          <w:tcPr>
            <w:tcW w:w="40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Interest bearing loans and borrowings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w w:val="84"/>
              </w:rPr>
              <w:t>5,600</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5,600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41,721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41,721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13,346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73,692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160" w:type="dxa"/>
            <w:vAlign w:val="bottom"/>
            <w:gridSpan w:val="3"/>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6,132</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51,675</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13,346</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56,524</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127,145</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400" w:type="dxa"/>
            <w:vAlign w:val="bottom"/>
          </w:tcPr>
          <w:p>
            <w:pPr>
              <w:spacing w:after="0"/>
              <w:rPr>
                <w:sz w:val="24"/>
                <w:szCs w:val="24"/>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88"/>
              </w:rPr>
              <w:t>1 to 5 years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&gt; 5 years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 year</w:t>
            </w:r>
          </w:p>
        </w:tc>
        <w:tc>
          <w:tcPr>
            <w:tcW w:w="40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52,538</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52,538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3,552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0"/>
              </w:rPr>
              <w:t>13,743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59,263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76,558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58,029</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13,743</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59,263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131,035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at January 1, 2017</w:t>
            </w: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80" w:type="dxa"/>
            <w:vAlign w:val="bottom"/>
            <w:gridSpan w:val="3"/>
            <w:vMerge w:val="continue"/>
          </w:tcPr>
          <w:p>
            <w:pPr>
              <w:spacing w:after="0"/>
              <w:rPr>
                <w:sz w:val="24"/>
                <w:szCs w:val="24"/>
                <w:color w:val="auto"/>
              </w:rPr>
            </w:pPr>
          </w:p>
        </w:tc>
        <w:tc>
          <w:tcPr>
            <w:tcW w:w="7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5"/>
              </w:rPr>
              <w:t>Less than</w:t>
            </w:r>
          </w:p>
        </w:tc>
        <w:tc>
          <w:tcPr>
            <w:tcW w:w="116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1 to 5 years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&gt; 5 years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1 year</w:t>
            </w:r>
          </w:p>
        </w:tc>
        <w:tc>
          <w:tcPr>
            <w:tcW w:w="11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6,218</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left="3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2,392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8,193</w:t>
            </w:r>
          </w:p>
        </w:tc>
        <w:tc>
          <w:tcPr>
            <w:tcW w:w="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32,606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43,191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19,911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32,606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60,701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Changes in liabilities arising from financing activities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BioNTech uses leases to acquire the right to use assets for a specified amount of time. Due to the first-time adoption of IFRS 16, lease liabilities at an amount of k€28,132 were recognized as of January 1, 2017. The liability arising from leases amounts to k€52,182 as of December 31, 2017 and 50,775 as of December 31, 2018.</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Year ended December 31, 2018</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u w:val="single" w:color="auto"/>
          <w:color w:val="auto"/>
        </w:rPr>
        <w:t>(in thousands)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obligations under lease contracts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Non-current obligations under lease contracts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Interest-bearing loans and borrowings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Year ended December 31, 2017</w:t>
      </w:r>
    </w:p>
    <w:p>
      <w:pPr>
        <w:ind w:left="200"/>
        <w:spacing w:after="0" w:line="236" w:lineRule="auto"/>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January 1,</w:t>
            </w:r>
          </w:p>
        </w:tc>
        <w:tc>
          <w:tcPr>
            <w:tcW w:w="4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New</w:t>
            </w:r>
          </w:p>
        </w:tc>
        <w:tc>
          <w:tcPr>
            <w:tcW w:w="166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Reclassification</w:t>
            </w:r>
          </w:p>
        </w:tc>
        <w:tc>
          <w:tcPr>
            <w:tcW w:w="10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flows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Leases</w:t>
            </w: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1,832</w:t>
            </w:r>
          </w:p>
        </w:tc>
        <w:tc>
          <w:tcPr>
            <w:tcW w:w="42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(2,126)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296</w:t>
            </w:r>
          </w:p>
        </w:tc>
        <w:tc>
          <w:tcPr>
            <w:tcW w:w="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50,349</w:t>
            </w:r>
          </w:p>
        </w:tc>
        <w:tc>
          <w:tcPr>
            <w:tcW w:w="42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48,618</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52,182</w:t>
            </w: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€ 697</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56,352</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9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2"/>
              </w:rPr>
              <w:t>January 1,</w:t>
            </w:r>
          </w:p>
        </w:tc>
        <w:tc>
          <w:tcPr>
            <w:tcW w:w="1160" w:type="dxa"/>
            <w:vAlign w:val="bottom"/>
            <w:gridSpan w:val="3"/>
          </w:tcPr>
          <w:p>
            <w:pPr>
              <w:ind w:left="300"/>
              <w:spacing w:after="0"/>
              <w:rPr>
                <w:sz w:val="20"/>
                <w:szCs w:val="20"/>
                <w:color w:val="auto"/>
              </w:rPr>
            </w:pPr>
            <w:r>
              <w:rPr>
                <w:rFonts w:ascii="Arial" w:cs="Arial" w:eastAsia="Arial" w:hAnsi="Arial"/>
                <w:sz w:val="14"/>
                <w:szCs w:val="14"/>
                <w:b w:val="1"/>
                <w:bCs w:val="1"/>
                <w:color w:val="auto"/>
              </w:rPr>
              <w:t>Cash</w:t>
            </w:r>
          </w:p>
        </w:tc>
        <w:tc>
          <w:tcPr>
            <w:tcW w:w="6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New</w:t>
            </w:r>
          </w:p>
        </w:tc>
        <w:tc>
          <w:tcPr>
            <w:tcW w:w="16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Reclassification</w:t>
            </w:r>
          </w:p>
        </w:tc>
        <w:tc>
          <w:tcPr>
            <w:tcW w:w="10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8"/>
        </w:trPr>
        <w:tc>
          <w:tcPr>
            <w:tcW w:w="920" w:type="dxa"/>
            <w:vAlign w:val="bottom"/>
            <w:gridSpan w:val="4"/>
          </w:tcPr>
          <w:p>
            <w:pPr>
              <w:jc w:val="right"/>
              <w:ind w:right="354"/>
              <w:spacing w:after="0" w:line="158"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ind w:left="300"/>
              <w:spacing w:after="0" w:line="158" w:lineRule="exact"/>
              <w:rPr>
                <w:sz w:val="20"/>
                <w:szCs w:val="20"/>
                <w:color w:val="auto"/>
              </w:rPr>
            </w:pPr>
            <w:r>
              <w:rPr>
                <w:rFonts w:ascii="Arial" w:cs="Arial" w:eastAsia="Arial" w:hAnsi="Arial"/>
                <w:sz w:val="14"/>
                <w:szCs w:val="14"/>
                <w:b w:val="1"/>
                <w:bCs w:val="1"/>
                <w:color w:val="auto"/>
              </w:rPr>
              <w:t>flows</w:t>
            </w:r>
          </w:p>
        </w:tc>
        <w:tc>
          <w:tcPr>
            <w:tcW w:w="680" w:type="dxa"/>
            <w:vAlign w:val="bottom"/>
            <w:gridSpan w:val="2"/>
          </w:tcPr>
          <w:p>
            <w:pPr>
              <w:jc w:val="right"/>
              <w:ind w:right="34"/>
              <w:spacing w:after="0" w:line="158" w:lineRule="exact"/>
              <w:rPr>
                <w:sz w:val="20"/>
                <w:szCs w:val="20"/>
                <w:color w:val="auto"/>
              </w:rPr>
            </w:pPr>
            <w:r>
              <w:rPr>
                <w:rFonts w:ascii="Arial" w:cs="Arial" w:eastAsia="Arial" w:hAnsi="Arial"/>
                <w:sz w:val="14"/>
                <w:szCs w:val="14"/>
                <w:b w:val="1"/>
                <w:bCs w:val="1"/>
                <w:color w:val="auto"/>
              </w:rPr>
              <w:t>Leases</w:t>
            </w:r>
          </w:p>
        </w:tc>
        <w:tc>
          <w:tcPr>
            <w:tcW w:w="16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-951230</wp:posOffset>
            </wp:positionV>
            <wp:extent cx="6997700" cy="146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-668020</wp:posOffset>
            </wp:positionV>
            <wp:extent cx="699770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80" w:space="720"/>
            <w:col w:w="554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Current obligations under lease contracts</w:t>
            </w: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1,464</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94"/>
              </w:rPr>
              <w:t>(2,319)</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2,687</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1,832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Non-current obligations under lease contracts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26,669</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25,692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€ 28,132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25,692</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gridSpan w:val="2"/>
          </w:tcPr>
          <w:p>
            <w:pPr>
              <w:jc w:val="right"/>
              <w:ind w:right="390"/>
              <w:spacing w:after="0"/>
              <w:rPr>
                <w:sz w:val="20"/>
                <w:szCs w:val="20"/>
                <w:color w:val="auto"/>
              </w:rPr>
            </w:pPr>
            <w:r>
              <w:rPr>
                <w:rFonts w:ascii="Arial" w:cs="Arial" w:eastAsia="Arial" w:hAnsi="Arial"/>
                <w:sz w:val="18"/>
                <w:szCs w:val="18"/>
                <w:color w:val="auto"/>
              </w:rPr>
              <w:t>F-59</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12</w:t>
            </w:r>
          </w:p>
        </w:tc>
        <w:tc>
          <w:tcPr>
            <w:tcW w:w="5860" w:type="dxa"/>
            <w:vAlign w:val="bottom"/>
            <w:gridSpan w:val="3"/>
          </w:tcPr>
          <w:p>
            <w:pPr>
              <w:ind w:left="30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620" w:type="dxa"/>
            <w:vAlign w:val="bottom"/>
            <w:vMerge w:val="restart"/>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4,475</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2,874</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Unfinished goods and services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 and services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86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 inventories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3,876</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2018, inventories of k€5,382 (2017: k€7,448) were recognized as an expense and recognized in cost of sales.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BioNTech has not pledged any inventories as securities for liabilities.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13</w:t>
            </w:r>
          </w:p>
        </w:tc>
        <w:tc>
          <w:tcPr>
            <w:tcW w:w="5840" w:type="dxa"/>
            <w:vAlign w:val="bottom"/>
            <w:gridSpan w:val="3"/>
          </w:tcPr>
          <w:p>
            <w:pPr>
              <w:ind w:left="300"/>
              <w:spacing w:after="0"/>
              <w:rPr>
                <w:sz w:val="20"/>
                <w:szCs w:val="20"/>
                <w:color w:val="auto"/>
              </w:rPr>
            </w:pPr>
            <w:r>
              <w:rPr>
                <w:rFonts w:ascii="Arial" w:cs="Arial" w:eastAsia="Arial" w:hAnsi="Arial"/>
                <w:sz w:val="18"/>
                <w:szCs w:val="18"/>
                <w:b w:val="1"/>
                <w:bCs w:val="1"/>
                <w:color w:val="auto"/>
              </w:rPr>
              <w:t>Trade receivables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600" w:type="dxa"/>
            <w:vAlign w:val="bottom"/>
            <w:vMerge w:val="restart"/>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6"/>
              <w:spacing w:after="0" w:line="158" w:lineRule="exact"/>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5"/>
                <w:szCs w:val="15"/>
                <w:color w:val="auto"/>
              </w:rPr>
            </w:pPr>
          </w:p>
        </w:tc>
        <w:tc>
          <w:tcPr>
            <w:tcW w:w="66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18,938</w:t>
            </w: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4,575</w:t>
            </w:r>
          </w:p>
        </w:tc>
        <w:tc>
          <w:tcPr>
            <w:tcW w:w="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84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18,938</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3,161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Trade receivables are non-interest bearing and are generally due on terms of 20 to 30 days. As described in Note 11.6, expected credit loss for trade receivables is immaterial.</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14</w:t>
            </w:r>
          </w:p>
        </w:tc>
        <w:tc>
          <w:tcPr>
            <w:tcW w:w="6480" w:type="dxa"/>
            <w:vAlign w:val="bottom"/>
            <w:gridSpan w:val="3"/>
          </w:tcPr>
          <w:p>
            <w:pPr>
              <w:ind w:left="30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0" w:type="dxa"/>
            <w:vAlign w:val="bottom"/>
            <w:vMerge w:val="restart"/>
          </w:tcPr>
          <w:p>
            <w:pPr>
              <w:spacing w:after="0"/>
              <w:rPr>
                <w:sz w:val="23"/>
                <w:szCs w:val="23"/>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240" w:type="dxa"/>
            <w:vAlign w:val="bottom"/>
            <w:vMerge w:val="restart"/>
          </w:tcPr>
          <w:p>
            <w:pPr>
              <w:spacing w:after="0"/>
              <w:rPr>
                <w:sz w:val="23"/>
                <w:szCs w:val="23"/>
                <w:color w:val="auto"/>
              </w:rPr>
            </w:pPr>
          </w:p>
        </w:tc>
        <w:tc>
          <w:tcPr>
            <w:tcW w:w="21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As of 1 January</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Sales tax receivable</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€8,611</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€3,832</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Prepayments on inventories</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155</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48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9,164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6,227</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Other assets were mainly comprised of interest income of k€270 (2017 other assets were mainly comprised of receivables due to grants of k€1,356).</w:t>
      </w:r>
    </w:p>
    <w:p>
      <w:pPr>
        <w:spacing w:after="0" w:line="315" w:lineRule="exact"/>
        <w:rPr>
          <w:sz w:val="20"/>
          <w:szCs w:val="20"/>
          <w:color w:val="auto"/>
        </w:rPr>
      </w:pPr>
    </w:p>
    <w:p>
      <w:pPr>
        <w:ind w:left="200" w:right="7820" w:firstLine="4"/>
        <w:spacing w:after="0" w:line="375" w:lineRule="auto"/>
        <w:tabs>
          <w:tab w:leader="none" w:pos="97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Issued capital and reserves Issued capital:</w:t>
      </w:r>
    </w:p>
    <w:p>
      <w:pPr>
        <w:spacing w:after="0" w:line="1"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Authorized shares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04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As of 1 January</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Ordinary shares</w:t>
            </w:r>
          </w:p>
        </w:tc>
        <w:tc>
          <w:tcPr>
            <w:tcW w:w="2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167,347</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166,764</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Series A shares</w:t>
            </w:r>
          </w:p>
        </w:tc>
        <w:tc>
          <w:tcPr>
            <w:tcW w:w="3680" w:type="dxa"/>
            <w:vAlign w:val="bottom"/>
            <w:gridSpan w:val="3"/>
          </w:tcPr>
          <w:p>
            <w:pPr>
              <w:jc w:val="right"/>
              <w:ind w:right="320"/>
              <w:spacing w:after="0"/>
              <w:rPr>
                <w:sz w:val="20"/>
                <w:szCs w:val="20"/>
                <w:color w:val="auto"/>
              </w:rPr>
            </w:pPr>
            <w:r>
              <w:rPr>
                <w:rFonts w:ascii="Arial" w:cs="Arial" w:eastAsia="Arial" w:hAnsi="Arial"/>
                <w:sz w:val="18"/>
                <w:szCs w:val="18"/>
                <w:color w:val="auto"/>
              </w:rPr>
              <w:t>22,588</w:t>
            </w:r>
          </w:p>
        </w:tc>
        <w:tc>
          <w:tcPr>
            <w:tcW w:w="320" w:type="dxa"/>
            <w:vAlign w:val="bottom"/>
          </w:tcPr>
          <w:p>
            <w:pPr>
              <w:spacing w:after="0"/>
              <w:rPr>
                <w:sz w:val="18"/>
                <w:szCs w:val="18"/>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Qualifying shares</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3,361</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193,296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166,764</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80" w:type="dxa"/>
            <w:vAlign w:val="bottom"/>
            <w:gridSpan w:val="3"/>
          </w:tcPr>
          <w:p>
            <w:pPr>
              <w:ind w:left="1580"/>
              <w:spacing w:after="0"/>
              <w:rPr>
                <w:sz w:val="20"/>
                <w:szCs w:val="20"/>
                <w:color w:val="auto"/>
              </w:rPr>
            </w:pPr>
            <w:r>
              <w:rPr>
                <w:rFonts w:ascii="Arial" w:cs="Arial" w:eastAsia="Arial" w:hAnsi="Arial"/>
                <w:sz w:val="18"/>
                <w:szCs w:val="18"/>
                <w:color w:val="auto"/>
              </w:rPr>
              <w:t>F-60</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459" w:right="79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During the fiscal year 2018, the issued capital of BioNTech was increased by €26.5 million (2017: €163.5 million) to €193.3 million (2017: €166.8 million) in conjunction with a cash investment of €355.8 million. The capital increase in 2017 is due to a conversion of capital reserves into share capital. There were no cash proceeds in this transaction. Each share has a par value of €1.</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Share-based payments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Description of share-based payments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2018 and 2017, the Group had the following share-based arrangements.</w:t>
      </w:r>
    </w:p>
    <w:p>
      <w:pPr>
        <w:spacing w:after="0" w:line="3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16.1.1 Employee Stock Ownership Plan (equity-settled)</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On November 15, 2018, the Group established a share option program that grants selected employees options to receive shares in the company. The program is designed as an Employee Stock Ownership Plan (ESOP). The Group has offered the participants a certain number of rights (Option Rights) by explicit acceptance of the participants. The exercise of the Option Rights in accordance with the terms of the ESOP, gives the participants the right to obtain shares against payment of the exercise price. The Option Rights vest over four years, can only be exercised if the company has executed a public offering in the United States (IPO) and when meeting the Threshold Amount. Threshold Amount means the exercise price provided that such price increases by eight percentage points on the first and then each subsequent anniversary of the Allocation Date (September 26, 2018). The Option Rights can be exercised at the latest eight years after the Allocation Date. If they have not been exercised by that date, they will forfeit without compensation.</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16.1.2 Share appreciation rights (equity-settled)</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On December 1, 2017, the Group granted 582,714 shares to selected employees under the share appreciation rights (SAR) program. The shares vested immediately at the grant date (December 2017) as there were no vesting conditions.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other SARs granted.</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Measurement of fair values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16.2.1 Equity-settled share-based payment arrangement</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fair value of the employee share options has been measured using a binomial model. Service conditions attached to the arrangement were not taken into account in measuring the fair value.</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share options can only be exercised by the grantee if the price of the share is equal or greater to the Threshold Amount as defined in the arrangement. Moreover, the option rights can only be exercised if the IPO has occurred. Both conditions have been incorporated into the fair value at grant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inputs used in the measurement of the fair values at grant date of the equity-settled share-based payment plan was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r>
      <w:tr>
        <w:trPr>
          <w:trHeight w:val="149"/>
        </w:trPr>
        <w:tc>
          <w:tcPr>
            <w:tcW w:w="2720" w:type="dxa"/>
            <w:vAlign w:val="bottom"/>
          </w:tcPr>
          <w:p>
            <w:pPr>
              <w:spacing w:after="0"/>
              <w:rPr>
                <w:sz w:val="12"/>
                <w:szCs w:val="12"/>
                <w:color w:val="auto"/>
              </w:rPr>
            </w:pPr>
          </w:p>
        </w:tc>
        <w:tc>
          <w:tcPr>
            <w:tcW w:w="4760" w:type="dxa"/>
            <w:vAlign w:val="bottom"/>
            <w:gridSpan w:val="4"/>
          </w:tcPr>
          <w:p>
            <w:pPr>
              <w:jc w:val="center"/>
              <w:ind w:left="3454"/>
              <w:spacing w:after="0" w:line="149" w:lineRule="exact"/>
              <w:rPr>
                <w:sz w:val="20"/>
                <w:szCs w:val="20"/>
                <w:color w:val="auto"/>
              </w:rPr>
            </w:pPr>
            <w:r>
              <w:rPr>
                <w:rFonts w:ascii="Arial" w:cs="Arial" w:eastAsia="Arial" w:hAnsi="Arial"/>
                <w:sz w:val="14"/>
                <w:szCs w:val="14"/>
                <w:b w:val="1"/>
                <w:bCs w:val="1"/>
                <w:color w:val="auto"/>
                <w:w w:val="93"/>
              </w:rPr>
              <w:t>15 November</w:t>
            </w:r>
          </w:p>
        </w:tc>
      </w:tr>
      <w:tr>
        <w:trPr>
          <w:trHeight w:val="171"/>
        </w:trPr>
        <w:tc>
          <w:tcPr>
            <w:tcW w:w="272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Share price at grant date</w:t>
            </w:r>
          </w:p>
        </w:tc>
        <w:tc>
          <w:tcPr>
            <w:tcW w:w="39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9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Expected volatility (%)</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Expected dividends</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365"/>
        </w:trPr>
        <w:tc>
          <w:tcPr>
            <w:tcW w:w="2720" w:type="dxa"/>
            <w:vAlign w:val="bottom"/>
          </w:tcPr>
          <w:p>
            <w:pPr>
              <w:spacing w:after="0"/>
              <w:rPr>
                <w:sz w:val="24"/>
                <w:szCs w:val="24"/>
                <w:color w:val="auto"/>
              </w:rPr>
            </w:pPr>
          </w:p>
        </w:tc>
        <w:tc>
          <w:tcPr>
            <w:tcW w:w="3900" w:type="dxa"/>
            <w:vAlign w:val="bottom"/>
            <w:gridSpan w:val="2"/>
          </w:tcPr>
          <w:p>
            <w:pPr>
              <w:jc w:val="right"/>
              <w:ind w:right="2647"/>
              <w:spacing w:after="0"/>
              <w:rPr>
                <w:sz w:val="20"/>
                <w:szCs w:val="20"/>
                <w:color w:val="auto"/>
              </w:rPr>
            </w:pPr>
            <w:r>
              <w:rPr>
                <w:rFonts w:ascii="Arial" w:cs="Arial" w:eastAsia="Arial" w:hAnsi="Arial"/>
                <w:sz w:val="18"/>
                <w:szCs w:val="18"/>
                <w:color w:val="auto"/>
              </w:rPr>
              <w:t>F-61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60" w:right="45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Expected volatility has been based on an evaluation of the historical and the implied volatilities of comparable companies over the historical period commensurate with the expected term. The expected term has been based on general option holder behavior for employee options.</w:t>
      </w:r>
    </w:p>
    <w:p>
      <w:pPr>
        <w:spacing w:after="0" w:line="26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16.2.2</w:t>
      </w:r>
      <w:r>
        <w:rPr>
          <w:sz w:val="20"/>
          <w:szCs w:val="20"/>
          <w:color w:val="auto"/>
        </w:rPr>
        <w:tab/>
      </w:r>
      <w:r>
        <w:rPr>
          <w:rFonts w:ascii="Arial" w:cs="Arial" w:eastAsia="Arial" w:hAnsi="Arial"/>
          <w:sz w:val="16"/>
          <w:szCs w:val="16"/>
          <w:b w:val="1"/>
          <w:bCs w:val="1"/>
          <w:color w:val="auto"/>
        </w:rPr>
        <w:t>Share appreciation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the SARs has been determined using a discounted cash flow (DCF) model as of December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inputs used in the measurement of the fair values at grant date of the SARs were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Grant date 1</w:t>
            </w:r>
          </w:p>
        </w:tc>
      </w:tr>
      <w:tr>
        <w:trPr>
          <w:trHeight w:val="149"/>
        </w:trPr>
        <w:tc>
          <w:tcPr>
            <w:tcW w:w="64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r>
      <w:tr>
        <w:trPr>
          <w:trHeight w:val="171"/>
        </w:trPr>
        <w:tc>
          <w:tcPr>
            <w:tcW w:w="6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WACC</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Tax rate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Debt free net working capital (in % of sales)</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Long-term growth rate (%)</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Growth rate estimates are based on epidemiology data for different indications in focus geographies. The average market growth rates per indication and stage have been extrapolated with data derived from published industry research.</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expected life of the SARs is based on historical data and current expectations and is not necessarily indicative of exercise patterns that may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Expected dividends were not incorporated into the measurement of fair value.</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Reconciliation of outstanding share-options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and weighted-average exercise prices of share options under the ESOP were as follows: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Reconciliation of outstanding share options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4"/>
                <w:szCs w:val="14"/>
                <w:b w:val="1"/>
                <w:bCs w:val="1"/>
                <w:color w:val="auto"/>
              </w:rPr>
              <w:t>Number of</w:t>
            </w:r>
          </w:p>
        </w:tc>
        <w:tc>
          <w:tcPr>
            <w:tcW w:w="2000" w:type="dxa"/>
            <w:vAlign w:val="bottom"/>
            <w:gridSpan w:val="4"/>
          </w:tcPr>
          <w:p>
            <w:pPr>
              <w:ind w:left="840"/>
              <w:spacing w:after="0"/>
              <w:rPr>
                <w:sz w:val="20"/>
                <w:szCs w:val="20"/>
                <w:color w:val="auto"/>
              </w:rPr>
            </w:pPr>
            <w:r>
              <w:rPr>
                <w:rFonts w:ascii="Arial" w:cs="Arial" w:eastAsia="Arial" w:hAnsi="Arial"/>
                <w:sz w:val="14"/>
                <w:szCs w:val="14"/>
                <w:b w:val="1"/>
                <w:bCs w:val="1"/>
                <w:color w:val="auto"/>
                <w:w w:val="95"/>
              </w:rPr>
              <w:t>Weighted average</w:t>
            </w: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options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1 January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11,845,962</w:t>
            </w: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88"/>
              </w:rPr>
              <w:t>10.14</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11,845,962</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8"/>
              </w:rPr>
              <w:t>10.14</w:t>
            </w:r>
          </w:p>
        </w:tc>
        <w:tc>
          <w:tcPr>
            <w:tcW w:w="40" w:type="dxa"/>
            <w:vAlign w:val="bottom"/>
            <w:shd w:val="clear" w:color="auto" w:fill="CCEEFF"/>
          </w:tcPr>
          <w:p>
            <w:pPr>
              <w:spacing w:after="0"/>
              <w:rPr>
                <w:sz w:val="18"/>
                <w:szCs w:val="18"/>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Exercisable at 31 December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left="534"/>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options outstanding at December 31, 2018 have a weighted-average contractual life of 7.75 years.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5"/>
              </w:rPr>
              <w:t>16.4</w:t>
            </w:r>
          </w:p>
        </w:tc>
        <w:tc>
          <w:tcPr>
            <w:tcW w:w="8280" w:type="dxa"/>
            <w:vAlign w:val="bottom"/>
            <w:gridSpan w:val="3"/>
          </w:tcPr>
          <w:p>
            <w:pPr>
              <w:ind w:left="400"/>
              <w:spacing w:after="0"/>
              <w:rPr>
                <w:sz w:val="20"/>
                <w:szCs w:val="20"/>
                <w:color w:val="auto"/>
              </w:rPr>
            </w:pPr>
            <w:r>
              <w:rPr>
                <w:rFonts w:ascii="Arial" w:cs="Arial" w:eastAsia="Arial" w:hAnsi="Arial"/>
                <w:sz w:val="18"/>
                <w:szCs w:val="18"/>
                <w:b w:val="1"/>
                <w:bCs w:val="1"/>
                <w:color w:val="auto"/>
              </w:rPr>
              <w:t>Expense recognized in the statement of operations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9"/>
              </w:rPr>
              <w:t>The expense recognized for employee services received during the year is shown in the following table:</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thousands)</w:t>
            </w:r>
          </w:p>
        </w:tc>
        <w:tc>
          <w:tcPr>
            <w:tcW w:w="69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Expense arising from equity-settled share-based payment transactions</w:t>
            </w: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7,641</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280" w:type="dxa"/>
            <w:vAlign w:val="bottom"/>
            <w:gridSpan w:val="3"/>
          </w:tcPr>
          <w:p>
            <w:pPr>
              <w:ind w:left="50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7,641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5,909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vMerge w:val="restart"/>
          </w:tcPr>
          <w:p>
            <w:pPr>
              <w:ind w:left="3620"/>
              <w:spacing w:after="0"/>
              <w:rPr>
                <w:sz w:val="20"/>
                <w:szCs w:val="20"/>
                <w:color w:val="auto"/>
              </w:rPr>
            </w:pPr>
            <w:r>
              <w:rPr>
                <w:rFonts w:ascii="Arial" w:cs="Arial" w:eastAsia="Arial" w:hAnsi="Arial"/>
                <w:sz w:val="18"/>
                <w:szCs w:val="18"/>
                <w:color w:val="auto"/>
              </w:rPr>
              <w:t>F-62</w:t>
            </w: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9" w:right="67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were recognized in the statement of operations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47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6,786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2,275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gridSpan w:val="2"/>
            <w:shd w:val="clear" w:color="auto" w:fill="CCEEFF"/>
          </w:tcPr>
          <w:p>
            <w:pPr>
              <w:ind w:left="2120"/>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7,641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5,909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cancellations or modifications to the awards in 2018 or 2017.</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Net settlement feature for withholding tax obligation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Under the agreement, BioNTech must withhold an amount for an employee’s tax obligation associated with the share-based payment and transfer that amount in cash to the tax authority on the employee’s behalf. BioNTech does not withhold shares in order to settle the employee’s tax obligations. The Group withheld an amount of k€7,761 that was paid to the taxation authority in relation to the SARs in 2018.</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17</w:t>
            </w:r>
          </w:p>
        </w:tc>
        <w:tc>
          <w:tcPr>
            <w:tcW w:w="7140" w:type="dxa"/>
            <w:vAlign w:val="bottom"/>
            <w:gridSpan w:val="3"/>
          </w:tcPr>
          <w:p>
            <w:pPr>
              <w:ind w:left="300"/>
              <w:spacing w:after="0"/>
              <w:rPr>
                <w:sz w:val="20"/>
                <w:szCs w:val="20"/>
                <w:color w:val="auto"/>
              </w:rPr>
            </w:pPr>
            <w:r>
              <w:rPr>
                <w:rFonts w:ascii="Arial" w:cs="Arial" w:eastAsia="Arial" w:hAnsi="Arial"/>
                <w:sz w:val="18"/>
                <w:szCs w:val="18"/>
                <w:b w:val="1"/>
                <w:bCs w:val="1"/>
                <w:color w:val="auto"/>
              </w:rPr>
              <w:t>Other liabilities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00" w:type="dxa"/>
            <w:vAlign w:val="bottom"/>
            <w:vMerge w:val="restart"/>
          </w:tcPr>
          <w:p>
            <w:pPr>
              <w:spacing w:after="0"/>
              <w:rPr>
                <w:sz w:val="12"/>
                <w:szCs w:val="12"/>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900" w:type="dxa"/>
            <w:vAlign w:val="bottom"/>
            <w:vMerge w:val="restart"/>
          </w:tcPr>
          <w:p>
            <w:pPr>
              <w:spacing w:after="0"/>
              <w:rPr>
                <w:sz w:val="12"/>
                <w:szCs w:val="12"/>
                <w:color w:val="auto"/>
              </w:rPr>
            </w:pPr>
          </w:p>
        </w:tc>
        <w:tc>
          <w:tcPr>
            <w:tcW w:w="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January</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center"/>
              <w:ind w:left="136"/>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Liabilities employees</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€5,236</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€19,277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3,864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9,100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24,771</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4,067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liabilities comprise accruals for outstanding invoices in the amount of k€3,739 (2017: k€1,383) and several other non-material positions.</w:t>
      </w:r>
    </w:p>
    <w:p>
      <w:pPr>
        <w:spacing w:after="0" w:line="39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Leases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5"/>
          <w:szCs w:val="15"/>
          <w:b w:val="1"/>
          <w:bCs w:val="1"/>
          <w:color w:val="auto"/>
        </w:rPr>
        <w:t>Amounts recognized in the balance sheet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relate to leases and are included in Property, plant and equipment.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Right-of-use assets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vMerge w:val="restart"/>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500" w:type="dxa"/>
            <w:vAlign w:val="bottom"/>
            <w:vMerge w:val="restart"/>
          </w:tcPr>
          <w:p>
            <w:pPr>
              <w:spacing w:after="0"/>
              <w:rPr>
                <w:sz w:val="14"/>
                <w:szCs w:val="14"/>
                <w:color w:val="auto"/>
              </w:rPr>
            </w:pPr>
          </w:p>
        </w:tc>
        <w:tc>
          <w:tcPr>
            <w:tcW w:w="2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center"/>
              <w:ind w:left="136"/>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2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€49,718</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51,772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€ 27,870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324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Cars</w:t>
            </w:r>
          </w:p>
        </w:tc>
        <w:tc>
          <w:tcPr>
            <w:tcW w:w="3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8"/>
        </w:trPr>
        <w:tc>
          <w:tcPr>
            <w:tcW w:w="522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2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€49,766</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51,915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€ 28,132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220" w:type="dxa"/>
            <w:vAlign w:val="bottom"/>
            <w:gridSpan w:val="3"/>
          </w:tcPr>
          <w:p>
            <w:pPr>
              <w:ind w:left="440"/>
              <w:spacing w:after="0"/>
              <w:rPr>
                <w:sz w:val="20"/>
                <w:szCs w:val="20"/>
                <w:color w:val="auto"/>
              </w:rPr>
            </w:pPr>
            <w:r>
              <w:rPr>
                <w:rFonts w:ascii="Arial" w:cs="Arial" w:eastAsia="Arial" w:hAnsi="Arial"/>
                <w:sz w:val="18"/>
                <w:szCs w:val="18"/>
                <w:color w:val="auto"/>
                <w:w w:val="95"/>
              </w:rPr>
              <w:t>The following amounts are included in other financial liabilities.</w:t>
            </w: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Lease liability</w:t>
            </w: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500" w:type="dxa"/>
            <w:vAlign w:val="bottom"/>
            <w:vMerge w:val="restart"/>
          </w:tcPr>
          <w:p>
            <w:pPr>
              <w:spacing w:after="0"/>
              <w:rPr>
                <w:sz w:val="24"/>
                <w:szCs w:val="24"/>
                <w:color w:val="auto"/>
              </w:rPr>
            </w:pPr>
          </w:p>
        </w:tc>
        <w:tc>
          <w:tcPr>
            <w:tcW w:w="2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center"/>
              <w:ind w:left="136"/>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Current</w:t>
            </w:r>
          </w:p>
        </w:tc>
        <w:tc>
          <w:tcPr>
            <w:tcW w:w="2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€ 2,134</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2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50,349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50,752</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52,182</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€ 28,132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F-63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Additions to the right-of-use assets during 2018 were k€723 (2017: k€25,662; as of January 1, 2017: k€28,132).</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81"/>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18.2</w:t>
            </w:r>
          </w:p>
        </w:tc>
        <w:tc>
          <w:tcPr>
            <w:tcW w:w="9300" w:type="dxa"/>
            <w:vAlign w:val="bottom"/>
            <w:gridSpan w:val="2"/>
          </w:tcPr>
          <w:p>
            <w:pPr>
              <w:ind w:left="400"/>
              <w:spacing w:after="0"/>
              <w:rPr>
                <w:sz w:val="20"/>
                <w:szCs w:val="20"/>
                <w:color w:val="auto"/>
              </w:rPr>
            </w:pPr>
            <w:r>
              <w:rPr>
                <w:rFonts w:ascii="Arial" w:cs="Arial" w:eastAsia="Arial" w:hAnsi="Arial"/>
                <w:sz w:val="18"/>
                <w:szCs w:val="18"/>
                <w:b w:val="1"/>
                <w:bCs w:val="1"/>
                <w:color w:val="auto"/>
              </w:rPr>
              <w:t>Amounts recognized in the statement of operations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9680" w:type="dxa"/>
            <w:vAlign w:val="bottom"/>
            <w:gridSpan w:val="4"/>
          </w:tcPr>
          <w:p>
            <w:pPr>
              <w:spacing w:after="0"/>
              <w:rPr>
                <w:sz w:val="20"/>
                <w:szCs w:val="20"/>
                <w:color w:val="auto"/>
              </w:rPr>
            </w:pPr>
            <w:r>
              <w:rPr>
                <w:rFonts w:ascii="Arial" w:cs="Arial" w:eastAsia="Arial" w:hAnsi="Arial"/>
                <w:sz w:val="14"/>
                <w:szCs w:val="14"/>
                <w:color w:val="auto"/>
              </w:rPr>
              <w:t>(in thousands)</w:t>
            </w: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8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€2,751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€1,759</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Equipment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9"/>
              </w:rPr>
              <w:t>Cars</w:t>
            </w:r>
          </w:p>
        </w:tc>
        <w:tc>
          <w:tcPr>
            <w:tcW w:w="4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30"/>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Total depreciation charge</w:t>
            </w: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2,846</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Expense related to short-term leases (included in other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 relating to leases of low-value assets that are not short-term leases (included in other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r>
      <w:tr>
        <w:trPr>
          <w:trHeight w:val="223"/>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Total amounts recognised in statement of operations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5,088</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3,121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cash outflow for leases in 2018 amounted to k€3,847 (2017: k€2,319).</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BioNTech develops individualized treatments for cancer patients and improved therapeutics to treat infectious and rare diseases. This activity, together with research and development activities, forms the core of the company. External services provide the interface where medical products are sold to third parties.</w:t>
      </w:r>
    </w:p>
    <w:p>
      <w:pPr>
        <w:spacing w:after="0" w:line="181"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BioNTech’s business is managed in two business units, the biotech business unit and the external services business unit. The biotech business unit is comprised of three operation segments, which are individually monitored by the Chief Operating Decision Maker (CODM). Four operating segments have been identified in accordance with IFRS 8. No aggregation of operating segments was performed.</w:t>
      </w:r>
    </w:p>
    <w:p>
      <w:pPr>
        <w:spacing w:after="0" w:line="166"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Resource allocation and performance assessment is performed at the level of the Management Board. The Management Board members are jointly responsible for the management and strategic decision making. Consequently, the Management Board has been identified as the CODM. BioNTech’s business consist of the following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141605</wp:posOffset>
            </wp:positionV>
            <wp:extent cx="1689735" cy="16465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8973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right="220" w:hanging="216"/>
        <w:spacing w:after="0" w:line="277" w:lineRule="auto"/>
        <w:tabs>
          <w:tab w:leader="none" w:pos="4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Business Service bundles the Group’s central functions. In line with IFRS 8.6, Business Services is not an operating segment but the information is separately disclosed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59" w:right="41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activities form the Biotech Business Unit and are divided in the segments Clinical, Technology Platform and Manufacturing.</w:t>
      </w:r>
    </w:p>
    <w:p>
      <w:pPr>
        <w:spacing w:after="0" w:line="166"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Clinical</w:t>
      </w:r>
      <w:r>
        <w:rPr>
          <w:rFonts w:ascii="Arial" w:cs="Arial" w:eastAsia="Arial" w:hAnsi="Arial"/>
          <w:sz w:val="18"/>
          <w:szCs w:val="18"/>
          <w:color w:val="auto"/>
        </w:rPr>
        <w:t xml:space="preserve"> segment subsumes all development activities relating to clinical programs. Clinical studies include testing the product candidates on humans. Clinical trials are an essential part of the development and licensing of the medicinal products and are performed before the respective product can be placed on the market. BioNTech is actively engaged in many collaborations and licensing deals with reputable pharmaceutical companies and academic partners.</w:t>
      </w:r>
    </w:p>
    <w:p>
      <w:pPr>
        <w:spacing w:after="0" w:line="180" w:lineRule="exact"/>
        <w:rPr>
          <w:sz w:val="20"/>
          <w:szCs w:val="20"/>
          <w:color w:val="auto"/>
        </w:rPr>
      </w:pPr>
    </w:p>
    <w:p>
      <w:pPr>
        <w:ind w:left="200" w:right="240" w:firstLine="441"/>
        <w:spacing w:after="0" w:line="266" w:lineRule="auto"/>
        <w:rPr>
          <w:sz w:val="20"/>
          <w:szCs w:val="20"/>
          <w:color w:val="auto"/>
        </w:rPr>
      </w:pPr>
      <w:r>
        <w:rPr>
          <w:rFonts w:ascii="Arial" w:cs="Arial" w:eastAsia="Arial" w:hAnsi="Arial"/>
          <w:sz w:val="18"/>
          <w:szCs w:val="18"/>
          <w:b w:val="1"/>
          <w:bCs w:val="1"/>
          <w:color w:val="auto"/>
        </w:rPr>
        <w:t xml:space="preserve">Technology Platform </w:t>
      </w:r>
      <w:r>
        <w:rPr>
          <w:rFonts w:ascii="Arial" w:cs="Arial" w:eastAsia="Arial" w:hAnsi="Arial"/>
          <w:sz w:val="18"/>
          <w:szCs w:val="18"/>
          <w:color w:val="auto"/>
        </w:rPr>
        <w:t>contains all development activities relating to preclinical programs. Preclinical development is the stage of research that</w:t>
      </w:r>
      <w:r>
        <w:rPr>
          <w:rFonts w:ascii="Arial" w:cs="Arial" w:eastAsia="Arial" w:hAnsi="Arial"/>
          <w:sz w:val="18"/>
          <w:szCs w:val="18"/>
          <w:b w:val="1"/>
          <w:bCs w:val="1"/>
          <w:color w:val="auto"/>
        </w:rPr>
        <w:t xml:space="preserve"> </w:t>
      </w:r>
      <w:r>
        <w:rPr>
          <w:rFonts w:ascii="Arial" w:cs="Arial" w:eastAsia="Arial" w:hAnsi="Arial"/>
          <w:sz w:val="18"/>
          <w:szCs w:val="18"/>
          <w:color w:val="auto"/>
        </w:rPr>
        <w:t>begins before clinical trials. It is performed to determine the desired pharmacological effects and to identify any unwanted effects that may cause adverse reactions during human exposure.</w:t>
      </w:r>
    </w:p>
    <w:p>
      <w:pPr>
        <w:spacing w:after="0" w:line="17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is an essential part of the research and development process as it comprises the manufacturing unit of mRNA and engineered cell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therapies. All the medical substances and tools that form the basis for the research studies performed at BioNTech are manufactured in this segment, </w:t>
      </w:r>
      <w:r>
        <w:rPr>
          <w:rFonts w:ascii="Arial" w:cs="Arial" w:eastAsia="Arial" w:hAnsi="Arial"/>
          <w:sz w:val="18"/>
          <w:szCs w:val="18"/>
          <w:i w:val="1"/>
          <w:iCs w:val="1"/>
          <w:color w:val="auto"/>
        </w:rPr>
        <w:t>(i.e.</w:t>
      </w:r>
      <w:r>
        <w:rPr>
          <w:rFonts w:ascii="Arial" w:cs="Arial" w:eastAsia="Arial" w:hAnsi="Arial"/>
          <w:sz w:val="18"/>
          <w:szCs w:val="18"/>
          <w:color w:val="auto"/>
        </w:rPr>
        <w:t>, the Manufacturing segment contains only internally produced substances and tools).</w:t>
      </w:r>
    </w:p>
    <w:p>
      <w:pPr>
        <w:spacing w:after="0" w:line="176" w:lineRule="exact"/>
        <w:rPr>
          <w:sz w:val="20"/>
          <w:szCs w:val="20"/>
          <w:color w:val="auto"/>
        </w:rPr>
      </w:pPr>
    </w:p>
    <w:p>
      <w:pPr>
        <w:jc w:val="both"/>
        <w:ind w:left="200" w:right="100" w:firstLine="441"/>
        <w:spacing w:after="0" w:line="261" w:lineRule="auto"/>
        <w:rPr>
          <w:sz w:val="20"/>
          <w:szCs w:val="20"/>
          <w:color w:val="auto"/>
        </w:rPr>
      </w:pPr>
      <w:r>
        <w:rPr>
          <w:rFonts w:ascii="Arial" w:cs="Arial" w:eastAsia="Arial" w:hAnsi="Arial"/>
          <w:sz w:val="18"/>
          <w:szCs w:val="18"/>
          <w:b w:val="1"/>
          <w:bCs w:val="1"/>
          <w:color w:val="auto"/>
        </w:rPr>
        <w:t xml:space="preserve">Product Sales &amp; External Services </w:t>
      </w:r>
      <w:r>
        <w:rPr>
          <w:rFonts w:ascii="Arial" w:cs="Arial" w:eastAsia="Arial" w:hAnsi="Arial"/>
          <w:sz w:val="18"/>
          <w:szCs w:val="18"/>
          <w:color w:val="auto"/>
        </w:rPr>
        <w:t>comprises the legal entities JPT Peptide Technology GmbH and Innovative Manufacturing Services GmbH</w:t>
      </w:r>
      <w:r>
        <w:rPr>
          <w:rFonts w:ascii="Arial" w:cs="Arial" w:eastAsia="Arial" w:hAnsi="Arial"/>
          <w:sz w:val="18"/>
          <w:szCs w:val="18"/>
          <w:b w:val="1"/>
          <w:bCs w:val="1"/>
          <w:color w:val="auto"/>
        </w:rPr>
        <w:t xml:space="preserve"> </w:t>
      </w:r>
      <w:r>
        <w:rPr>
          <w:rFonts w:ascii="Arial" w:cs="Arial" w:eastAsia="Arial" w:hAnsi="Arial"/>
          <w:sz w:val="18"/>
          <w:szCs w:val="18"/>
          <w:color w:val="auto"/>
        </w:rPr>
        <w:t>(IMFS), which form the interface to third parties. External services and medicinal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that are in the areas of molecular immunotherapies and biomarker-based diagnostic approaches for individualized treatment of cancer and other infectious diseases are sold to customers worldwide.</w:t>
      </w:r>
    </w:p>
    <w:p>
      <w:pPr>
        <w:spacing w:after="0" w:line="180"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 xml:space="preserve">Business Service </w:t>
      </w:r>
      <w:r>
        <w:rPr>
          <w:rFonts w:ascii="Arial" w:cs="Arial" w:eastAsia="Arial" w:hAnsi="Arial"/>
          <w:sz w:val="18"/>
          <w:szCs w:val="18"/>
          <w:color w:val="auto"/>
        </w:rPr>
        <w:t>contains the Group’s central administrative functions (</w:t>
      </w:r>
      <w:r>
        <w:rPr>
          <w:rFonts w:ascii="Arial" w:cs="Arial" w:eastAsia="Arial" w:hAnsi="Arial"/>
          <w:sz w:val="18"/>
          <w:szCs w:val="18"/>
          <w:i w:val="1"/>
          <w:iCs w:val="1"/>
          <w:color w:val="auto"/>
        </w:rPr>
        <w:t>e.g.</w:t>
      </w:r>
      <w:r>
        <w:rPr>
          <w:rFonts w:ascii="Arial" w:cs="Arial" w:eastAsia="Arial" w:hAnsi="Arial"/>
          <w:sz w:val="18"/>
          <w:szCs w:val="18"/>
          <w:color w:val="auto"/>
        </w:rPr>
        <w:t>, Finance, Procurement, Human Resources, Legal and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overarching projects. Business Service does not fulfil the requirements for an operating segment according to IFRS 8, as it will never generate more than incidental revenues. However, financial information about Business Service is disclosed, as it contributes to the understanding of the company.</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80"/>
          </w:cols>
          <w:pgMar w:left="240" w:top="459" w:right="47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segment figures to Group figures.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External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11"/>
            <w:vMerge w:val="restart"/>
          </w:tcPr>
          <w:p>
            <w:pPr>
              <w:ind w:left="160"/>
              <w:spacing w:after="0"/>
              <w:rPr>
                <w:sz w:val="20"/>
                <w:szCs w:val="20"/>
                <w:color w:val="auto"/>
              </w:rPr>
            </w:pPr>
            <w:r>
              <w:rPr>
                <w:rFonts w:ascii="Arial" w:cs="Arial" w:eastAsia="Arial" w:hAnsi="Arial"/>
                <w:sz w:val="14"/>
                <w:szCs w:val="14"/>
                <w:b w:val="1"/>
                <w:bCs w:val="1"/>
                <w:color w:val="auto"/>
              </w:rPr>
              <w:t>Biotech Business Unit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Business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11"/>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Unit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0"/>
                <w:szCs w:val="10"/>
                <w:color w:val="auto"/>
              </w:rPr>
            </w:pPr>
          </w:p>
        </w:tc>
        <w:tc>
          <w:tcPr>
            <w:tcW w:w="660" w:type="dxa"/>
            <w:vAlign w:val="bottom"/>
            <w:tcBorders>
              <w:top w:val="single" w:sz="8" w:color="auto"/>
            </w:tcBorders>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Clinical</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7"/>
          </w:tcPr>
          <w:p>
            <w:pPr>
              <w:ind w:left="20"/>
              <w:spacing w:after="0" w:line="119" w:lineRule="exact"/>
              <w:rPr>
                <w:sz w:val="20"/>
                <w:szCs w:val="20"/>
                <w:color w:val="auto"/>
              </w:rPr>
            </w:pPr>
            <w:r>
              <w:rPr>
                <w:rFonts w:ascii="Arial" w:cs="Arial" w:eastAsia="Arial" w:hAnsi="Arial"/>
                <w:sz w:val="13"/>
                <w:szCs w:val="13"/>
                <w:b w:val="1"/>
                <w:bCs w:val="1"/>
                <w:color w:val="auto"/>
              </w:rPr>
              <w:t>Technology</w:t>
            </w:r>
          </w:p>
        </w:tc>
        <w:tc>
          <w:tcPr>
            <w:tcW w:w="1120" w:type="dxa"/>
            <w:vAlign w:val="bottom"/>
            <w:tcBorders>
              <w:top w:val="single" w:sz="8" w:color="auto"/>
            </w:tcBorders>
            <w:gridSpan w:val="7"/>
            <w:vMerge w:val="restart"/>
          </w:tcPr>
          <w:p>
            <w:pPr>
              <w:ind w:left="20"/>
              <w:spacing w:after="0"/>
              <w:rPr>
                <w:sz w:val="20"/>
                <w:szCs w:val="20"/>
                <w:color w:val="auto"/>
              </w:rPr>
            </w:pPr>
            <w:r>
              <w:rPr>
                <w:rFonts w:ascii="Arial" w:cs="Arial" w:eastAsia="Arial" w:hAnsi="Arial"/>
                <w:sz w:val="14"/>
                <w:szCs w:val="14"/>
                <w:b w:val="1"/>
                <w:bCs w:val="1"/>
                <w:color w:val="auto"/>
              </w:rPr>
              <w:t>Manufacturing</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89"/>
              </w:rPr>
              <w:t>Business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External</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58"/>
        </w:trPr>
        <w:tc>
          <w:tcPr>
            <w:tcW w:w="31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5"/>
          </w:tcPr>
          <w:p>
            <w:pPr>
              <w:jc w:val="right"/>
              <w:ind w:right="320"/>
              <w:spacing w:after="0" w:line="158" w:lineRule="exact"/>
              <w:rPr>
                <w:sz w:val="20"/>
                <w:szCs w:val="20"/>
                <w:color w:val="auto"/>
              </w:rPr>
            </w:pPr>
            <w:r>
              <w:rPr>
                <w:rFonts w:ascii="Arial" w:cs="Arial" w:eastAsia="Arial" w:hAnsi="Arial"/>
                <w:sz w:val="14"/>
                <w:szCs w:val="14"/>
                <w:b w:val="1"/>
                <w:bCs w:val="1"/>
                <w:color w:val="auto"/>
                <w:w w:val="98"/>
              </w:rPr>
              <w:t>Platform</w:t>
            </w:r>
          </w:p>
        </w:tc>
        <w:tc>
          <w:tcPr>
            <w:tcW w:w="112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Service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2018</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Collaboration Revenue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€ 36,750</w:t>
            </w:r>
          </w:p>
        </w:tc>
        <w:tc>
          <w:tcPr>
            <w:tcW w:w="2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39,452</w:t>
            </w:r>
          </w:p>
        </w:tc>
        <w:tc>
          <w:tcPr>
            <w:tcW w:w="2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25,635</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94"/>
              </w:rPr>
              <w:t>€ 101,837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€ 101,837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Revenues from other sales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520"/>
              <w:spacing w:after="0"/>
              <w:rPr>
                <w:sz w:val="20"/>
                <w:szCs w:val="20"/>
                <w:color w:val="auto"/>
              </w:rPr>
            </w:pPr>
            <w:r>
              <w:rPr>
                <w:rFonts w:ascii="Arial" w:cs="Arial" w:eastAsia="Arial" w:hAnsi="Arial"/>
                <w:sz w:val="18"/>
                <w:szCs w:val="18"/>
                <w:color w:val="auto"/>
              </w:rPr>
              <w:t>transactions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6,783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18,914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9"/>
              </w:rPr>
              <w:t>(13,358)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(13,398)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€ 36,750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46,235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25,635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5,556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€ 114,177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€ 113,885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9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(48,641)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(60,320)</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(31,508)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(1,979)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(143,332)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w w:val="99"/>
              </w:rPr>
              <w:t>Sales and marketing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(2,106)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(21,233)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(2,542)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rPr>
              <w:t>Other result</w:t>
            </w:r>
          </w:p>
        </w:tc>
        <w:tc>
          <w:tcPr>
            <w:tcW w:w="4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559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operating profit/loss</w:t>
            </w:r>
          </w:p>
        </w:tc>
        <w:tc>
          <w:tcPr>
            <w:tcW w:w="9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 (8,119)</w:t>
            </w:r>
          </w:p>
        </w:tc>
        <w:tc>
          <w:tcPr>
            <w:tcW w:w="96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 (13,908)</w:t>
            </w: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(8,401)</w:t>
            </w:r>
          </w:p>
        </w:tc>
        <w:tc>
          <w:tcPr>
            <w:tcW w:w="9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(25,231)</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1,753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(53,906)</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(53,854)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External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9"/>
            <w:vMerge w:val="restart"/>
          </w:tcPr>
          <w:p>
            <w:pPr>
              <w:jc w:val="right"/>
              <w:ind w:right="160"/>
              <w:spacing w:after="0"/>
              <w:rPr>
                <w:sz w:val="20"/>
                <w:szCs w:val="20"/>
                <w:color w:val="auto"/>
              </w:rPr>
            </w:pPr>
            <w:r>
              <w:rPr>
                <w:rFonts w:ascii="Arial" w:cs="Arial" w:eastAsia="Arial" w:hAnsi="Arial"/>
                <w:sz w:val="14"/>
                <w:szCs w:val="14"/>
                <w:b w:val="1"/>
                <w:bCs w:val="1"/>
                <w:color w:val="auto"/>
                <w:w w:val="99"/>
              </w:rPr>
              <w:t>Biotech Business Unit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Business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9"/>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Clinical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7"/>
          </w:tcPr>
          <w:p>
            <w:pPr>
              <w:ind w:left="160"/>
              <w:spacing w:after="0" w:line="119" w:lineRule="exact"/>
              <w:rPr>
                <w:sz w:val="20"/>
                <w:szCs w:val="20"/>
                <w:color w:val="auto"/>
              </w:rPr>
            </w:pPr>
            <w:r>
              <w:rPr>
                <w:rFonts w:ascii="Arial" w:cs="Arial" w:eastAsia="Arial" w:hAnsi="Arial"/>
                <w:sz w:val="13"/>
                <w:szCs w:val="13"/>
                <w:b w:val="1"/>
                <w:bCs w:val="1"/>
                <w:color w:val="auto"/>
              </w:rPr>
              <w:t>Technology</w:t>
            </w:r>
          </w:p>
        </w:tc>
        <w:tc>
          <w:tcPr>
            <w:tcW w:w="1120" w:type="dxa"/>
            <w:vAlign w:val="bottom"/>
            <w:gridSpan w:val="7"/>
            <w:vMerge w:val="restart"/>
          </w:tcPr>
          <w:p>
            <w:pPr>
              <w:jc w:val="right"/>
              <w:ind w:right="13"/>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0"/>
                <w:szCs w:val="10"/>
                <w:color w:val="auto"/>
              </w:rPr>
            </w:pPr>
          </w:p>
        </w:tc>
        <w:tc>
          <w:tcPr>
            <w:tcW w:w="66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Business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External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Platform</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w w:val="88"/>
              </w:rPr>
              <w:t>Service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Collaboration Revenue</w:t>
            </w:r>
          </w:p>
        </w:tc>
        <w:tc>
          <w:tcPr>
            <w:tcW w:w="4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8"/>
              <w:spacing w:after="0"/>
              <w:rPr>
                <w:sz w:val="20"/>
                <w:szCs w:val="20"/>
                <w:color w:val="auto"/>
              </w:rPr>
            </w:pPr>
            <w:r>
              <w:rPr>
                <w:rFonts w:ascii="Arial" w:cs="Arial" w:eastAsia="Arial" w:hAnsi="Arial"/>
                <w:sz w:val="18"/>
                <w:szCs w:val="18"/>
                <w:color w:val="auto"/>
              </w:rPr>
              <w:t>€ 25,721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€ 42,333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w w:val="88"/>
              </w:rPr>
              <w:t>Revenues from other sales transactions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18,941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19,265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(9,318)</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€ 25,721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14,828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€ 52,280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€ 52,280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10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w w:val="92"/>
              </w:rPr>
              <w:t>(25,099)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2"/>
              </w:rPr>
              <w:t>(37,019)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(1,912)</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(85,496)</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w w:val="99"/>
              </w:rPr>
              <w:t>Sales and marketing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(4,904)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4"/>
              </w:rPr>
              <w:t>(1,698)</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(6,603)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(2,427)</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(23,520)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rPr>
              <w:t>Other result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operating profit/loss</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623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(21,414)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(13,441)</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(31,094)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(61,277)</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segments are managed based on external sales and operating profit/loss, which represents the operating profit earned by each segment.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 figures are reported consolidated, which reflects the way management steers the business.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60" w:right="41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BioNTech’s internal reporting is generally set up in accordance with IFRS and in line with the Group’s accounting policies, except for minor deviations in classification between cost of sales and research and development cost. Whenever revenues are attributable to different segments, these revenues are split based on the incurred cost. Internal overhead costs are allocated to segments based on revenues when they are directly attributable to a service rendered. Sales and marketing expenses, general and administrative expenses and the other result that are not directly attributable to one of the segments are allocated to Business Service.</w:t>
      </w:r>
    </w:p>
    <w:p>
      <w:pPr>
        <w:spacing w:after="0" w:line="18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To reconcile the segment figures to the Group’s financial statements in 2018, the presentation of k€292 of research and development cost was adjusted.</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Revenue at BioNTech can be differentiated between revenues resulting from collaboration and license agreements and revenues from other sales. The Company collaborates with reputable pharmaceutical and healthcare companies and several global academic collaborators. Revenues from other sales result from the sale of medical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for clinical supply. Research and development activities are managed on a worldwide basis but the operative manufacturing facilities and sales offices are located and managed in Germany. External sales are originated in Germany.</w:t>
      </w:r>
    </w:p>
    <w:p>
      <w:pPr>
        <w:spacing w:after="0" w:line="33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Related party disclosures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Parent and ultimate controlling party</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Members of the Strüngmann family wholly own AT Impf GmbH. Dr. Andreas Strüngmann and Dr. Thomas Strüngmann may be deemed to beneficially own any or all of these shares.</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Transactions with key management personnel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Key management personnel at BioNTech has been defined as the members of the Management Board and of the Supervisory Board. Key management personnel compensation is comprised of the following:</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Compensation of key management personnel</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55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8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Short-term employee benefits</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€1,161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880</w:t>
            </w:r>
          </w:p>
        </w:tc>
        <w:tc>
          <w:tcPr>
            <w:tcW w:w="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1,855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7,324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2,735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Executive officers also participate in the Group’s ESOP and SAR program (see Note 16).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management personnel transactions</w:t>
      </w:r>
    </w:p>
    <w:p>
      <w:pPr>
        <w:spacing w:after="0" w:line="121" w:lineRule="exact"/>
        <w:rPr>
          <w:sz w:val="20"/>
          <w:szCs w:val="20"/>
          <w:color w:val="auto"/>
        </w:rPr>
      </w:pPr>
    </w:p>
    <w:p>
      <w:pPr>
        <w:ind w:left="200" w:right="740" w:firstLine="441"/>
        <w:spacing w:after="0" w:line="342" w:lineRule="auto"/>
        <w:rPr>
          <w:sz w:val="20"/>
          <w:szCs w:val="20"/>
          <w:color w:val="auto"/>
        </w:rPr>
      </w:pPr>
      <w:r>
        <w:rPr>
          <w:rFonts w:ascii="Arial" w:cs="Arial" w:eastAsia="Arial" w:hAnsi="Arial"/>
          <w:sz w:val="16"/>
          <w:szCs w:val="16"/>
          <w:color w:val="auto"/>
        </w:rPr>
        <w:t>A number of key management personnel, or their related parties, hold positions in other companies that results in them having control or significant influence over these companies. A number of these companies have had transactions with the Group during the year.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Group purchases various goods and services from research institutes where a director of BioNTech holds a key management position.</w:t>
      </w:r>
    </w:p>
    <w:p>
      <w:pPr>
        <w:sectPr>
          <w:pgSz w:w="11900" w:h="16838" w:orient="portrait"/>
          <w:cols w:equalWidth="0" w:num="1">
            <w:col w:w="11200"/>
          </w:cols>
          <w:pgMar w:left="240" w:top="459" w:right="459" w:bottom="1440" w:gutter="0" w:footer="0" w:header="0"/>
        </w:sectPr>
      </w:pP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aggregate value of transactions related to key management personnel were as follows:</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4"/>
          <w:szCs w:val="14"/>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6997700" cy="1460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Consulting services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Purchases of various goods and services from TRON</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11,160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bl>
    <w:p>
      <w:pPr>
        <w:sectPr>
          <w:pgSz w:w="11900" w:h="16838" w:orient="portrait"/>
          <w:cols w:equalWidth="0" w:num="2">
            <w:col w:w="8200" w:space="720"/>
            <w:col w:w="2280"/>
          </w:cols>
          <w:pgMar w:left="240" w:top="459" w:right="459" w:bottom="1440" w:gutter="0" w:footer="0" w:header="0"/>
          <w:type w:val="continuous"/>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w w:val="91"/>
              </w:rPr>
              <w:t>20.3</w:t>
            </w:r>
          </w:p>
        </w:tc>
        <w:tc>
          <w:tcPr>
            <w:tcW w:w="7480" w:type="dxa"/>
            <w:vAlign w:val="bottom"/>
          </w:tcPr>
          <w:p>
            <w:pPr>
              <w:ind w:left="440"/>
              <w:spacing w:after="0"/>
              <w:rPr>
                <w:sz w:val="20"/>
                <w:szCs w:val="20"/>
                <w:color w:val="auto"/>
              </w:rPr>
            </w:pPr>
            <w:r>
              <w:rPr>
                <w:rFonts w:ascii="Arial" w:cs="Arial" w:eastAsia="Arial" w:hAnsi="Arial"/>
                <w:sz w:val="18"/>
                <w:szCs w:val="18"/>
                <w:b w:val="1"/>
                <w:bCs w:val="1"/>
                <w:color w:val="auto"/>
              </w:rPr>
              <w:t>Other related party transactions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3"/>
              </w:rPr>
              <w:t>The total amount of transactions with AT Impf GmbH or entities controlled by them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8"/>
          </w:tcPr>
          <w:p>
            <w:pPr>
              <w:ind w:left="240"/>
              <w:spacing w:after="0"/>
              <w:rPr>
                <w:sz w:val="20"/>
                <w:szCs w:val="20"/>
                <w:color w:val="auto"/>
              </w:rPr>
            </w:pPr>
            <w:r>
              <w:rPr>
                <w:rFonts w:ascii="Arial" w:cs="Arial" w:eastAsia="Arial" w:hAnsi="Arial"/>
                <w:sz w:val="14"/>
                <w:szCs w:val="14"/>
                <w:b w:val="1"/>
                <w:bCs w:val="1"/>
                <w:color w:val="auto"/>
              </w:rPr>
              <w:t>Transaction values 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7820" w:type="dxa"/>
            <w:vAlign w:val="bottom"/>
            <w:gridSpan w:val="3"/>
          </w:tcPr>
          <w:p>
            <w:pPr>
              <w:spacing w:after="0" w:line="149"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various goods and services from entities controlled by AT Impf GmbH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Purchases of property and other assets from entities controlled by AT Impf GmbH</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4,748</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7,179</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the balances are secured and no bad debt expense has been recognized in respect of amounts owed by related parties.</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Events after the reporting period</w:t>
      </w:r>
    </w:p>
    <w:p>
      <w:pPr>
        <w:spacing w:after="0" w:line="135" w:lineRule="exact"/>
        <w:rPr>
          <w:sz w:val="20"/>
          <w:szCs w:val="20"/>
          <w:color w:val="auto"/>
        </w:rPr>
      </w:pPr>
    </w:p>
    <w:p>
      <w:pPr>
        <w:ind w:left="740" w:right="480" w:hanging="539"/>
        <w:spacing w:after="0" w:line="277" w:lineRule="auto"/>
        <w:tabs>
          <w:tab w:leader="none" w:pos="720" w:val="left"/>
        </w:tabs>
        <w:rPr>
          <w:sz w:val="20"/>
          <w:szCs w:val="20"/>
          <w:color w:val="auto"/>
        </w:rPr>
      </w:pPr>
      <w:r>
        <w:rPr>
          <w:rFonts w:ascii="Arial" w:cs="Arial" w:eastAsia="Arial" w:hAnsi="Arial"/>
          <w:sz w:val="18"/>
          <w:szCs w:val="18"/>
          <w:color w:val="auto"/>
        </w:rPr>
        <w:t>21.1</w:t>
        <w:tab/>
        <w:t>In January 2019, BioNTech entered into an agreement to acquire MAB Discovery GmbH’s operational antibody generation unit based near Munich, Germany for a total consideration of €6 million. The acquisition was completed on April 1, 2019.</w:t>
      </w:r>
    </w:p>
    <w:p>
      <w:pPr>
        <w:spacing w:after="0" w:line="7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In January 2019, BioNTech AG increased its Share Capital by k€5,088 in conjunction with a receipt of a cash investment of k€80,000.</w:t>
      </w:r>
    </w:p>
    <w:p>
      <w:pPr>
        <w:spacing w:after="0" w:line="131" w:lineRule="exact"/>
        <w:rPr>
          <w:sz w:val="20"/>
          <w:szCs w:val="20"/>
          <w:color w:val="auto"/>
        </w:rPr>
      </w:pPr>
    </w:p>
    <w:p>
      <w:pPr>
        <w:jc w:val="both"/>
        <w:ind w:left="740" w:right="20" w:hanging="539"/>
        <w:spacing w:after="0" w:line="264" w:lineRule="auto"/>
        <w:tabs>
          <w:tab w:leader="none" w:pos="720" w:val="left"/>
        </w:tabs>
        <w:rPr>
          <w:sz w:val="20"/>
          <w:szCs w:val="20"/>
          <w:color w:val="auto"/>
        </w:rPr>
      </w:pPr>
      <w:r>
        <w:rPr>
          <w:rFonts w:ascii="Arial" w:cs="Arial" w:eastAsia="Arial" w:hAnsi="Arial"/>
          <w:sz w:val="18"/>
          <w:szCs w:val="18"/>
          <w:color w:val="auto"/>
        </w:rPr>
        <w:t>21.3</w:t>
        <w:tab/>
        <w:t>In March 2019, BioNTech AG changed its legal form to a European company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As an SE, BioNTech will be a public limited company under EU law. The supranational aspect of this legal form represents an international focus with Europe as the company’s base, and is the next logical step in the development of BioNTech’s worldwide operations.</w:t>
      </w:r>
    </w:p>
    <w:p>
      <w:pPr>
        <w:spacing w:after="0" w:line="87" w:lineRule="exact"/>
        <w:rPr>
          <w:sz w:val="20"/>
          <w:szCs w:val="20"/>
          <w:color w:val="auto"/>
        </w:rPr>
      </w:pPr>
    </w:p>
    <w:p>
      <w:pPr>
        <w:ind w:left="740" w:right="420" w:hanging="539"/>
        <w:spacing w:after="0" w:line="277" w:lineRule="auto"/>
        <w:tabs>
          <w:tab w:leader="none" w:pos="720" w:val="left"/>
        </w:tabs>
        <w:rPr>
          <w:sz w:val="20"/>
          <w:szCs w:val="20"/>
          <w:color w:val="auto"/>
        </w:rPr>
      </w:pPr>
      <w:r>
        <w:rPr>
          <w:rFonts w:ascii="Arial" w:cs="Arial" w:eastAsia="Arial" w:hAnsi="Arial"/>
          <w:sz w:val="18"/>
          <w:szCs w:val="18"/>
          <w:color w:val="auto"/>
        </w:rPr>
        <w:t>21.4</w:t>
        <w:tab/>
        <w:t>In March 2019, BioNTech AG increased its share capital by k€2,375. In this transaction, an investor exchanged its shares in a subsidiary for shares of the parent company.</w:t>
      </w:r>
    </w:p>
    <w:p>
      <w:pPr>
        <w:spacing w:after="0" w:line="7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In May 2019, BioNTech entered into an agreement to purchase the assets of MabVax Therapeutics, Inc. The acquisition was completed on May</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8, 2019. The total purchase price was $5 million.</w:t>
      </w:r>
    </w:p>
    <w:p>
      <w:pPr>
        <w:spacing w:after="0" w:line="11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In June 2019, BioNTech SE increased its share capital by k€11,990 in conjunction with the Series B financing.</w:t>
      </w:r>
    </w:p>
    <w:p>
      <w:pPr>
        <w:spacing w:after="0" w:line="131" w:lineRule="exact"/>
        <w:rPr>
          <w:sz w:val="20"/>
          <w:szCs w:val="20"/>
          <w:color w:val="auto"/>
        </w:rPr>
      </w:pPr>
    </w:p>
    <w:p>
      <w:pPr>
        <w:jc w:val="both"/>
        <w:ind w:left="740" w:right="220" w:hanging="539"/>
        <w:spacing w:after="0" w:line="312" w:lineRule="auto"/>
        <w:tabs>
          <w:tab w:leader="none" w:pos="7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On September 18, 2019, BioNTech effected a 1:18 share split by issuing 206,595,492 shares by way of a capital increase from our funds; thus, no contribution by investors was made. This capital increase came into effect upon registration with the commercial register (Handelsregister). The accompanying financial statements and notes to the financial statements give retroactive effect to the share split for all periods presented.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240" w:top="459" w:right="419" w:bottom="1440" w:gutter="0" w:footer="0" w:header="0"/>
        </w:sectPr>
      </w:pPr>
    </w:p>
    <w:bookmarkStart w:id="384" w:name="page385"/>
    <w:bookmarkEnd w:id="3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10,000,000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554990</wp:posOffset>
            </wp:positionV>
            <wp:extent cx="2830195" cy="3175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8301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Representing 10,000,000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1041400</wp:posOffset>
            </wp:positionV>
            <wp:extent cx="146621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tabs>
          <w:tab w:leader="none" w:pos="3360" w:val="left"/>
          <w:tab w:leader="none" w:pos="6740" w:val="left"/>
          <w:tab w:leader="none" w:pos="980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3"/>
          <w:szCs w:val="23"/>
          <w:b w:val="1"/>
          <w:bCs w:val="1"/>
          <w:color w:val="auto"/>
        </w:rPr>
        <w:t>SVB Leerink</w:t>
      </w:r>
    </w:p>
    <w:p>
      <w:pPr>
        <w:spacing w:after="0" w:line="122" w:lineRule="exact"/>
        <w:rPr>
          <w:sz w:val="20"/>
          <w:szCs w:val="20"/>
          <w:color w:val="auto"/>
        </w:rPr>
      </w:pPr>
    </w:p>
    <w:p>
      <w:pPr>
        <w:ind w:left="1040"/>
        <w:spacing w:after="0"/>
        <w:tabs>
          <w:tab w:leader="none" w:pos="4660" w:val="left"/>
          <w:tab w:leader="none" w:pos="8920" w:val="left"/>
        </w:tabs>
        <w:rPr>
          <w:sz w:val="20"/>
          <w:szCs w:val="20"/>
          <w:color w:val="auto"/>
        </w:rPr>
      </w:pPr>
      <w:r>
        <w:rPr>
          <w:rFonts w:ascii="Arial" w:cs="Arial" w:eastAsia="Arial" w:hAnsi="Arial"/>
          <w:sz w:val="23"/>
          <w:szCs w:val="23"/>
          <w:b w:val="1"/>
          <w:bCs w:val="1"/>
          <w:color w:val="auto"/>
        </w:rPr>
        <w:t>Canaccord Genuity</w:t>
      </w:r>
      <w:r>
        <w:rPr>
          <w:sz w:val="20"/>
          <w:szCs w:val="20"/>
          <w:color w:val="auto"/>
        </w:rPr>
        <w:tab/>
      </w:r>
      <w:r>
        <w:rPr>
          <w:rFonts w:ascii="Arial" w:cs="Arial" w:eastAsia="Arial" w:hAnsi="Arial"/>
          <w:sz w:val="23"/>
          <w:szCs w:val="23"/>
          <w:b w:val="1"/>
          <w:bCs w:val="1"/>
          <w:color w:val="auto"/>
        </w:rPr>
        <w:t>Bryan, Garnier &amp; Co.</w:t>
      </w:r>
      <w:r>
        <w:rPr>
          <w:sz w:val="20"/>
          <w:szCs w:val="20"/>
          <w:color w:val="auto"/>
        </w:rPr>
        <w:tab/>
      </w:r>
      <w:r>
        <w:rPr>
          <w:rFonts w:ascii="Arial" w:cs="Arial" w:eastAsia="Arial" w:hAnsi="Arial"/>
          <w:sz w:val="20"/>
          <w:szCs w:val="20"/>
          <w:b w:val="1"/>
          <w:bCs w:val="1"/>
          <w:color w:val="auto"/>
        </w:rPr>
        <w:t>Berenberg</w:t>
      </w:r>
    </w:p>
    <w:p>
      <w:pPr>
        <w:spacing w:after="0" w:line="118" w:lineRule="exact"/>
        <w:rPr>
          <w:sz w:val="20"/>
          <w:szCs w:val="20"/>
          <w:color w:val="auto"/>
        </w:rPr>
      </w:pPr>
    </w:p>
    <w:p>
      <w:pPr>
        <w:ind w:left="320"/>
        <w:spacing w:after="0"/>
        <w:tabs>
          <w:tab w:leader="none" w:pos="5360" w:val="left"/>
          <w:tab w:leader="none" w:pos="8400" w:val="left"/>
        </w:tabs>
        <w:rPr>
          <w:sz w:val="20"/>
          <w:szCs w:val="20"/>
          <w:color w:val="auto"/>
        </w:rPr>
      </w:pPr>
      <w:r>
        <w:rPr>
          <w:rFonts w:ascii="Arial" w:cs="Arial" w:eastAsia="Arial" w:hAnsi="Arial"/>
          <w:sz w:val="22"/>
          <w:szCs w:val="22"/>
          <w:b w:val="1"/>
          <w:bCs w:val="1"/>
          <w:color w:val="auto"/>
        </w:rPr>
        <w:t>Wolfe Capital Markets and Advisory</w:t>
      </w:r>
      <w:r>
        <w:rPr>
          <w:sz w:val="20"/>
          <w:szCs w:val="20"/>
          <w:color w:val="auto"/>
        </w:rPr>
        <w:tab/>
      </w:r>
      <w:r>
        <w:rPr>
          <w:rFonts w:ascii="Arial" w:cs="Arial" w:eastAsia="Arial" w:hAnsi="Arial"/>
          <w:sz w:val="22"/>
          <w:szCs w:val="22"/>
          <w:b w:val="1"/>
          <w:bCs w:val="1"/>
          <w:color w:val="auto"/>
        </w:rPr>
        <w:t>Kempen</w:t>
      </w:r>
      <w:r>
        <w:rPr>
          <w:sz w:val="20"/>
          <w:szCs w:val="20"/>
          <w:color w:val="auto"/>
        </w:rPr>
        <w:tab/>
      </w:r>
      <w:r>
        <w:rPr>
          <w:rFonts w:ascii="Arial" w:cs="Arial" w:eastAsia="Arial" w:hAnsi="Arial"/>
          <w:sz w:val="19"/>
          <w:szCs w:val="19"/>
          <w:b w:val="1"/>
          <w:bCs w:val="1"/>
          <w:color w:val="auto"/>
        </w:rPr>
        <w:t>Mirae Asset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860425</wp:posOffset>
            </wp:positionV>
            <wp:extent cx="14662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2019</w:t>
      </w:r>
    </w:p>
    <w:p>
      <w:pPr>
        <w:spacing w:after="0" w:line="229" w:lineRule="exact"/>
        <w:rPr>
          <w:sz w:val="20"/>
          <w:szCs w:val="20"/>
          <w:color w:val="auto"/>
        </w:rPr>
      </w:pPr>
    </w:p>
    <w:p>
      <w:pPr>
        <w:ind w:left="200"/>
        <w:spacing w:after="0"/>
        <w:tabs>
          <w:tab w:leader="none" w:pos="242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2019 (the 25</w:t>
      </w:r>
      <w:r>
        <w:rPr>
          <w:rFonts w:ascii="Arial" w:cs="Arial" w:eastAsia="Arial" w:hAnsi="Arial"/>
          <w:sz w:val="13"/>
          <w:szCs w:val="13"/>
          <w:color w:val="auto"/>
        </w:rPr>
        <w:t>th</w:t>
      </w:r>
      <w:r>
        <w:rPr>
          <w:rFonts w:ascii="Arial" w:cs="Arial" w:eastAsia="Arial" w:hAnsi="Arial"/>
          <w:sz w:val="16"/>
          <w:szCs w:val="16"/>
          <w:color w:val="auto"/>
        </w:rPr>
        <w:t xml:space="preserve"> day after the date of this prospectus), all dealers effecting transactions in these securities, whether or not</w:t>
      </w:r>
    </w:p>
    <w:p>
      <w:pPr>
        <w:spacing w:after="0" w:line="23"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648970</wp:posOffset>
            </wp:positionV>
            <wp:extent cx="6997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708660</wp:posOffset>
            </wp:positionV>
            <wp:extent cx="6997700"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right="3160" w:firstLine="3169"/>
        <w:spacing w:after="0" w:line="378" w:lineRule="auto"/>
        <w:rPr>
          <w:sz w:val="20"/>
          <w:szCs w:val="20"/>
          <w:color w:val="auto"/>
        </w:rPr>
      </w:pPr>
      <w:r>
        <w:rPr>
          <w:rFonts w:ascii="Arial" w:cs="Arial" w:eastAsia="Arial" w:hAnsi="Arial"/>
          <w:sz w:val="18"/>
          <w:szCs w:val="18"/>
          <w:b w:val="1"/>
          <w:bCs w:val="1"/>
          <w:color w:val="auto"/>
        </w:rPr>
        <w:t>INFORMATION NOT REQUIRED IN THE PROSPECTUS Item 6. Indemnification of Directors and Officers</w:t>
      </w:r>
    </w:p>
    <w:p>
      <w:pPr>
        <w:ind w:left="200" w:right="20" w:firstLine="441"/>
        <w:spacing w:after="0" w:line="276" w:lineRule="auto"/>
        <w:rPr>
          <w:sz w:val="20"/>
          <w:szCs w:val="20"/>
          <w:color w:val="auto"/>
        </w:rPr>
      </w:pPr>
      <w:r>
        <w:rPr>
          <w:rFonts w:ascii="Arial" w:cs="Arial" w:eastAsia="Arial" w:hAnsi="Arial"/>
          <w:sz w:val="17"/>
          <w:szCs w:val="17"/>
          <w:color w:val="auto"/>
        </w:rPr>
        <w:t>As a German European public company with limited liability, we are—insofar as applicable pursuant to the SE Regulation and the German law on the implementation of the SE (SEAG)—subject to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as amended. Under German law, we may not indemnify members of our Management Board and Supervisory Board to the extent the relevant claim or loss has arisen as a result of the breach by the member of his or her duties owed to us. Otherwise we are required under the law to indemnify our Management Board and Supervisory Board members from and against any liabilities arising out of or in connection with their services to us.</w:t>
      </w:r>
    </w:p>
    <w:p>
      <w:pPr>
        <w:spacing w:after="0" w:line="17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provide directors’ and officers’ liability insurance for the members of our Management and Supervisory Boards against civil liabilities, which they may incur in connection with their activities on behalf of our company.</w:t>
      </w:r>
    </w:p>
    <w:p>
      <w:pPr>
        <w:spacing w:after="0" w:line="17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the underwriting agreement, the form of which is filed as Exhibit 1.1 to this Registration Statement, the underwriters will agree to indemnify, under certain conditions, us, the members of our Supervisory Board, Management Board and persons who control our company within the meaning of the Securities Act, against certain liabilities, but only to the extent that such liabilities are caused by information relating to the underwriters furnished to us in writing expressly for use in this registration statement and certain other disclosure documents.</w:t>
      </w:r>
    </w:p>
    <w:p>
      <w:pPr>
        <w:spacing w:after="0" w:line="17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Set forth below is information regarding all securities issued by us without registration under the Securities Act since January 1, 2016. We believe that each of such issuances was exempt from registration under the Securities Act in reliance on Section 4(a)(2) of the Securities Act or Rule 506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was our employee, director or consultant and received the securities under our equity incentive plans. None of these transactions involved any underwriters, underwriting discounts or commissions or any public offering. All recipients had adequate access, through their relationships with us to information about us. The sales of these securities were made without any general solicitation or advertising.</w:t>
      </w:r>
    </w:p>
    <w:p>
      <w:pPr>
        <w:spacing w:after="0" w:line="103" w:lineRule="exact"/>
        <w:rPr>
          <w:sz w:val="20"/>
          <w:szCs w:val="20"/>
          <w:color w:val="auto"/>
        </w:rPr>
      </w:pPr>
    </w:p>
    <w:p>
      <w:pPr>
        <w:ind w:left="1180" w:right="520" w:hanging="436"/>
        <w:spacing w:after="0" w:line="277" w:lineRule="auto"/>
        <w:tabs>
          <w:tab w:leader="none" w:pos="11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February 2018 we issued 22,587,912 ordinary shares in private placements to a group of existing and new investors for aggregate proceeds received of $270.9 million, which we refer to as our Series A financing.</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September 2018 we issued 582,714 ordinary shares as part of our Stock Appreciation Rights program for aggregate consideration of €5.9 million ($6.5 million).</w:t>
      </w:r>
    </w:p>
    <w:p>
      <w:pPr>
        <w:spacing w:after="0" w:line="75"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October 2018 we issued 3,360,870 ordinary shares in private placements to Pfizer, Fidelity and an existing investor for aggregate proceeds received of $55.0 million.</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January 2019 we issued 5,088,204 ordinary shares in private placements to Sanofi and an existing investor for aggregate proceeds received of $92.1 million.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 April 2019 we issued 2,374,794 ordinary shares in a private placement to Eli Lilly. The shares were subscribed for by Eli Lilly against contribution in kind of shares in BioNTech Cell &amp; Gene Therapies GmbH, which were valued at $43.0 million.</w:t>
      </w:r>
    </w:p>
    <w:p>
      <w:pPr>
        <w:spacing w:after="0" w:line="75" w:lineRule="exact"/>
        <w:rPr>
          <w:rFonts w:ascii="Arial" w:cs="Arial" w:eastAsia="Arial" w:hAnsi="Arial"/>
          <w:sz w:val="18"/>
          <w:szCs w:val="18"/>
          <w:color w:val="auto"/>
        </w:rPr>
      </w:pPr>
    </w:p>
    <w:p>
      <w:pPr>
        <w:ind w:left="1180" w:right="500" w:hanging="436"/>
        <w:spacing w:after="0" w:line="308" w:lineRule="auto"/>
        <w:tabs>
          <w:tab w:leader="none" w:pos="118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June and August 2019 we issued an aggregate of 12,465,288 ordinary shares in private placements to a group of existing and new investors for aggregate proceeds received of $225.6 million, which we refer to as our Series B financing.</w:t>
      </w:r>
    </w:p>
    <w:p>
      <w:pPr>
        <w:spacing w:after="0" w:line="38" w:lineRule="exact"/>
        <w:rPr>
          <w:rFonts w:ascii="Arial" w:cs="Arial" w:eastAsia="Arial" w:hAnsi="Arial"/>
          <w:sz w:val="17"/>
          <w:szCs w:val="17"/>
          <w:color w:val="auto"/>
        </w:rPr>
      </w:pPr>
    </w:p>
    <w:p>
      <w:pPr>
        <w:ind w:left="1200" w:right="20"/>
        <w:spacing w:after="0" w:line="286" w:lineRule="auto"/>
        <w:rPr>
          <w:rFonts w:ascii="Arial" w:cs="Arial" w:eastAsia="Arial" w:hAnsi="Arial"/>
          <w:sz w:val="17"/>
          <w:szCs w:val="17"/>
          <w:color w:val="auto"/>
        </w:rPr>
      </w:pPr>
      <w:r>
        <w:rPr>
          <w:rFonts w:ascii="Arial" w:cs="Arial" w:eastAsia="Arial" w:hAnsi="Arial"/>
          <w:sz w:val="17"/>
          <w:szCs w:val="17"/>
          <w:color w:val="auto"/>
        </w:rPr>
        <w:t>We also issued 5,524,506 shares for anticipated proceeds of €89.3 million to a Hong Kong-based investor in connection with the Series B private placement. Under the terms of the Series B investment agreement, the investor agreed to fund the closing of such shares by August 23, 2019, but was unable to do so. The shares were transferred to us for no consideration and are held in treasury.</w:t>
      </w:r>
    </w:p>
    <w:p>
      <w:pPr>
        <w:spacing w:after="0" w:line="70" w:lineRule="exact"/>
        <w:rPr>
          <w:rFonts w:ascii="Arial" w:cs="Arial" w:eastAsia="Arial" w:hAnsi="Arial"/>
          <w:sz w:val="17"/>
          <w:szCs w:val="17"/>
          <w:color w:val="auto"/>
        </w:rPr>
      </w:pPr>
    </w:p>
    <w:p>
      <w:pPr>
        <w:jc w:val="both"/>
        <w:ind w:left="1180" w:right="620" w:hanging="436"/>
        <w:spacing w:after="0" w:line="342" w:lineRule="auto"/>
        <w:tabs>
          <w:tab w:leader="none" w:pos="11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In August 2019 we agreed to issue up to 3,038,674 ordinary shares in a private placement to BMGF for aggregate consideration of €49.9 million ($55.0 million). Such issuance occurred upon registration of the shares in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60" w:type="dxa"/>
            <w:vAlign w:val="bottom"/>
            <w:gridSpan w:val="13"/>
          </w:tcPr>
          <w:p>
            <w:pPr>
              <w:ind w:left="720"/>
              <w:spacing w:after="0"/>
              <w:rPr>
                <w:sz w:val="20"/>
                <w:szCs w:val="20"/>
                <w:color w:val="auto"/>
              </w:rPr>
            </w:pPr>
            <w:r>
              <w:rPr>
                <w:rFonts w:ascii="Arial" w:cs="Arial" w:eastAsia="Arial" w:hAnsi="Arial"/>
                <w:sz w:val="14"/>
                <w:szCs w:val="14"/>
                <w:b w:val="1"/>
                <w:bCs w:val="1"/>
                <w:color w:val="auto"/>
              </w:rPr>
              <w:t>Exhibit</w:t>
            </w:r>
          </w:p>
        </w:tc>
      </w:tr>
      <w:tr>
        <w:trPr>
          <w:trHeight w:val="277"/>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2440" w:type="dxa"/>
            <w:vAlign w:val="bottom"/>
            <w:tcBorders>
              <w:bottom w:val="single" w:sz="8" w:color="0000EE"/>
            </w:tcBorders>
          </w:tcPr>
          <w:p>
            <w:pPr>
              <w:spacing w:after="0"/>
              <w:rPr>
                <w:rFonts w:ascii="Arial" w:cs="Arial" w:eastAsia="Arial" w:hAnsi="Arial"/>
                <w:sz w:val="18"/>
                <w:szCs w:val="18"/>
                <w:color w:val="0000EE"/>
                <w:w w:val="92"/>
              </w:rPr>
            </w:pPr>
            <w:hyperlink r:id="rId502">
              <w:r>
                <w:rPr>
                  <w:rFonts w:ascii="Arial" w:cs="Arial" w:eastAsia="Arial" w:hAnsi="Arial"/>
                  <w:sz w:val="18"/>
                  <w:szCs w:val="18"/>
                  <w:color w:val="0000EE"/>
                  <w:w w:val="92"/>
                </w:rPr>
                <w:t>Form of Underwriting Agreement</w:t>
              </w:r>
            </w:hyperlink>
          </w:p>
        </w:tc>
        <w:tc>
          <w:tcPr>
            <w:tcW w:w="2160" w:type="dxa"/>
            <w:vAlign w:val="bottom"/>
            <w:gridSpan w:val="5"/>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80" w:type="dxa"/>
            <w:vAlign w:val="bottom"/>
            <w:gridSpan w:val="11"/>
          </w:tcPr>
          <w:p>
            <w:pPr>
              <w:spacing w:after="0"/>
              <w:rPr>
                <w:sz w:val="24"/>
                <w:szCs w:val="24"/>
                <w:color w:val="auto"/>
              </w:rPr>
            </w:pPr>
          </w:p>
        </w:tc>
      </w:tr>
      <w:tr>
        <w:trPr>
          <w:trHeight w:val="30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2900" w:type="dxa"/>
            <w:vAlign w:val="bottom"/>
            <w:tcBorders>
              <w:bottom w:val="single" w:sz="8" w:color="0000EE"/>
            </w:tcBorders>
            <w:gridSpan w:val="2"/>
          </w:tcPr>
          <w:p>
            <w:pPr>
              <w:spacing w:after="0"/>
              <w:rPr>
                <w:rFonts w:ascii="Arial" w:cs="Arial" w:eastAsia="Arial" w:hAnsi="Arial"/>
                <w:sz w:val="18"/>
                <w:szCs w:val="18"/>
                <w:color w:val="0000EE"/>
                <w:w w:val="91"/>
              </w:rPr>
            </w:pPr>
            <w:hyperlink r:id="rId503">
              <w:r>
                <w:rPr>
                  <w:rFonts w:ascii="Arial" w:cs="Arial" w:eastAsia="Arial" w:hAnsi="Arial"/>
                  <w:sz w:val="18"/>
                  <w:szCs w:val="18"/>
                  <w:color w:val="0000EE"/>
                  <w:w w:val="91"/>
                </w:rPr>
                <w:t>Articles of Association of the Registrant</w:t>
              </w:r>
            </w:hyperlink>
          </w:p>
        </w:tc>
        <w:tc>
          <w:tcPr>
            <w:tcW w:w="6640" w:type="dxa"/>
            <w:vAlign w:val="bottom"/>
            <w:gridSpan w:val="16"/>
          </w:tcPr>
          <w:p>
            <w:pPr>
              <w:spacing w:after="0"/>
              <w:rPr>
                <w:sz w:val="24"/>
                <w:szCs w:val="24"/>
                <w:color w:val="auto"/>
              </w:rPr>
            </w:pPr>
          </w:p>
        </w:tc>
      </w:tr>
      <w:tr>
        <w:trPr>
          <w:trHeight w:val="30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5340" w:type="dxa"/>
            <w:vAlign w:val="bottom"/>
            <w:tcBorders>
              <w:bottom w:val="single" w:sz="8" w:color="0000EE"/>
            </w:tcBorders>
            <w:gridSpan w:val="8"/>
          </w:tcPr>
          <w:p>
            <w:pPr>
              <w:spacing w:after="0"/>
              <w:rPr>
                <w:rFonts w:ascii="Arial" w:cs="Arial" w:eastAsia="Arial" w:hAnsi="Arial"/>
                <w:sz w:val="18"/>
                <w:szCs w:val="18"/>
                <w:color w:val="0000EE"/>
                <w:w w:val="92"/>
              </w:rPr>
            </w:pPr>
            <w:hyperlink r:id="rId504">
              <w:r>
                <w:rPr>
                  <w:rFonts w:ascii="Arial" w:cs="Arial" w:eastAsia="Arial" w:hAnsi="Arial"/>
                  <w:sz w:val="18"/>
                  <w:szCs w:val="18"/>
                  <w:color w:val="0000EE"/>
                  <w:w w:val="92"/>
                </w:rPr>
                <w:t>Form of Specimen American Depositary Receipt (included in Exhibit 4.3)</w:t>
              </w:r>
            </w:hyperlink>
          </w:p>
        </w:tc>
        <w:tc>
          <w:tcPr>
            <w:tcW w:w="4200" w:type="dxa"/>
            <w:vAlign w:val="bottom"/>
            <w:gridSpan w:val="10"/>
          </w:tcPr>
          <w:p>
            <w:pPr>
              <w:spacing w:after="0"/>
              <w:rPr>
                <w:sz w:val="24"/>
                <w:szCs w:val="24"/>
                <w:color w:val="auto"/>
              </w:rPr>
            </w:pPr>
          </w:p>
        </w:tc>
      </w:tr>
      <w:tr>
        <w:trPr>
          <w:trHeight w:val="30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rPr>
            </w:pPr>
            <w:hyperlink r:id="rId505">
              <w:r>
                <w:rPr>
                  <w:rFonts w:ascii="Arial" w:cs="Arial" w:eastAsia="Arial" w:hAnsi="Arial"/>
                  <w:sz w:val="18"/>
                  <w:szCs w:val="18"/>
                  <w:color w:val="0000EE"/>
                </w:rPr>
                <w:t>Registrant’s Specimen Certificate for Ordinary Shares</w:t>
              </w:r>
            </w:hyperlink>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280" w:type="dxa"/>
            <w:vAlign w:val="bottom"/>
            <w:tcBorders>
              <w:bottom w:val="single" w:sz="8" w:color="0000EE"/>
            </w:tcBorders>
            <w:gridSpan w:val="12"/>
          </w:tcPr>
          <w:p>
            <w:pPr>
              <w:spacing w:after="0"/>
              <w:rPr>
                <w:rFonts w:ascii="Arial" w:cs="Arial" w:eastAsia="Arial" w:hAnsi="Arial"/>
                <w:sz w:val="18"/>
                <w:szCs w:val="18"/>
                <w:color w:val="0000EE"/>
                <w:w w:val="90"/>
              </w:rPr>
            </w:pPr>
            <w:hyperlink r:id="rId504">
              <w:r>
                <w:rPr>
                  <w:rFonts w:ascii="Arial" w:cs="Arial" w:eastAsia="Arial" w:hAnsi="Arial"/>
                  <w:sz w:val="18"/>
                  <w:szCs w:val="18"/>
                  <w:color w:val="0000EE"/>
                  <w:w w:val="90"/>
                </w:rPr>
                <w:t>Form of Deposit Agreement among the Registrant, the depositary and holders and beneficial owners of the American Depositary</w:t>
              </w:r>
            </w:hyperlink>
          </w:p>
        </w:tc>
        <w:tc>
          <w:tcPr>
            <w:tcW w:w="26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504">
              <w:r>
                <w:rPr>
                  <w:rFonts w:ascii="Arial" w:cs="Arial" w:eastAsia="Arial" w:hAnsi="Arial"/>
                  <w:sz w:val="18"/>
                  <w:szCs w:val="18"/>
                  <w:color w:val="0000EE"/>
                  <w:w w:val="90"/>
                </w:rPr>
                <w:t>Shares (incorporated herein by reference to Exhibit 1 to the Registrant’s Registration Statement on Form F-6 (File No. 333-233898),</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r:id="rId504">
              <w:r>
                <w:rPr>
                  <w:rFonts w:ascii="Arial" w:cs="Arial" w:eastAsia="Arial" w:hAnsi="Arial"/>
                  <w:sz w:val="18"/>
                  <w:szCs w:val="18"/>
                  <w:color w:val="0000EE"/>
                </w:rPr>
                <w:t>filed with the SEC on September 23, 2019</w:t>
              </w:r>
              <w:r>
                <w:rPr>
                  <w:rFonts w:ascii="Arial" w:cs="Arial" w:eastAsia="Arial" w:hAnsi="Arial"/>
                  <w:sz w:val="18"/>
                  <w:szCs w:val="18"/>
                  <w:color w:val="000000"/>
                </w:rPr>
                <w:t>.</w:t>
              </w:r>
            </w:hyperlink>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Arial" w:cs="Arial" w:eastAsia="Arial" w:hAnsi="Arial"/>
                <w:sz w:val="18"/>
                <w:szCs w:val="18"/>
                <w:color w:val="0000EE"/>
              </w:rPr>
              <w:t>Opinion of Freshfields Bruckhaus Deringer LLP regarding the validity of the Ordinary Shares being registered</w:t>
            </w:r>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470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10.1*†</w:t>
            </w:r>
          </w:p>
        </w:tc>
        <w:tc>
          <w:tcPr>
            <w:tcW w:w="64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w w:val="96"/>
              </w:rPr>
            </w:pPr>
            <w:hyperlink r:id="rId506">
              <w:r>
                <w:rPr>
                  <w:rFonts w:ascii="Arial" w:cs="Arial" w:eastAsia="Arial" w:hAnsi="Arial"/>
                  <w:sz w:val="18"/>
                  <w:szCs w:val="18"/>
                  <w:color w:val="0000EE"/>
                  <w:w w:val="96"/>
                </w:rPr>
                <w:t>Master Agreement for Research Services by and among the Registrant, BioNTech RNA Pharmaceuticals GmbH, BioNTech</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516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06">
              <w:r>
                <w:rPr>
                  <w:rFonts w:ascii="Arial" w:cs="Arial" w:eastAsia="Arial" w:hAnsi="Arial"/>
                  <w:sz w:val="18"/>
                  <w:szCs w:val="18"/>
                  <w:color w:val="0000EE"/>
                  <w:w w:val="91"/>
                </w:rPr>
                <w:t>Diagnostics GmbH, BioNTech Protein Therapeutics GmbH, BioNTech Cell &amp; Gene Therapies GmbH, Eufets GmbH, JPT Peptide</w:t>
              </w:r>
            </w:hyperlink>
          </w:p>
        </w:tc>
        <w:tc>
          <w:tcPr>
            <w:tcW w:w="14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w w:val="92"/>
              </w:rPr>
            </w:pPr>
            <w:hyperlink r:id="rId506">
              <w:r>
                <w:rPr>
                  <w:rFonts w:ascii="Arial" w:cs="Arial" w:eastAsia="Arial" w:hAnsi="Arial"/>
                  <w:sz w:val="18"/>
                  <w:szCs w:val="18"/>
                  <w:color w:val="0000EE"/>
                  <w:w w:val="92"/>
                </w:rPr>
                <w:t>Technologies GmbH and TRON-Translationale Onkologie an der Universitätsmedizin der Johannes Gutenberg Universität Mainz</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506">
              <w:r>
                <w:rPr>
                  <w:rFonts w:ascii="Arial" w:cs="Arial" w:eastAsia="Arial" w:hAnsi="Arial"/>
                  <w:sz w:val="18"/>
                  <w:szCs w:val="18"/>
                  <w:color w:val="0000EE"/>
                  <w:w w:val="89"/>
                </w:rPr>
                <w:t>gemeinnützige GmbH, dated January 1, 2015</w:t>
              </w:r>
            </w:hyperlink>
          </w:p>
        </w:tc>
        <w:tc>
          <w:tcPr>
            <w:tcW w:w="6060" w:type="dxa"/>
            <w:vAlign w:val="bottom"/>
            <w:tcBorders>
              <w:top w:val="single" w:sz="8" w:color="0000EE"/>
            </w:tcBorders>
            <w:gridSpan w:val="9"/>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04"/>
        </w:trPr>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10.2*†</w:t>
            </w:r>
          </w:p>
        </w:tc>
        <w:tc>
          <w:tcPr>
            <w:tcW w:w="64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w w:val="91"/>
              </w:rPr>
            </w:pPr>
            <w:hyperlink r:id="rId507">
              <w:r>
                <w:rPr>
                  <w:rFonts w:ascii="Arial" w:cs="Arial" w:eastAsia="Arial" w:hAnsi="Arial"/>
                  <w:sz w:val="18"/>
                  <w:szCs w:val="18"/>
                  <w:color w:val="0000EE"/>
                  <w:w w:val="91"/>
                </w:rPr>
                <w:t>Confirmation Letter by and among the Registrant, BioNTech RNA Pharmaceuticals GmbH and TRON-Translationale Onkologie an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507">
              <w:r>
                <w:rPr>
                  <w:rFonts w:ascii="Arial" w:cs="Arial" w:eastAsia="Arial" w:hAnsi="Arial"/>
                  <w:sz w:val="18"/>
                  <w:szCs w:val="18"/>
                  <w:color w:val="0000EE"/>
                  <w:w w:val="90"/>
                </w:rPr>
                <w:t>der Universitätsmedizin der Johannes Gutenberg Universität Mainz gemeinnützige GmbH dated September 15, 2016</w:t>
              </w:r>
            </w:hyperlink>
          </w:p>
        </w:tc>
        <w:tc>
          <w:tcPr>
            <w:tcW w:w="108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10.3*†</w:t>
            </w:r>
          </w:p>
        </w:tc>
        <w:tc>
          <w:tcPr>
            <w:tcW w:w="64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w w:val="92"/>
              </w:rPr>
            </w:pPr>
            <w:hyperlink r:id="rId508">
              <w:r>
                <w:rPr>
                  <w:rFonts w:ascii="Arial" w:cs="Arial" w:eastAsia="Arial" w:hAnsi="Arial"/>
                  <w:sz w:val="18"/>
                  <w:szCs w:val="18"/>
                  <w:color w:val="0000EE"/>
                  <w:w w:val="92"/>
                </w:rPr>
                <w:t>Supplementary Agreement for IVAC Developments to the Master Agreement for Research Services by and among the Registrant,</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340" w:type="dxa"/>
            <w:vAlign w:val="bottom"/>
            <w:gridSpan w:val="1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508">
              <w:r>
                <w:rPr>
                  <w:rFonts w:ascii="Arial" w:cs="Arial" w:eastAsia="Arial" w:hAnsi="Arial"/>
                  <w:sz w:val="18"/>
                  <w:szCs w:val="18"/>
                  <w:color w:val="0000EE"/>
                  <w:w w:val="92"/>
                </w:rPr>
                <w:t>BioNTech RNA Pharmaceuticals GmbH, BioNTech Diagnostics GmbH, BioNTech Protein Therapeutics GmbH, BioNTech Cell &amp;</w:t>
              </w:r>
            </w:hyperlink>
          </w:p>
        </w:tc>
        <w:tc>
          <w:tcPr>
            <w:tcW w:w="100" w:type="dxa"/>
            <w:vAlign w:val="bottom"/>
            <w:gridSpan w:val="2"/>
          </w:tcPr>
          <w:p>
            <w:pPr>
              <w:spacing w:after="0"/>
              <w:rPr>
                <w:sz w:val="17"/>
                <w:szCs w:val="17"/>
                <w:color w:val="auto"/>
              </w:rPr>
            </w:pPr>
          </w:p>
        </w:tc>
      </w:tr>
    </w:tbl>
    <w:p>
      <w:pPr>
        <w:spacing w:after="0" w:line="13" w:lineRule="exact"/>
        <w:rPr>
          <w:sz w:val="20"/>
          <w:szCs w:val="20"/>
          <w:color w:val="auto"/>
        </w:rPr>
      </w:pPr>
    </w:p>
    <w:p>
      <w:pPr>
        <w:ind w:left="1560"/>
        <w:spacing w:after="0" w:line="264" w:lineRule="auto"/>
        <w:rPr>
          <w:rFonts w:ascii="Arial" w:cs="Arial" w:eastAsia="Arial" w:hAnsi="Arial"/>
          <w:sz w:val="18"/>
          <w:szCs w:val="18"/>
          <w:u w:val="single" w:color="auto"/>
          <w:color w:val="0000EE"/>
        </w:rPr>
      </w:pPr>
      <w:hyperlink r:id="rId508">
        <w:r>
          <w:rPr>
            <w:rFonts w:ascii="Arial" w:cs="Arial" w:eastAsia="Arial" w:hAnsi="Arial"/>
            <w:sz w:val="18"/>
            <w:szCs w:val="18"/>
            <w:u w:val="single" w:color="auto"/>
            <w:color w:val="0000EE"/>
          </w:rPr>
          <w:t>Gene Therapies GmbH, BioNTech Innovative Manufacturing Services GmbH (f/k/a Eufets GmbH), JPT Peptide Technologies GmbH</w:t>
        </w:r>
      </w:hyperlink>
      <w:r>
        <w:rPr>
          <w:rFonts w:ascii="Arial" w:cs="Arial" w:eastAsia="Arial" w:hAnsi="Arial"/>
          <w:sz w:val="18"/>
          <w:szCs w:val="18"/>
          <w:u w:val="single" w:color="auto"/>
          <w:color w:val="0000EE"/>
        </w:rPr>
        <w:t xml:space="preserve"> </w:t>
      </w:r>
      <w:hyperlink r:id="rId508">
        <w:r>
          <w:rPr>
            <w:rFonts w:ascii="Arial" w:cs="Arial" w:eastAsia="Arial" w:hAnsi="Arial"/>
            <w:sz w:val="18"/>
            <w:szCs w:val="18"/>
            <w:u w:val="single" w:color="auto"/>
            <w:color w:val="0000EE"/>
          </w:rPr>
          <w:t>and TRON-Translationale Onkologie an der Universitätsmedizin der Johannes Gutenberg Universität Mainz gemeinnützige GmbH,</w:t>
        </w:r>
      </w:hyperlink>
      <w:r>
        <w:rPr>
          <w:rFonts w:ascii="Arial" w:cs="Arial" w:eastAsia="Arial" w:hAnsi="Arial"/>
          <w:sz w:val="18"/>
          <w:szCs w:val="18"/>
          <w:u w:val="single" w:color="auto"/>
          <w:color w:val="0000EE"/>
        </w:rPr>
        <w:t xml:space="preserve"> </w:t>
      </w:r>
      <w:hyperlink r:id="rId508">
        <w:r>
          <w:rPr>
            <w:rFonts w:ascii="Arial" w:cs="Arial" w:eastAsia="Arial" w:hAnsi="Arial"/>
            <w:sz w:val="18"/>
            <w:szCs w:val="18"/>
            <w:u w:val="single" w:color="auto"/>
            <w:color w:val="0000EE"/>
          </w:rPr>
          <w:t>dated November 28, 2017</w:t>
        </w:r>
      </w:hyperlink>
    </w:p>
    <w:p>
      <w:pPr>
        <w:spacing w:after="0" w:line="114" w:lineRule="exact"/>
        <w:rPr>
          <w:rFonts w:ascii="Arial" w:cs="Arial" w:eastAsia="Arial" w:hAnsi="Arial"/>
          <w:sz w:val="18"/>
          <w:szCs w:val="18"/>
          <w:u w:val="single" w:color="auto"/>
          <w:color w:val="0000EE"/>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60" w:right="4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80" w:type="dxa"/>
            <w:vAlign w:val="bottom"/>
            <w:gridSpan w:val="25"/>
          </w:tcPr>
          <w:p>
            <w:pPr>
              <w:ind w:left="120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60" w:type="dxa"/>
            <w:vAlign w:val="bottom"/>
            <w:gridSpan w:val="2"/>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8960" w:type="dxa"/>
            <w:vAlign w:val="bottom"/>
            <w:tcBorders>
              <w:bottom w:val="single" w:sz="8" w:color="0000EE"/>
            </w:tcBorders>
            <w:gridSpan w:val="18"/>
          </w:tcPr>
          <w:p>
            <w:pPr>
              <w:spacing w:after="0"/>
              <w:rPr>
                <w:rFonts w:ascii="Arial" w:cs="Arial" w:eastAsia="Arial" w:hAnsi="Arial"/>
                <w:sz w:val="18"/>
                <w:szCs w:val="18"/>
                <w:color w:val="0000EE"/>
                <w:w w:val="90"/>
              </w:rPr>
            </w:pPr>
            <w:hyperlink r:id="rId510">
              <w:r>
                <w:rPr>
                  <w:rFonts w:ascii="Arial" w:cs="Arial" w:eastAsia="Arial" w:hAnsi="Arial"/>
                  <w:sz w:val="18"/>
                  <w:szCs w:val="18"/>
                  <w:color w:val="0000EE"/>
                  <w:w w:val="90"/>
                </w:rPr>
                <w:t>License Agreement by and among the Registrant, TRON-Translationale Onkologie an der Universitätsmedizin der Johannes</w:t>
              </w:r>
            </w:hyperlink>
          </w:p>
        </w:tc>
        <w:tc>
          <w:tcPr>
            <w:tcW w:w="740" w:type="dxa"/>
            <w:vAlign w:val="bottom"/>
            <w:gridSpan w:val="15"/>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3"/>
          </w:tcPr>
          <w:p>
            <w:pPr>
              <w:spacing w:after="0" w:line="196" w:lineRule="exact"/>
              <w:rPr>
                <w:rFonts w:ascii="Arial" w:cs="Arial" w:eastAsia="Arial" w:hAnsi="Arial"/>
                <w:sz w:val="18"/>
                <w:szCs w:val="18"/>
                <w:color w:val="0000EE"/>
                <w:w w:val="95"/>
              </w:rPr>
            </w:pPr>
            <w:hyperlink r:id="rId510">
              <w:r>
                <w:rPr>
                  <w:rFonts w:ascii="Arial" w:cs="Arial" w:eastAsia="Arial" w:hAnsi="Arial"/>
                  <w:sz w:val="18"/>
                  <w:szCs w:val="18"/>
                  <w:color w:val="0000EE"/>
                  <w:w w:val="95"/>
                </w:rPr>
                <w:t>Gutenberg Universität Mainz gemeinnützige GmbH, Johannes Gutenberg-Universität Mainz, Universitätsmedizin der Johannes</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510">
              <w:r>
                <w:rPr>
                  <w:rFonts w:ascii="Arial" w:cs="Arial" w:eastAsia="Arial" w:hAnsi="Arial"/>
                  <w:sz w:val="18"/>
                  <w:szCs w:val="18"/>
                  <w:color w:val="0000EE"/>
                  <w:w w:val="89"/>
                </w:rPr>
                <w:t>Gutenberg-Universität and Ganymed Pharmaceuticals AG, dated January 1, 2015</w:t>
              </w:r>
            </w:hyperlink>
          </w:p>
        </w:tc>
        <w:tc>
          <w:tcPr>
            <w:tcW w:w="3300" w:type="dxa"/>
            <w:vAlign w:val="bottom"/>
            <w:tcBorders>
              <w:top w:val="single" w:sz="8" w:color="0000EE"/>
            </w:tcBorders>
            <w:gridSpan w:val="9"/>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9700" w:type="dxa"/>
            <w:vAlign w:val="bottom"/>
            <w:gridSpan w:val="33"/>
          </w:tcPr>
          <w:p>
            <w:pPr>
              <w:spacing w:after="0"/>
              <w:rPr>
                <w:rFonts w:ascii="Arial" w:cs="Arial" w:eastAsia="Arial" w:hAnsi="Arial"/>
                <w:sz w:val="18"/>
                <w:szCs w:val="18"/>
                <w:color w:val="0000EE"/>
                <w:w w:val="92"/>
              </w:rPr>
            </w:pPr>
            <w:hyperlink r:id="rId511">
              <w:r>
                <w:rPr>
                  <w:rFonts w:ascii="Arial" w:cs="Arial" w:eastAsia="Arial" w:hAnsi="Arial"/>
                  <w:sz w:val="18"/>
                  <w:szCs w:val="18"/>
                  <w:color w:val="0000EE"/>
                  <w:w w:val="92"/>
                </w:rPr>
                <w:t>Framework Collaboration Agreement by and among the Registrant, BioNTech RNA Pharmaceuticals GmbH, BioNTech Diagnostics</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tcBorders>
              <w:top w:val="single" w:sz="8" w:color="0000EE"/>
            </w:tcBorders>
            <w:gridSpan w:val="30"/>
          </w:tcPr>
          <w:p>
            <w:pPr>
              <w:spacing w:after="0" w:line="196" w:lineRule="exact"/>
              <w:rPr>
                <w:rFonts w:ascii="Arial" w:cs="Arial" w:eastAsia="Arial" w:hAnsi="Arial"/>
                <w:sz w:val="18"/>
                <w:szCs w:val="18"/>
                <w:color w:val="0000EE"/>
                <w:w w:val="95"/>
              </w:rPr>
            </w:pPr>
            <w:hyperlink r:id="rId511">
              <w:r>
                <w:rPr>
                  <w:rFonts w:ascii="Arial" w:cs="Arial" w:eastAsia="Arial" w:hAnsi="Arial"/>
                  <w:sz w:val="18"/>
                  <w:szCs w:val="18"/>
                  <w:color w:val="0000EE"/>
                  <w:w w:val="95"/>
                </w:rPr>
                <w:t>GmbH, BioNTech Protein Therapeutics GmbH, BioNTech Cell &amp; Gene Therapies GmbH, BioNTech Innovative Manufacturing</w:t>
              </w:r>
            </w:hyperlink>
          </w:p>
        </w:tc>
        <w:tc>
          <w:tcPr>
            <w:tcW w:w="140" w:type="dxa"/>
            <w:vAlign w:val="bottom"/>
            <w:gridSpan w:val="3"/>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511">
              <w:r>
                <w:rPr>
                  <w:rFonts w:ascii="Arial" w:cs="Arial" w:eastAsia="Arial" w:hAnsi="Arial"/>
                  <w:sz w:val="18"/>
                  <w:szCs w:val="18"/>
                  <w:color w:val="0000EE"/>
                  <w:w w:val="90"/>
                </w:rPr>
                <w:t>Services GmbH, JPT Peptide Technologies GmbH and TRON-Translationale Onkologie an der Universitätsmedizin der Johannes</w:t>
              </w:r>
            </w:hyperlink>
          </w:p>
        </w:tc>
        <w:tc>
          <w:tcPr>
            <w:tcW w:w="360" w:type="dxa"/>
            <w:vAlign w:val="bottom"/>
            <w:gridSpan w:val="9"/>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511">
              <w:r>
                <w:rPr>
                  <w:rFonts w:ascii="Arial" w:cs="Arial" w:eastAsia="Arial" w:hAnsi="Arial"/>
                  <w:sz w:val="18"/>
                  <w:szCs w:val="18"/>
                  <w:color w:val="0000EE"/>
                  <w:w w:val="91"/>
                </w:rPr>
                <w:t>Gutenberg Universität Mainz gemeinnützige GmbH, dated August 29, 2019</w:t>
              </w:r>
            </w:hyperlink>
          </w:p>
        </w:tc>
        <w:tc>
          <w:tcPr>
            <w:tcW w:w="4220" w:type="dxa"/>
            <w:vAlign w:val="bottom"/>
            <w:gridSpan w:val="22"/>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120" w:type="dxa"/>
            <w:vAlign w:val="bottom"/>
            <w:tcBorders>
              <w:bottom w:val="single" w:sz="8" w:color="0000EE"/>
            </w:tcBorders>
            <w:gridSpan w:val="20"/>
          </w:tcPr>
          <w:p>
            <w:pPr>
              <w:spacing w:after="0"/>
              <w:rPr>
                <w:rFonts w:ascii="Arial" w:cs="Arial" w:eastAsia="Arial" w:hAnsi="Arial"/>
                <w:sz w:val="18"/>
                <w:szCs w:val="18"/>
                <w:color w:val="0000EE"/>
                <w:w w:val="90"/>
              </w:rPr>
            </w:pPr>
            <w:hyperlink r:id="rId512">
              <w:r>
                <w:rPr>
                  <w:rFonts w:ascii="Arial" w:cs="Arial" w:eastAsia="Arial" w:hAnsi="Arial"/>
                  <w:sz w:val="18"/>
                  <w:szCs w:val="18"/>
                  <w:color w:val="0000EE"/>
                  <w:w w:val="90"/>
                </w:rPr>
                <w:t>Amended Patent License Agreement by and among the Registrant, the Board of Supervisors of Louisiana State University and</w:t>
              </w:r>
            </w:hyperlink>
          </w:p>
        </w:tc>
        <w:tc>
          <w:tcPr>
            <w:tcW w:w="580" w:type="dxa"/>
            <w:vAlign w:val="bottom"/>
            <w:gridSpan w:val="1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3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12">
              <w:r>
                <w:rPr>
                  <w:rFonts w:ascii="Arial" w:cs="Arial" w:eastAsia="Arial" w:hAnsi="Arial"/>
                  <w:sz w:val="18"/>
                  <w:szCs w:val="18"/>
                  <w:color w:val="0000EE"/>
                  <w:w w:val="91"/>
                </w:rPr>
                <w:t>Agricultural and Mechanical College and Uniwersytet Warszawski, dated May 12, 2015</w:t>
              </w:r>
            </w:hyperlink>
          </w:p>
        </w:tc>
        <w:tc>
          <w:tcPr>
            <w:tcW w:w="3340" w:type="dxa"/>
            <w:vAlign w:val="bottom"/>
            <w:gridSpan w:val="20"/>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7800" w:type="dxa"/>
            <w:vAlign w:val="bottom"/>
            <w:tcBorders>
              <w:bottom w:val="single" w:sz="8" w:color="0000EE"/>
            </w:tcBorders>
            <w:gridSpan w:val="14"/>
          </w:tcPr>
          <w:p>
            <w:pPr>
              <w:spacing w:after="0"/>
              <w:rPr>
                <w:rFonts w:ascii="Arial" w:cs="Arial" w:eastAsia="Arial" w:hAnsi="Arial"/>
                <w:sz w:val="18"/>
                <w:szCs w:val="18"/>
                <w:color w:val="0000EE"/>
                <w:w w:val="90"/>
              </w:rPr>
            </w:pPr>
            <w:hyperlink r:id="rId513">
              <w:r>
                <w:rPr>
                  <w:rFonts w:ascii="Arial" w:cs="Arial" w:eastAsia="Arial" w:hAnsi="Arial"/>
                  <w:sz w:val="18"/>
                  <w:szCs w:val="18"/>
                  <w:color w:val="0000EE"/>
                  <w:w w:val="90"/>
                </w:rPr>
                <w:t>License and Collaboration Agreement by and between the Registrant and Genmab A/S, dated May 19, 2015</w:t>
              </w:r>
            </w:hyperlink>
          </w:p>
        </w:tc>
        <w:tc>
          <w:tcPr>
            <w:tcW w:w="1900" w:type="dxa"/>
            <w:vAlign w:val="bottom"/>
            <w:gridSpan w:val="19"/>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360" w:type="dxa"/>
            <w:vAlign w:val="bottom"/>
            <w:tcBorders>
              <w:bottom w:val="single" w:sz="8" w:color="0000EE"/>
            </w:tcBorders>
            <w:gridSpan w:val="25"/>
          </w:tcPr>
          <w:p>
            <w:pPr>
              <w:spacing w:after="0"/>
              <w:rPr>
                <w:rFonts w:ascii="Arial" w:cs="Arial" w:eastAsia="Arial" w:hAnsi="Arial"/>
                <w:sz w:val="18"/>
                <w:szCs w:val="18"/>
                <w:color w:val="0000EE"/>
                <w:w w:val="90"/>
              </w:rPr>
            </w:pPr>
            <w:hyperlink r:id="rId514">
              <w:r>
                <w:rPr>
                  <w:rFonts w:ascii="Arial" w:cs="Arial" w:eastAsia="Arial" w:hAnsi="Arial"/>
                  <w:sz w:val="18"/>
                  <w:szCs w:val="18"/>
                  <w:color w:val="0000EE"/>
                  <w:w w:val="90"/>
                </w:rPr>
                <w:t>Amendment No. 1 to License and Collaboration Agreement by and between the Registrant and Genmab A/S, dated May 18, 2017</w:t>
              </w:r>
            </w:hyperlink>
          </w:p>
        </w:tc>
        <w:tc>
          <w:tcPr>
            <w:tcW w:w="340" w:type="dxa"/>
            <w:vAlign w:val="bottom"/>
            <w:gridSpan w:val="8"/>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460" w:type="dxa"/>
            <w:vAlign w:val="bottom"/>
            <w:tcBorders>
              <w:bottom w:val="single" w:sz="8" w:color="0000EE"/>
            </w:tcBorders>
            <w:gridSpan w:val="28"/>
          </w:tcPr>
          <w:p>
            <w:pPr>
              <w:spacing w:after="0"/>
              <w:rPr>
                <w:rFonts w:ascii="Arial" w:cs="Arial" w:eastAsia="Arial" w:hAnsi="Arial"/>
                <w:sz w:val="18"/>
                <w:szCs w:val="18"/>
                <w:color w:val="0000EE"/>
                <w:w w:val="90"/>
              </w:rPr>
            </w:pPr>
            <w:hyperlink r:id="rId515">
              <w:r>
                <w:rPr>
                  <w:rFonts w:ascii="Arial" w:cs="Arial" w:eastAsia="Arial" w:hAnsi="Arial"/>
                  <w:sz w:val="18"/>
                  <w:szCs w:val="18"/>
                  <w:color w:val="0000EE"/>
                  <w:w w:val="90"/>
                </w:rPr>
                <w:t>Amendment No. 2 to License and Collaboration Agreement by and between the Registrant and Genmab A/S, dated August 4, 2017</w:t>
              </w:r>
            </w:hyperlink>
          </w:p>
        </w:tc>
        <w:tc>
          <w:tcPr>
            <w:tcW w:w="240" w:type="dxa"/>
            <w:vAlign w:val="bottom"/>
            <w:gridSpan w:val="5"/>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9360" w:type="dxa"/>
            <w:vAlign w:val="bottom"/>
            <w:tcBorders>
              <w:bottom w:val="single" w:sz="8" w:color="0000EE"/>
            </w:tcBorders>
            <w:gridSpan w:val="25"/>
          </w:tcPr>
          <w:p>
            <w:pPr>
              <w:spacing w:after="0"/>
              <w:rPr>
                <w:rFonts w:ascii="Arial" w:cs="Arial" w:eastAsia="Arial" w:hAnsi="Arial"/>
                <w:sz w:val="18"/>
                <w:szCs w:val="18"/>
                <w:color w:val="0000EE"/>
                <w:w w:val="90"/>
              </w:rPr>
            </w:pPr>
            <w:hyperlink r:id="rId516">
              <w:r>
                <w:rPr>
                  <w:rFonts w:ascii="Arial" w:cs="Arial" w:eastAsia="Arial" w:hAnsi="Arial"/>
                  <w:sz w:val="18"/>
                  <w:szCs w:val="18"/>
                  <w:color w:val="0000EE"/>
                  <w:w w:val="90"/>
                </w:rPr>
                <w:t>Amendment No. 3 to License and Collaboration Agreement by and between the Registrant and Genmab A/S, dated May 18, 2018</w:t>
              </w:r>
            </w:hyperlink>
          </w:p>
        </w:tc>
        <w:tc>
          <w:tcPr>
            <w:tcW w:w="340" w:type="dxa"/>
            <w:vAlign w:val="bottom"/>
            <w:gridSpan w:val="8"/>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9700" w:type="dxa"/>
            <w:vAlign w:val="bottom"/>
            <w:gridSpan w:val="33"/>
          </w:tcPr>
          <w:p>
            <w:pPr>
              <w:spacing w:after="0"/>
              <w:rPr>
                <w:rFonts w:ascii="Arial" w:cs="Arial" w:eastAsia="Arial" w:hAnsi="Arial"/>
                <w:sz w:val="18"/>
                <w:szCs w:val="18"/>
                <w:color w:val="0000EE"/>
                <w:w w:val="92"/>
              </w:rPr>
            </w:pPr>
            <w:hyperlink r:id="rId517">
              <w:r>
                <w:rPr>
                  <w:rFonts w:ascii="Arial" w:cs="Arial" w:eastAsia="Arial" w:hAnsi="Arial"/>
                  <w:sz w:val="18"/>
                  <w:szCs w:val="18"/>
                  <w:color w:val="0000EE"/>
                  <w:w w:val="92"/>
                </w:rPr>
                <w:t>Collaboration and License Agreement by and between Sanofi S.A. and BioNTech RNA Pharmaceuticals GmbH, dated November 2,</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517">
              <w:r>
                <w:rPr>
                  <w:rFonts w:ascii="Arial" w:cs="Arial" w:eastAsia="Arial" w:hAnsi="Arial"/>
                  <w:sz w:val="18"/>
                  <w:szCs w:val="18"/>
                  <w:color w:val="0000EE"/>
                  <w:w w:val="84"/>
                </w:rPr>
                <w:t>2015</w:t>
              </w:r>
            </w:hyperlink>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680" w:type="dxa"/>
            <w:vAlign w:val="bottom"/>
            <w:tcBorders>
              <w:bottom w:val="single" w:sz="8" w:color="0000EE"/>
            </w:tcBorders>
            <w:gridSpan w:val="32"/>
          </w:tcPr>
          <w:p>
            <w:pPr>
              <w:spacing w:after="0"/>
              <w:rPr>
                <w:rFonts w:ascii="Arial" w:cs="Arial" w:eastAsia="Arial" w:hAnsi="Arial"/>
                <w:sz w:val="18"/>
                <w:szCs w:val="18"/>
                <w:color w:val="0000EE"/>
                <w:w w:val="90"/>
              </w:rPr>
            </w:pPr>
            <w:hyperlink r:id="rId518">
              <w:r>
                <w:rPr>
                  <w:rFonts w:ascii="Arial" w:cs="Arial" w:eastAsia="Arial" w:hAnsi="Arial"/>
                  <w:sz w:val="18"/>
                  <w:szCs w:val="18"/>
                  <w:color w:val="0000EE"/>
                  <w:w w:val="90"/>
                </w:rPr>
                <w:t>Amendment to Collaboration and License Agreement by and between Sanofi S.A. and BioNTech RNA Pharmaceuticals GmbH, dated</w:t>
              </w:r>
            </w:hyperlink>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3"/>
          </w:tcPr>
          <w:p>
            <w:pPr>
              <w:spacing w:after="0" w:line="196" w:lineRule="exact"/>
              <w:rPr>
                <w:rFonts w:ascii="Arial" w:cs="Arial" w:eastAsia="Arial" w:hAnsi="Arial"/>
                <w:sz w:val="18"/>
                <w:szCs w:val="18"/>
                <w:color w:val="0000EE"/>
              </w:rPr>
            </w:pPr>
            <w:hyperlink r:id="rId518">
              <w:r>
                <w:rPr>
                  <w:rFonts w:ascii="Arial" w:cs="Arial" w:eastAsia="Arial" w:hAnsi="Arial"/>
                  <w:sz w:val="18"/>
                  <w:szCs w:val="18"/>
                  <w:color w:val="0000EE"/>
                </w:rPr>
                <w:t>December 22, 2018</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4"/>
                <w:szCs w:val="24"/>
                <w:color w:val="auto"/>
              </w:rPr>
            </w:pPr>
          </w:p>
        </w:tc>
        <w:tc>
          <w:tcPr>
            <w:tcW w:w="8840" w:type="dxa"/>
            <w:vAlign w:val="bottom"/>
            <w:tcBorders>
              <w:bottom w:val="single" w:sz="8" w:color="0000EE"/>
            </w:tcBorders>
            <w:gridSpan w:val="17"/>
          </w:tcPr>
          <w:p>
            <w:pPr>
              <w:spacing w:after="0"/>
              <w:rPr>
                <w:rFonts w:ascii="Arial" w:cs="Arial" w:eastAsia="Arial" w:hAnsi="Arial"/>
                <w:sz w:val="18"/>
                <w:szCs w:val="18"/>
                <w:color w:val="0000EE"/>
                <w:w w:val="91"/>
              </w:rPr>
            </w:pPr>
            <w:hyperlink r:id="rId519">
              <w:r>
                <w:rPr>
                  <w:rFonts w:ascii="Arial" w:cs="Arial" w:eastAsia="Arial" w:hAnsi="Arial"/>
                  <w:sz w:val="18"/>
                  <w:szCs w:val="18"/>
                  <w:color w:val="0000EE"/>
                  <w:w w:val="91"/>
                </w:rPr>
                <w:t>Development Agreement by and between Sanofi S.A. and BioNTech RNA Pharmaceuticals GmbH, dated March 29, 2018</w:t>
              </w:r>
            </w:hyperlink>
          </w:p>
        </w:tc>
        <w:tc>
          <w:tcPr>
            <w:tcW w:w="860" w:type="dxa"/>
            <w:vAlign w:val="bottom"/>
            <w:gridSpan w:val="16"/>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9620" w:type="dxa"/>
            <w:vAlign w:val="bottom"/>
            <w:tcBorders>
              <w:bottom w:val="single" w:sz="8" w:color="0000EE"/>
            </w:tcBorders>
            <w:gridSpan w:val="31"/>
          </w:tcPr>
          <w:p>
            <w:pPr>
              <w:spacing w:after="0"/>
              <w:rPr>
                <w:rFonts w:ascii="Arial" w:cs="Arial" w:eastAsia="Arial" w:hAnsi="Arial"/>
                <w:sz w:val="18"/>
                <w:szCs w:val="18"/>
                <w:color w:val="0000EE"/>
                <w:w w:val="91"/>
              </w:rPr>
            </w:pPr>
            <w:hyperlink r:id="rId520">
              <w:r>
                <w:rPr>
                  <w:rFonts w:ascii="Arial" w:cs="Arial" w:eastAsia="Arial" w:hAnsi="Arial"/>
                  <w:sz w:val="18"/>
                  <w:szCs w:val="18"/>
                  <w:color w:val="0000EE"/>
                  <w:w w:val="91"/>
                </w:rPr>
                <w:t>Collaboration Agreement by and among the Registrant, BioNTech RNA Pharmaceuticals GmbH, Genentech, Inc. and F. Hoffman-La</w:t>
              </w:r>
            </w:hyperlink>
          </w:p>
        </w:tc>
        <w:tc>
          <w:tcPr>
            <w:tcW w:w="80" w:type="dxa"/>
            <w:vAlign w:val="bottom"/>
            <w:gridSpan w:val="2"/>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520">
              <w:r>
                <w:rPr>
                  <w:rFonts w:ascii="Arial" w:cs="Arial" w:eastAsia="Arial" w:hAnsi="Arial"/>
                  <w:sz w:val="18"/>
                  <w:szCs w:val="18"/>
                  <w:color w:val="0000EE"/>
                  <w:w w:val="89"/>
                </w:rPr>
                <w:t>Roche Ltd, dated September 20, 2016</w:t>
              </w:r>
            </w:hyperlink>
          </w:p>
        </w:tc>
        <w:tc>
          <w:tcPr>
            <w:tcW w:w="6960" w:type="dxa"/>
            <w:vAlign w:val="bottom"/>
            <w:gridSpan w:val="26"/>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4"/>
                <w:szCs w:val="24"/>
                <w:color w:val="auto"/>
              </w:rPr>
            </w:pPr>
          </w:p>
        </w:tc>
        <w:tc>
          <w:tcPr>
            <w:tcW w:w="9280" w:type="dxa"/>
            <w:vAlign w:val="bottom"/>
            <w:tcBorders>
              <w:bottom w:val="single" w:sz="8" w:color="0000EE"/>
            </w:tcBorders>
            <w:gridSpan w:val="23"/>
          </w:tcPr>
          <w:p>
            <w:pPr>
              <w:spacing w:after="0"/>
              <w:rPr>
                <w:rFonts w:ascii="Arial" w:cs="Arial" w:eastAsia="Arial" w:hAnsi="Arial"/>
                <w:sz w:val="18"/>
                <w:szCs w:val="18"/>
                <w:color w:val="0000EE"/>
                <w:w w:val="90"/>
              </w:rPr>
            </w:pPr>
            <w:hyperlink r:id="rId521">
              <w:r>
                <w:rPr>
                  <w:rFonts w:ascii="Arial" w:cs="Arial" w:eastAsia="Arial" w:hAnsi="Arial"/>
                  <w:sz w:val="18"/>
                  <w:szCs w:val="18"/>
                  <w:color w:val="0000EE"/>
                  <w:w w:val="90"/>
                </w:rPr>
                <w:t>Patent Sublicense Agreement by and between CellScript, LLC and BioNTech RNA Pharmaceuticals GmbH, dated July 14, 2017</w:t>
              </w:r>
            </w:hyperlink>
          </w:p>
        </w:tc>
        <w:tc>
          <w:tcPr>
            <w:tcW w:w="420" w:type="dxa"/>
            <w:vAlign w:val="bottom"/>
            <w:gridSpan w:val="10"/>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4"/>
                <w:szCs w:val="24"/>
                <w:color w:val="auto"/>
              </w:rPr>
            </w:pPr>
          </w:p>
        </w:tc>
        <w:tc>
          <w:tcPr>
            <w:tcW w:w="9700" w:type="dxa"/>
            <w:vAlign w:val="bottom"/>
            <w:tcBorders>
              <w:bottom w:val="single" w:sz="8" w:color="0000EE"/>
            </w:tcBorders>
            <w:gridSpan w:val="33"/>
          </w:tcPr>
          <w:p>
            <w:pPr>
              <w:spacing w:after="0"/>
              <w:rPr>
                <w:rFonts w:ascii="Arial" w:cs="Arial" w:eastAsia="Arial" w:hAnsi="Arial"/>
                <w:sz w:val="18"/>
                <w:szCs w:val="18"/>
                <w:color w:val="0000EE"/>
                <w:w w:val="91"/>
              </w:rPr>
            </w:pPr>
            <w:hyperlink r:id="rId522">
              <w:r>
                <w:rPr>
                  <w:rFonts w:ascii="Arial" w:cs="Arial" w:eastAsia="Arial" w:hAnsi="Arial"/>
                  <w:sz w:val="18"/>
                  <w:szCs w:val="18"/>
                  <w:color w:val="0000EE"/>
                  <w:w w:val="91"/>
                </w:rPr>
                <w:t>Patent Sublicense Agreement by and between mRNA RiboTherapeutics, Inc. and BioNTech RNA Pharmaceuticals GmbH, dated July</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522">
              <w:r>
                <w:rPr>
                  <w:rFonts w:ascii="Arial" w:cs="Arial" w:eastAsia="Arial" w:hAnsi="Arial"/>
                  <w:sz w:val="18"/>
                  <w:szCs w:val="18"/>
                  <w:color w:val="0000EE"/>
                  <w:w w:val="88"/>
                </w:rPr>
                <w:t>14, 2017</w:t>
              </w:r>
            </w:hyperlink>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24"/>
                <w:szCs w:val="24"/>
                <w:color w:val="auto"/>
              </w:rPr>
            </w:pPr>
          </w:p>
        </w:tc>
        <w:tc>
          <w:tcPr>
            <w:tcW w:w="9440" w:type="dxa"/>
            <w:vAlign w:val="bottom"/>
            <w:tcBorders>
              <w:bottom w:val="single" w:sz="8" w:color="0000EE"/>
            </w:tcBorders>
            <w:gridSpan w:val="27"/>
          </w:tcPr>
          <w:p>
            <w:pPr>
              <w:spacing w:after="0"/>
              <w:rPr>
                <w:rFonts w:ascii="Arial" w:cs="Arial" w:eastAsia="Arial" w:hAnsi="Arial"/>
                <w:sz w:val="18"/>
                <w:szCs w:val="18"/>
                <w:color w:val="0000EE"/>
                <w:w w:val="90"/>
              </w:rPr>
            </w:pPr>
            <w:hyperlink r:id="rId523">
              <w:r>
                <w:rPr>
                  <w:rFonts w:ascii="Arial" w:cs="Arial" w:eastAsia="Arial" w:hAnsi="Arial"/>
                  <w:sz w:val="18"/>
                  <w:szCs w:val="18"/>
                  <w:color w:val="0000EE"/>
                  <w:w w:val="90"/>
                </w:rPr>
                <w:t>License and Co-Development Agreement by and between Genevant Sciences GmbH and BioNTech RNA Pharmaceuticals GmbH,</w:t>
              </w:r>
            </w:hyperlink>
          </w:p>
        </w:tc>
        <w:tc>
          <w:tcPr>
            <w:tcW w:w="260" w:type="dxa"/>
            <w:vAlign w:val="bottom"/>
            <w:gridSpan w:val="6"/>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23">
              <w:r>
                <w:rPr>
                  <w:rFonts w:ascii="Arial" w:cs="Arial" w:eastAsia="Arial" w:hAnsi="Arial"/>
                  <w:sz w:val="18"/>
                  <w:szCs w:val="18"/>
                  <w:color w:val="0000EE"/>
                  <w:w w:val="92"/>
                </w:rPr>
                <w:t>dated July 4, 2018</w:t>
              </w:r>
            </w:hyperlink>
          </w:p>
        </w:tc>
        <w:tc>
          <w:tcPr>
            <w:tcW w:w="8320" w:type="dxa"/>
            <w:vAlign w:val="bottom"/>
            <w:gridSpan w:val="29"/>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4"/>
                <w:szCs w:val="24"/>
                <w:color w:val="auto"/>
              </w:rPr>
            </w:pPr>
          </w:p>
        </w:tc>
        <w:tc>
          <w:tcPr>
            <w:tcW w:w="9400" w:type="dxa"/>
            <w:vAlign w:val="bottom"/>
            <w:tcBorders>
              <w:bottom w:val="single" w:sz="8" w:color="0000EE"/>
            </w:tcBorders>
            <w:gridSpan w:val="26"/>
          </w:tcPr>
          <w:p>
            <w:pPr>
              <w:spacing w:after="0"/>
              <w:rPr>
                <w:rFonts w:ascii="Arial" w:cs="Arial" w:eastAsia="Arial" w:hAnsi="Arial"/>
                <w:sz w:val="18"/>
                <w:szCs w:val="18"/>
                <w:color w:val="0000EE"/>
                <w:w w:val="90"/>
              </w:rPr>
            </w:pPr>
            <w:hyperlink r:id="rId524">
              <w:r>
                <w:rPr>
                  <w:rFonts w:ascii="Arial" w:cs="Arial" w:eastAsia="Arial" w:hAnsi="Arial"/>
                  <w:sz w:val="18"/>
                  <w:szCs w:val="18"/>
                  <w:color w:val="0000EE"/>
                  <w:w w:val="90"/>
                </w:rPr>
                <w:t>Research Collaboration and License Agreement by and among the Registrant, BioNTech RNA Pharmaceuticals GmbH and Pfizer,</w:t>
              </w:r>
            </w:hyperlink>
          </w:p>
        </w:tc>
        <w:tc>
          <w:tcPr>
            <w:tcW w:w="300" w:type="dxa"/>
            <w:vAlign w:val="bottom"/>
            <w:gridSpan w:val="7"/>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3"/>
          </w:tcPr>
          <w:p>
            <w:pPr>
              <w:spacing w:after="0" w:line="196" w:lineRule="exact"/>
              <w:rPr>
                <w:rFonts w:ascii="Arial" w:cs="Arial" w:eastAsia="Arial" w:hAnsi="Arial"/>
                <w:sz w:val="18"/>
                <w:szCs w:val="18"/>
                <w:color w:val="0000EE"/>
              </w:rPr>
            </w:pPr>
            <w:hyperlink r:id="rId524">
              <w:r>
                <w:rPr>
                  <w:rFonts w:ascii="Arial" w:cs="Arial" w:eastAsia="Arial" w:hAnsi="Arial"/>
                  <w:sz w:val="18"/>
                  <w:szCs w:val="18"/>
                  <w:color w:val="0000EE"/>
                </w:rPr>
                <w:t>Inc., dated July 20, 2018</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60" w:type="dxa"/>
            <w:vAlign w:val="bottom"/>
            <w:gridSpan w:val="14"/>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c>
          <w:tcPr>
            <w:tcW w:w="8820" w:type="dxa"/>
            <w:vAlign w:val="bottom"/>
            <w:tcBorders>
              <w:bottom w:val="single" w:sz="8" w:color="0000EE"/>
            </w:tcBorders>
            <w:gridSpan w:val="16"/>
          </w:tcPr>
          <w:p>
            <w:pPr>
              <w:spacing w:after="0"/>
              <w:rPr>
                <w:rFonts w:ascii="Arial" w:cs="Arial" w:eastAsia="Arial" w:hAnsi="Arial"/>
                <w:sz w:val="18"/>
                <w:szCs w:val="18"/>
                <w:color w:val="0000EE"/>
                <w:w w:val="91"/>
              </w:rPr>
            </w:pPr>
            <w:hyperlink r:id="rId525">
              <w:r>
                <w:rPr>
                  <w:rFonts w:ascii="Arial" w:cs="Arial" w:eastAsia="Arial" w:hAnsi="Arial"/>
                  <w:sz w:val="18"/>
                  <w:szCs w:val="18"/>
                  <w:color w:val="0000EE"/>
                  <w:w w:val="91"/>
                </w:rPr>
                <w:t>Collaboration and License Agreement by and between the Trustees of the University of Pennsylvania and BioNTech RNA</w:t>
              </w:r>
            </w:hyperlink>
          </w:p>
        </w:tc>
        <w:tc>
          <w:tcPr>
            <w:tcW w:w="880" w:type="dxa"/>
            <w:vAlign w:val="bottom"/>
            <w:gridSpan w:val="17"/>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525">
              <w:r>
                <w:rPr>
                  <w:rFonts w:ascii="Arial" w:cs="Arial" w:eastAsia="Arial" w:hAnsi="Arial"/>
                  <w:sz w:val="18"/>
                  <w:szCs w:val="18"/>
                  <w:color w:val="0000EE"/>
                  <w:w w:val="89"/>
                </w:rPr>
                <w:t>Pharmaceuticals GmbH, dated October 9, 2018</w:t>
              </w:r>
            </w:hyperlink>
          </w:p>
        </w:tc>
        <w:tc>
          <w:tcPr>
            <w:tcW w:w="6280" w:type="dxa"/>
            <w:vAlign w:val="bottom"/>
            <w:gridSpan w:val="25"/>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4"/>
                <w:szCs w:val="24"/>
                <w:color w:val="auto"/>
              </w:rPr>
            </w:pPr>
          </w:p>
        </w:tc>
        <w:tc>
          <w:tcPr>
            <w:tcW w:w="9700" w:type="dxa"/>
            <w:vAlign w:val="bottom"/>
            <w:gridSpan w:val="33"/>
          </w:tcPr>
          <w:p>
            <w:pPr>
              <w:spacing w:after="0"/>
              <w:rPr>
                <w:rFonts w:ascii="Arial" w:cs="Arial" w:eastAsia="Arial" w:hAnsi="Arial"/>
                <w:sz w:val="18"/>
                <w:szCs w:val="18"/>
                <w:color w:val="0000EE"/>
              </w:rPr>
            </w:pPr>
            <w:hyperlink r:id="rId526">
              <w:r>
                <w:rPr>
                  <w:rFonts w:ascii="Arial" w:cs="Arial" w:eastAsia="Arial" w:hAnsi="Arial"/>
                  <w:sz w:val="18"/>
                  <w:szCs w:val="18"/>
                  <w:color w:val="0000EE"/>
                </w:rPr>
                <w:t>BioNTech Shareholders’ Agreement by and among the Spring 2019 Parties listed therein, dated August 30, 2019</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80" w:type="dxa"/>
            <w:vAlign w:val="bottom"/>
            <w:gridSpan w:val="1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gridSpan w:val="14"/>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4"/>
                <w:szCs w:val="24"/>
                <w:color w:val="auto"/>
              </w:rPr>
            </w:pPr>
          </w:p>
        </w:tc>
        <w:tc>
          <w:tcPr>
            <w:tcW w:w="9040" w:type="dxa"/>
            <w:vAlign w:val="bottom"/>
            <w:tcBorders>
              <w:bottom w:val="single" w:sz="8" w:color="0000EE"/>
            </w:tcBorders>
            <w:gridSpan w:val="19"/>
          </w:tcPr>
          <w:p>
            <w:pPr>
              <w:spacing w:after="0"/>
              <w:rPr>
                <w:rFonts w:ascii="Arial" w:cs="Arial" w:eastAsia="Arial" w:hAnsi="Arial"/>
                <w:sz w:val="18"/>
                <w:szCs w:val="18"/>
                <w:color w:val="0000EE"/>
                <w:w w:val="89"/>
              </w:rPr>
            </w:pPr>
            <w:hyperlink r:id="rId527">
              <w:r>
                <w:rPr>
                  <w:rFonts w:ascii="Arial" w:cs="Arial" w:eastAsia="Arial" w:hAnsi="Arial"/>
                  <w:sz w:val="18"/>
                  <w:szCs w:val="18"/>
                  <w:color w:val="0000EE"/>
                  <w:w w:val="89"/>
                </w:rPr>
                <w:t>Sublease Agreement by and among the Registrant and Universitätsmedizin der Johannes Gutenberg-Universität Mainz, dated</w:t>
              </w:r>
            </w:hyperlink>
          </w:p>
        </w:tc>
        <w:tc>
          <w:tcPr>
            <w:tcW w:w="660" w:type="dxa"/>
            <w:vAlign w:val="bottom"/>
            <w:gridSpan w:val="1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3"/>
          </w:tcPr>
          <w:p>
            <w:pPr>
              <w:spacing w:after="0" w:line="196" w:lineRule="exact"/>
              <w:rPr>
                <w:rFonts w:ascii="Arial" w:cs="Arial" w:eastAsia="Arial" w:hAnsi="Arial"/>
                <w:sz w:val="18"/>
                <w:szCs w:val="18"/>
                <w:color w:val="0000EE"/>
              </w:rPr>
            </w:pPr>
            <w:hyperlink r:id="rId527">
              <w:r>
                <w:rPr>
                  <w:rFonts w:ascii="Arial" w:cs="Arial" w:eastAsia="Arial" w:hAnsi="Arial"/>
                  <w:sz w:val="18"/>
                  <w:szCs w:val="18"/>
                  <w:color w:val="0000EE"/>
                </w:rPr>
                <w:t>January 14, 2013</w:t>
              </w:r>
            </w:hyperlink>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900" w:type="dxa"/>
            <w:vAlign w:val="bottom"/>
            <w:gridSpan w:val="20"/>
          </w:tcPr>
          <w:p>
            <w:pPr>
              <w:ind w:left="19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7"/>
        </w:trPr>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w w:val="93"/>
              </w:rPr>
            </w:pPr>
            <w:hyperlink r:id="rId529">
              <w:r>
                <w:rPr>
                  <w:rFonts w:ascii="Arial" w:cs="Arial" w:eastAsia="Arial" w:hAnsi="Arial"/>
                  <w:sz w:val="18"/>
                  <w:szCs w:val="18"/>
                  <w:color w:val="0000EE"/>
                  <w:w w:val="93"/>
                </w:rPr>
                <w:t>Amendment to Sublease Agreement by and among the Registrant and Universitätsmedizin der Johannes Gutenberg-Universität</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29">
              <w:r>
                <w:rPr>
                  <w:rFonts w:ascii="Arial" w:cs="Arial" w:eastAsia="Arial" w:hAnsi="Arial"/>
                  <w:sz w:val="18"/>
                  <w:szCs w:val="18"/>
                  <w:color w:val="0000EE"/>
                  <w:w w:val="90"/>
                </w:rPr>
                <w:t>Mainz, dated July 5, 2014</w:t>
              </w:r>
            </w:hyperlink>
          </w:p>
        </w:tc>
        <w:tc>
          <w:tcPr>
            <w:tcW w:w="7280" w:type="dxa"/>
            <w:vAlign w:val="bottom"/>
            <w:tcBorders>
              <w:top w:val="single" w:sz="8" w:color="0000EE"/>
            </w:tcBorders>
            <w:gridSpan w:val="23"/>
          </w:tcPr>
          <w:p>
            <w:pPr>
              <w:spacing w:after="0"/>
              <w:rPr>
                <w:sz w:val="17"/>
                <w:szCs w:val="17"/>
                <w:color w:val="auto"/>
              </w:rPr>
            </w:pPr>
          </w:p>
        </w:tc>
        <w:tc>
          <w:tcPr>
            <w:tcW w:w="400" w:type="dxa"/>
            <w:vAlign w:val="bottom"/>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w w:val="93"/>
              </w:rPr>
            </w:pPr>
            <w:hyperlink r:id="rId530">
              <w:r>
                <w:rPr>
                  <w:rFonts w:ascii="Arial" w:cs="Arial" w:eastAsia="Arial" w:hAnsi="Arial"/>
                  <w:sz w:val="18"/>
                  <w:szCs w:val="18"/>
                  <w:color w:val="0000EE"/>
                  <w:w w:val="93"/>
                </w:rPr>
                <w:t>Amendment to Sublease Agreement by and among the Registrant and Universitätsmedizin der Johannes Gutenberg-Universität</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530">
              <w:r>
                <w:rPr>
                  <w:rFonts w:ascii="Arial" w:cs="Arial" w:eastAsia="Arial" w:hAnsi="Arial"/>
                  <w:sz w:val="18"/>
                  <w:szCs w:val="18"/>
                  <w:color w:val="0000EE"/>
                </w:rPr>
                <w:t>Mainz, dated June 8, 2015</w:t>
              </w:r>
            </w:hyperlink>
          </w:p>
        </w:tc>
        <w:tc>
          <w:tcPr>
            <w:tcW w:w="40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w w:val="93"/>
              </w:rPr>
            </w:pPr>
            <w:hyperlink r:id="rId531">
              <w:r>
                <w:rPr>
                  <w:rFonts w:ascii="Arial" w:cs="Arial" w:eastAsia="Arial" w:hAnsi="Arial"/>
                  <w:sz w:val="18"/>
                  <w:szCs w:val="18"/>
                  <w:color w:val="0000EE"/>
                  <w:w w:val="93"/>
                </w:rPr>
                <w:t>Amendment to Sublease Agreement by and among the Registrant and Universitätsmedizin der Johannes Gutenberg-Universität</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531">
              <w:r>
                <w:rPr>
                  <w:rFonts w:ascii="Arial" w:cs="Arial" w:eastAsia="Arial" w:hAnsi="Arial"/>
                  <w:sz w:val="18"/>
                  <w:szCs w:val="18"/>
                  <w:color w:val="0000EE"/>
                  <w:w w:val="89"/>
                </w:rPr>
                <w:t>Mainz, dated January 18, 2017</w:t>
              </w:r>
            </w:hyperlink>
          </w:p>
        </w:tc>
        <w:tc>
          <w:tcPr>
            <w:tcW w:w="6920" w:type="dxa"/>
            <w:vAlign w:val="bottom"/>
            <w:tcBorders>
              <w:top w:val="single" w:sz="8" w:color="0000EE"/>
            </w:tcBorders>
            <w:gridSpan w:val="20"/>
          </w:tcPr>
          <w:p>
            <w:pPr>
              <w:spacing w:after="0"/>
              <w:rPr>
                <w:sz w:val="17"/>
                <w:szCs w:val="17"/>
                <w:color w:val="auto"/>
              </w:rPr>
            </w:pPr>
          </w:p>
        </w:tc>
        <w:tc>
          <w:tcPr>
            <w:tcW w:w="400" w:type="dxa"/>
            <w:vAlign w:val="bottom"/>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10.25*†</w:t>
            </w:r>
          </w:p>
        </w:tc>
        <w:tc>
          <w:tcPr>
            <w:tcW w:w="560" w:type="dxa"/>
            <w:vAlign w:val="bottom"/>
          </w:tcPr>
          <w:p>
            <w:pPr>
              <w:spacing w:after="0"/>
              <w:rPr>
                <w:sz w:val="24"/>
                <w:szCs w:val="24"/>
                <w:color w:val="auto"/>
              </w:rPr>
            </w:pPr>
          </w:p>
        </w:tc>
        <w:tc>
          <w:tcPr>
            <w:tcW w:w="6660" w:type="dxa"/>
            <w:vAlign w:val="bottom"/>
            <w:tcBorders>
              <w:bottom w:val="single" w:sz="8" w:color="0000EE"/>
            </w:tcBorders>
            <w:gridSpan w:val="13"/>
          </w:tcPr>
          <w:p>
            <w:pPr>
              <w:spacing w:after="0"/>
              <w:rPr>
                <w:rFonts w:ascii="Arial" w:cs="Arial" w:eastAsia="Arial" w:hAnsi="Arial"/>
                <w:sz w:val="18"/>
                <w:szCs w:val="18"/>
                <w:color w:val="0000EE"/>
                <w:w w:val="89"/>
              </w:rPr>
            </w:pPr>
            <w:hyperlink r:id="rId532">
              <w:r>
                <w:rPr>
                  <w:rFonts w:ascii="Arial" w:cs="Arial" w:eastAsia="Arial" w:hAnsi="Arial"/>
                  <w:sz w:val="18"/>
                  <w:szCs w:val="18"/>
                  <w:color w:val="0000EE"/>
                  <w:w w:val="89"/>
                </w:rPr>
                <w:t>Lease Agreement by and among the Registrant and Wolfram Richter, dated August 17, 2011</w:t>
              </w:r>
            </w:hyperlink>
          </w:p>
        </w:tc>
        <w:tc>
          <w:tcPr>
            <w:tcW w:w="2900" w:type="dxa"/>
            <w:vAlign w:val="bottom"/>
            <w:gridSpan w:val="14"/>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4"/>
                <w:szCs w:val="24"/>
                <w:color w:val="auto"/>
              </w:rPr>
            </w:pPr>
          </w:p>
        </w:tc>
        <w:tc>
          <w:tcPr>
            <w:tcW w:w="8360" w:type="dxa"/>
            <w:vAlign w:val="bottom"/>
            <w:tcBorders>
              <w:bottom w:val="single" w:sz="8" w:color="0000EE"/>
            </w:tcBorders>
            <w:gridSpan w:val="21"/>
          </w:tcPr>
          <w:p>
            <w:pPr>
              <w:spacing w:after="0"/>
              <w:rPr>
                <w:rFonts w:ascii="Arial" w:cs="Arial" w:eastAsia="Arial" w:hAnsi="Arial"/>
                <w:sz w:val="18"/>
                <w:szCs w:val="18"/>
                <w:color w:val="0000EE"/>
                <w:w w:val="90"/>
              </w:rPr>
            </w:pPr>
            <w:hyperlink r:id="rId533">
              <w:r>
                <w:rPr>
                  <w:rFonts w:ascii="Arial" w:cs="Arial" w:eastAsia="Arial" w:hAnsi="Arial"/>
                  <w:sz w:val="18"/>
                  <w:szCs w:val="18"/>
                  <w:color w:val="0000EE"/>
                  <w:w w:val="90"/>
                </w:rPr>
                <w:t>Amendment No. 1 to Lease Agreement by and among the Registrant and Wolfram Richter, dated February 17, 2012</w:t>
              </w:r>
            </w:hyperlink>
          </w:p>
        </w:tc>
        <w:tc>
          <w:tcPr>
            <w:tcW w:w="1200" w:type="dxa"/>
            <w:vAlign w:val="bottom"/>
            <w:gridSpan w:val="6"/>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24"/>
                <w:szCs w:val="24"/>
                <w:color w:val="auto"/>
              </w:rPr>
            </w:pPr>
          </w:p>
        </w:tc>
        <w:tc>
          <w:tcPr>
            <w:tcW w:w="8280" w:type="dxa"/>
            <w:vAlign w:val="bottom"/>
            <w:tcBorders>
              <w:bottom w:val="single" w:sz="8" w:color="0000EE"/>
            </w:tcBorders>
            <w:gridSpan w:val="20"/>
          </w:tcPr>
          <w:p>
            <w:pPr>
              <w:spacing w:after="0"/>
              <w:rPr>
                <w:rFonts w:ascii="Arial" w:cs="Arial" w:eastAsia="Arial" w:hAnsi="Arial"/>
                <w:sz w:val="18"/>
                <w:szCs w:val="18"/>
                <w:color w:val="0000EE"/>
                <w:w w:val="90"/>
              </w:rPr>
            </w:pPr>
            <w:hyperlink r:id="rId534">
              <w:r>
                <w:rPr>
                  <w:rFonts w:ascii="Arial" w:cs="Arial" w:eastAsia="Arial" w:hAnsi="Arial"/>
                  <w:sz w:val="18"/>
                  <w:szCs w:val="18"/>
                  <w:color w:val="0000EE"/>
                  <w:w w:val="90"/>
                </w:rPr>
                <w:t>Amendment No. 2 to Lease Agreement by and among the Registrant and Wolfram Richter, dated February 1, 2013</w:t>
              </w:r>
            </w:hyperlink>
          </w:p>
        </w:tc>
        <w:tc>
          <w:tcPr>
            <w:tcW w:w="1280" w:type="dxa"/>
            <w:vAlign w:val="bottom"/>
            <w:gridSpan w:val="7"/>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rPr>
            </w:pPr>
            <w:hyperlink r:id="rId535">
              <w:r>
                <w:rPr>
                  <w:rFonts w:ascii="Arial" w:cs="Arial" w:eastAsia="Arial" w:hAnsi="Arial"/>
                  <w:sz w:val="18"/>
                  <w:szCs w:val="18"/>
                  <w:color w:val="0000EE"/>
                </w:rPr>
                <w:t>Amendment No. 3 to Lease Agreement by and among the Registrant and Wolfram Richter, dated March 6, 2013</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rPr>
            </w:pPr>
            <w:hyperlink r:id="rId536">
              <w:r>
                <w:rPr>
                  <w:rFonts w:ascii="Arial" w:cs="Arial" w:eastAsia="Arial" w:hAnsi="Arial"/>
                  <w:sz w:val="18"/>
                  <w:szCs w:val="18"/>
                  <w:color w:val="0000EE"/>
                </w:rPr>
                <w:t>Amendment No. 4 to Lease Agreement by and among the Registrant and Wolfram Richter, dated December 10, 2013</w:t>
              </w:r>
            </w:hyperlink>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4"/>
                <w:szCs w:val="24"/>
                <w:color w:val="auto"/>
              </w:rPr>
            </w:pPr>
          </w:p>
        </w:tc>
        <w:tc>
          <w:tcPr>
            <w:tcW w:w="81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537">
              <w:r>
                <w:rPr>
                  <w:rFonts w:ascii="Arial" w:cs="Arial" w:eastAsia="Arial" w:hAnsi="Arial"/>
                  <w:sz w:val="18"/>
                  <w:szCs w:val="18"/>
                  <w:color w:val="0000EE"/>
                  <w:w w:val="90"/>
                </w:rPr>
                <w:t>Amendment No. 5 to Lease Agreement by and among the Registrant and Wolfram Richter, dated March 29, 2016</w:t>
              </w:r>
            </w:hyperlink>
          </w:p>
        </w:tc>
        <w:tc>
          <w:tcPr>
            <w:tcW w:w="260" w:type="dxa"/>
            <w:vAlign w:val="bottom"/>
            <w:tcBorders>
              <w:top w:val="single" w:sz="8" w:color="0000EE"/>
            </w:tcBorders>
            <w:gridSpan w:val="5"/>
          </w:tcPr>
          <w:p>
            <w:pPr>
              <w:spacing w:after="0"/>
              <w:rPr>
                <w:sz w:val="24"/>
                <w:szCs w:val="24"/>
                <w:color w:val="auto"/>
              </w:rPr>
            </w:pPr>
          </w:p>
        </w:tc>
        <w:tc>
          <w:tcPr>
            <w:tcW w:w="1120" w:type="dxa"/>
            <w:vAlign w:val="bottom"/>
            <w:gridSpan w:val="5"/>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24"/>
                <w:szCs w:val="24"/>
                <w:color w:val="auto"/>
              </w:rPr>
            </w:pPr>
          </w:p>
        </w:tc>
        <w:tc>
          <w:tcPr>
            <w:tcW w:w="8200" w:type="dxa"/>
            <w:vAlign w:val="bottom"/>
            <w:tcBorders>
              <w:bottom w:val="single" w:sz="8" w:color="0000EE"/>
            </w:tcBorders>
            <w:gridSpan w:val="18"/>
          </w:tcPr>
          <w:p>
            <w:pPr>
              <w:spacing w:after="0"/>
              <w:rPr>
                <w:rFonts w:ascii="Arial" w:cs="Arial" w:eastAsia="Arial" w:hAnsi="Arial"/>
                <w:sz w:val="18"/>
                <w:szCs w:val="18"/>
                <w:color w:val="0000EE"/>
                <w:w w:val="90"/>
              </w:rPr>
            </w:pPr>
            <w:hyperlink r:id="rId538">
              <w:r>
                <w:rPr>
                  <w:rFonts w:ascii="Arial" w:cs="Arial" w:eastAsia="Arial" w:hAnsi="Arial"/>
                  <w:sz w:val="18"/>
                  <w:szCs w:val="18"/>
                  <w:color w:val="0000EE"/>
                  <w:w w:val="90"/>
                </w:rPr>
                <w:t>Amendment No. 6 to Lease Agreement by and among the Registrant and Wolfram Richter, dated October 6, 2017</w:t>
              </w:r>
            </w:hyperlink>
          </w:p>
        </w:tc>
        <w:tc>
          <w:tcPr>
            <w:tcW w:w="1360" w:type="dxa"/>
            <w:vAlign w:val="bottom"/>
            <w:gridSpan w:val="9"/>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rPr>
            </w:pPr>
            <w:hyperlink r:id="rId539">
              <w:r>
                <w:rPr>
                  <w:rFonts w:ascii="Arial" w:cs="Arial" w:eastAsia="Arial" w:hAnsi="Arial"/>
                  <w:sz w:val="18"/>
                  <w:szCs w:val="18"/>
                  <w:color w:val="0000EE"/>
                </w:rPr>
                <w:t>Lease Agreement by and among the Registrant and Wista-Management GmbH, dated April 12, 2005</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10.33*†</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w w:val="98"/>
              </w:rPr>
            </w:pPr>
            <w:hyperlink r:id="rId540">
              <w:r>
                <w:rPr>
                  <w:rFonts w:ascii="Arial" w:cs="Arial" w:eastAsia="Arial" w:hAnsi="Arial"/>
                  <w:sz w:val="18"/>
                  <w:szCs w:val="18"/>
                  <w:color w:val="0000EE"/>
                  <w:w w:val="98"/>
                </w:rPr>
                <w:t>Amendment to Lease Agreement by and among the Registrant and Wista-Management GmbH, dated December 27, 2018</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10.34*†</w:t>
            </w:r>
          </w:p>
        </w:tc>
        <w:tc>
          <w:tcPr>
            <w:tcW w:w="560" w:type="dxa"/>
            <w:vAlign w:val="bottom"/>
          </w:tcPr>
          <w:p>
            <w:pPr>
              <w:spacing w:after="0"/>
              <w:rPr>
                <w:sz w:val="24"/>
                <w:szCs w:val="24"/>
                <w:color w:val="auto"/>
              </w:rPr>
            </w:pPr>
          </w:p>
        </w:tc>
        <w:tc>
          <w:tcPr>
            <w:tcW w:w="9560" w:type="dxa"/>
            <w:vAlign w:val="bottom"/>
            <w:tcBorders>
              <w:bottom w:val="single" w:sz="8" w:color="0000EE"/>
            </w:tcBorders>
            <w:gridSpan w:val="27"/>
          </w:tcPr>
          <w:p>
            <w:pPr>
              <w:spacing w:after="0"/>
              <w:rPr>
                <w:rFonts w:ascii="Arial" w:cs="Arial" w:eastAsia="Arial" w:hAnsi="Arial"/>
                <w:sz w:val="18"/>
                <w:szCs w:val="18"/>
                <w:color w:val="0000EE"/>
                <w:w w:val="91"/>
              </w:rPr>
            </w:pPr>
            <w:hyperlink r:id="rId541">
              <w:r>
                <w:rPr>
                  <w:rFonts w:ascii="Arial" w:cs="Arial" w:eastAsia="Arial" w:hAnsi="Arial"/>
                  <w:sz w:val="18"/>
                  <w:szCs w:val="18"/>
                  <w:color w:val="0000EE"/>
                  <w:w w:val="91"/>
                </w:rPr>
                <w:t>Loan Agreement by and between BioNTech Innovative Manufacturing Services GmbH and Deutsche Bank AG dated November 21,</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541">
              <w:r>
                <w:rPr>
                  <w:rFonts w:ascii="Arial" w:cs="Arial" w:eastAsia="Arial" w:hAnsi="Arial"/>
                  <w:sz w:val="18"/>
                  <w:szCs w:val="18"/>
                  <w:color w:val="0000EE"/>
                  <w:w w:val="84"/>
                </w:rPr>
                <w:t>2017</w:t>
              </w:r>
            </w:hyperlink>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10.35*†</w:t>
            </w:r>
          </w:p>
        </w:tc>
        <w:tc>
          <w:tcPr>
            <w:tcW w:w="560" w:type="dxa"/>
            <w:vAlign w:val="bottom"/>
          </w:tcPr>
          <w:p>
            <w:pPr>
              <w:spacing w:after="0"/>
              <w:rPr>
                <w:sz w:val="24"/>
                <w:szCs w:val="24"/>
                <w:color w:val="auto"/>
              </w:rPr>
            </w:pPr>
          </w:p>
        </w:tc>
        <w:tc>
          <w:tcPr>
            <w:tcW w:w="8120" w:type="dxa"/>
            <w:vAlign w:val="bottom"/>
            <w:tcBorders>
              <w:bottom w:val="single" w:sz="8" w:color="0000EE"/>
            </w:tcBorders>
            <w:gridSpan w:val="16"/>
          </w:tcPr>
          <w:p>
            <w:pPr>
              <w:spacing w:after="0"/>
              <w:rPr>
                <w:rFonts w:ascii="Arial" w:cs="Arial" w:eastAsia="Arial" w:hAnsi="Arial"/>
                <w:sz w:val="18"/>
                <w:szCs w:val="18"/>
                <w:color w:val="0000EE"/>
                <w:w w:val="89"/>
              </w:rPr>
            </w:pPr>
            <w:hyperlink r:id="rId542">
              <w:r>
                <w:rPr>
                  <w:rFonts w:ascii="Arial" w:cs="Arial" w:eastAsia="Arial" w:hAnsi="Arial"/>
                  <w:sz w:val="18"/>
                  <w:szCs w:val="18"/>
                  <w:color w:val="0000EE"/>
                  <w:w w:val="89"/>
                </w:rPr>
                <w:t>Loan Agreement by and between JPT Peptides Technologies GmbH and Deutsche Bank AG dated July 18, 2018</w:t>
              </w:r>
            </w:hyperlink>
          </w:p>
        </w:tc>
        <w:tc>
          <w:tcPr>
            <w:tcW w:w="1440" w:type="dxa"/>
            <w:vAlign w:val="bottom"/>
            <w:gridSpan w:val="11"/>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10.36*†</w:t>
            </w:r>
          </w:p>
        </w:tc>
        <w:tc>
          <w:tcPr>
            <w:tcW w:w="560" w:type="dxa"/>
            <w:vAlign w:val="bottom"/>
          </w:tcPr>
          <w:p>
            <w:pPr>
              <w:spacing w:after="0"/>
              <w:rPr>
                <w:sz w:val="24"/>
                <w:szCs w:val="24"/>
                <w:color w:val="auto"/>
              </w:rPr>
            </w:pPr>
          </w:p>
        </w:tc>
        <w:tc>
          <w:tcPr>
            <w:tcW w:w="8640" w:type="dxa"/>
            <w:vAlign w:val="bottom"/>
            <w:tcBorders>
              <w:bottom w:val="single" w:sz="8" w:color="0000EE"/>
            </w:tcBorders>
            <w:gridSpan w:val="23"/>
          </w:tcPr>
          <w:p>
            <w:pPr>
              <w:spacing w:after="0"/>
              <w:rPr>
                <w:rFonts w:ascii="Arial" w:cs="Arial" w:eastAsia="Arial" w:hAnsi="Arial"/>
                <w:sz w:val="18"/>
                <w:szCs w:val="18"/>
                <w:color w:val="0000EE"/>
                <w:w w:val="90"/>
              </w:rPr>
            </w:pPr>
            <w:hyperlink r:id="rId543">
              <w:r>
                <w:rPr>
                  <w:rFonts w:ascii="Arial" w:cs="Arial" w:eastAsia="Arial" w:hAnsi="Arial"/>
                  <w:sz w:val="18"/>
                  <w:szCs w:val="18"/>
                  <w:color w:val="0000EE"/>
                  <w:w w:val="90"/>
                </w:rPr>
                <w:t>Investment Agreement by and between the Registrant and the Bill &amp; Melinda Gates Foundation, dated August 30, 2019</w:t>
              </w:r>
            </w:hyperlink>
          </w:p>
        </w:tc>
        <w:tc>
          <w:tcPr>
            <w:tcW w:w="920" w:type="dxa"/>
            <w:vAlign w:val="bottom"/>
            <w:gridSpan w:val="4"/>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10.37*†</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rPr>
            </w:pPr>
            <w:hyperlink r:id="rId544">
              <w:r>
                <w:rPr>
                  <w:rFonts w:ascii="Arial" w:cs="Arial" w:eastAsia="Arial" w:hAnsi="Arial"/>
                  <w:sz w:val="18"/>
                  <w:szCs w:val="18"/>
                  <w:color w:val="0000EE"/>
                </w:rPr>
                <w:t>Letter Agreement by and between the Registrant and the Bill &amp; Melinda Gates Foundation, dated August 30, 2019</w:t>
              </w:r>
            </w:hyperlink>
          </w:p>
        </w:tc>
      </w:tr>
      <w:tr>
        <w:trPr>
          <w:trHeight w:val="20"/>
        </w:trPr>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10.38*†</w:t>
            </w:r>
          </w:p>
        </w:tc>
        <w:tc>
          <w:tcPr>
            <w:tcW w:w="560" w:type="dxa"/>
            <w:vAlign w:val="bottom"/>
          </w:tcPr>
          <w:p>
            <w:pPr>
              <w:spacing w:after="0"/>
              <w:rPr>
                <w:sz w:val="24"/>
                <w:szCs w:val="24"/>
                <w:color w:val="auto"/>
              </w:rPr>
            </w:pPr>
          </w:p>
        </w:tc>
        <w:tc>
          <w:tcPr>
            <w:tcW w:w="9560" w:type="dxa"/>
            <w:vAlign w:val="bottom"/>
            <w:gridSpan w:val="27"/>
          </w:tcPr>
          <w:p>
            <w:pPr>
              <w:spacing w:after="0"/>
              <w:rPr>
                <w:rFonts w:ascii="Arial" w:cs="Arial" w:eastAsia="Arial" w:hAnsi="Arial"/>
                <w:sz w:val="18"/>
                <w:szCs w:val="18"/>
                <w:color w:val="0000EE"/>
                <w:w w:val="97"/>
              </w:rPr>
            </w:pPr>
            <w:hyperlink r:id="rId545">
              <w:r>
                <w:rPr>
                  <w:rFonts w:ascii="Arial" w:cs="Arial" w:eastAsia="Arial" w:hAnsi="Arial"/>
                  <w:sz w:val="18"/>
                  <w:szCs w:val="18"/>
                  <w:color w:val="0000EE"/>
                  <w:w w:val="97"/>
                </w:rPr>
                <w:t>Drug Discovery Research, Development and Commercialization Agreement by and between the Registrant and Eli Lilly and</w:t>
              </w:r>
            </w:hyperlink>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45">
              <w:r>
                <w:rPr>
                  <w:rFonts w:ascii="Arial" w:cs="Arial" w:eastAsia="Arial" w:hAnsi="Arial"/>
                  <w:sz w:val="18"/>
                  <w:szCs w:val="18"/>
                  <w:color w:val="0000EE"/>
                  <w:w w:val="89"/>
                </w:rPr>
                <w:t>Company, dated May 11, 2015</w:t>
              </w:r>
            </w:hyperlink>
          </w:p>
        </w:tc>
        <w:tc>
          <w:tcPr>
            <w:tcW w:w="6760" w:type="dxa"/>
            <w:vAlign w:val="bottom"/>
            <w:tcBorders>
              <w:top w:val="single" w:sz="8" w:color="0000EE"/>
            </w:tcBorders>
            <w:gridSpan w:val="20"/>
          </w:tcPr>
          <w:p>
            <w:pPr>
              <w:spacing w:after="0"/>
              <w:rPr>
                <w:sz w:val="17"/>
                <w:szCs w:val="17"/>
                <w:color w:val="auto"/>
              </w:rPr>
            </w:pPr>
          </w:p>
        </w:tc>
        <w:tc>
          <w:tcPr>
            <w:tcW w:w="580" w:type="dxa"/>
            <w:vAlign w:val="bottom"/>
            <w:gridSpan w:val="2"/>
          </w:tcPr>
          <w:p>
            <w:pPr>
              <w:spacing w:after="0"/>
              <w:rPr>
                <w:sz w:val="17"/>
                <w:szCs w:val="17"/>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16.1*</w:t>
            </w:r>
          </w:p>
        </w:tc>
        <w:tc>
          <w:tcPr>
            <w:tcW w:w="56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Arial" w:cs="Arial" w:eastAsia="Arial" w:hAnsi="Arial"/>
                <w:sz w:val="18"/>
                <w:szCs w:val="18"/>
                <w:color w:val="0000EE"/>
                <w:w w:val="93"/>
              </w:rPr>
            </w:pPr>
            <w:hyperlink r:id="rId546">
              <w:r>
                <w:rPr>
                  <w:rFonts w:ascii="Arial" w:cs="Arial" w:eastAsia="Arial" w:hAnsi="Arial"/>
                  <w:sz w:val="18"/>
                  <w:szCs w:val="18"/>
                  <w:color w:val="0000EE"/>
                  <w:w w:val="93"/>
                </w:rPr>
                <w:t>Letter from Baker Tilly GmbH &amp; Co. KG Wirtschaftsprüfungsgesellschaft</w:t>
              </w:r>
            </w:hyperlink>
          </w:p>
        </w:tc>
        <w:tc>
          <w:tcPr>
            <w:tcW w:w="4180" w:type="dxa"/>
            <w:vAlign w:val="bottom"/>
            <w:gridSpan w:val="16"/>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1"/>
              </w:rPr>
            </w:pPr>
            <w:hyperlink r:id="rId547">
              <w:r>
                <w:rPr>
                  <w:rFonts w:ascii="Arial" w:cs="Arial" w:eastAsia="Arial" w:hAnsi="Arial"/>
                  <w:sz w:val="18"/>
                  <w:szCs w:val="18"/>
                  <w:color w:val="0000EE"/>
                  <w:w w:val="91"/>
                </w:rPr>
                <w:t>List of Subsidiaries of the Registrant</w:t>
              </w:r>
            </w:hyperlink>
          </w:p>
        </w:tc>
        <w:tc>
          <w:tcPr>
            <w:tcW w:w="6900" w:type="dxa"/>
            <w:vAlign w:val="bottom"/>
            <w:gridSpan w:val="20"/>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60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Consent of Ernst &amp; Young GmbH, Independent Registered Public Accounting Firm</w:t>
            </w:r>
          </w:p>
        </w:tc>
        <w:tc>
          <w:tcPr>
            <w:tcW w:w="3520" w:type="dxa"/>
            <w:vAlign w:val="bottom"/>
            <w:gridSpan w:val="15"/>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320" w:type="dxa"/>
            <w:vAlign w:val="bottom"/>
            <w:tcBorders>
              <w:bottom w:val="single" w:sz="8" w:color="0000EE"/>
            </w:tcBorders>
            <w:gridSpan w:val="10"/>
          </w:tcPr>
          <w:p>
            <w:pPr>
              <w:spacing w:after="0"/>
              <w:rPr>
                <w:rFonts w:ascii="Arial" w:cs="Arial" w:eastAsia="Arial" w:hAnsi="Arial"/>
                <w:sz w:val="18"/>
                <w:szCs w:val="18"/>
                <w:color w:val="0000EE"/>
                <w:w w:val="92"/>
              </w:rPr>
            </w:pPr>
            <w:hyperlink r:id="rId548">
              <w:r>
                <w:rPr>
                  <w:rFonts w:ascii="Arial" w:cs="Arial" w:eastAsia="Arial" w:hAnsi="Arial"/>
                  <w:sz w:val="18"/>
                  <w:szCs w:val="18"/>
                  <w:color w:val="0000EE"/>
                  <w:w w:val="92"/>
                </w:rPr>
                <w:t>Consent of Freshfields Bruckhaus Deringer LLP (included in Exhibit 5.1)</w:t>
              </w:r>
            </w:hyperlink>
          </w:p>
        </w:tc>
        <w:tc>
          <w:tcPr>
            <w:tcW w:w="4240" w:type="dxa"/>
            <w:vAlign w:val="bottom"/>
            <w:gridSpan w:val="17"/>
          </w:tcPr>
          <w:p>
            <w:pPr>
              <w:spacing w:after="0"/>
              <w:rPr>
                <w:sz w:val="24"/>
                <w:szCs w:val="24"/>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420" w:type="dxa"/>
            <w:vAlign w:val="bottom"/>
            <w:tcBorders>
              <w:bottom w:val="single" w:sz="8" w:color="0000EE"/>
            </w:tcBorders>
            <w:gridSpan w:val="2"/>
          </w:tcPr>
          <w:p>
            <w:pPr>
              <w:spacing w:after="0"/>
              <w:rPr>
                <w:rFonts w:ascii="Arial" w:cs="Arial" w:eastAsia="Arial" w:hAnsi="Arial"/>
                <w:sz w:val="18"/>
                <w:szCs w:val="18"/>
                <w:color w:val="0000EE"/>
                <w:w w:val="92"/>
              </w:rPr>
            </w:pPr>
            <w:hyperlink r:id="rId549">
              <w:r>
                <w:rPr>
                  <w:rFonts w:ascii="Arial" w:cs="Arial" w:eastAsia="Arial" w:hAnsi="Arial"/>
                  <w:sz w:val="18"/>
                  <w:szCs w:val="18"/>
                  <w:color w:val="0000EE"/>
                  <w:w w:val="92"/>
                </w:rPr>
                <w:t>Powers of Attorney</w:t>
              </w:r>
            </w:hyperlink>
          </w:p>
        </w:tc>
        <w:tc>
          <w:tcPr>
            <w:tcW w:w="8140" w:type="dxa"/>
            <w:vAlign w:val="bottom"/>
            <w:gridSpan w:val="2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7632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200" w:right="9460" w:firstLine="4"/>
        <w:spacing w:after="0" w:line="291" w:lineRule="auto"/>
        <w:tabs>
          <w:tab w:leader="none" w:pos="416" w:val="left"/>
        </w:tabs>
        <w:numPr>
          <w:ilvl w:val="0"/>
          <w:numId w:val="339"/>
        </w:numPr>
        <w:rPr>
          <w:rFonts w:ascii="Arial" w:cs="Arial" w:eastAsia="Arial" w:hAnsi="Arial"/>
          <w:sz w:val="16"/>
          <w:szCs w:val="16"/>
          <w:color w:val="auto"/>
        </w:rPr>
      </w:pPr>
      <w:r>
        <w:rPr>
          <w:rFonts w:ascii="Arial" w:cs="Arial" w:eastAsia="Arial" w:hAnsi="Arial"/>
          <w:sz w:val="16"/>
          <w:szCs w:val="16"/>
          <w:color w:val="auto"/>
        </w:rPr>
        <w:t>Filed previously. ** Filed herewith.</w:t>
      </w:r>
    </w:p>
    <w:p>
      <w:pPr>
        <w:ind w:left="420" w:right="520" w:hanging="216"/>
        <w:spacing w:after="0" w:line="261" w:lineRule="auto"/>
        <w:rPr>
          <w:rFonts w:ascii="Arial" w:cs="Arial" w:eastAsia="Arial" w:hAnsi="Arial"/>
          <w:sz w:val="16"/>
          <w:szCs w:val="16"/>
          <w:color w:val="auto"/>
        </w:rPr>
      </w:pPr>
      <w:r>
        <w:rPr>
          <w:rFonts w:ascii="Arial" w:cs="Arial" w:eastAsia="Arial" w:hAnsi="Arial"/>
          <w:sz w:val="18"/>
          <w:szCs w:val="18"/>
          <w:color w:val="auto"/>
        </w:rPr>
        <w:t>† Certain information has been excluded from the exhibit because it both (i) is not material and (ii) would likely cause competitive harm to the Registrant if publicly disclosed.</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640" w:right="100" w:firstLine="4"/>
        <w:spacing w:after="0" w:line="342" w:lineRule="auto"/>
        <w:tabs>
          <w:tab w:leader="none" w:pos="88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 w:lineRule="exact"/>
        <w:rPr>
          <w:rFonts w:ascii="Arial" w:cs="Arial" w:eastAsia="Arial" w:hAnsi="Arial"/>
          <w:sz w:val="16"/>
          <w:szCs w:val="16"/>
          <w:color w:val="auto"/>
        </w:rPr>
      </w:pPr>
    </w:p>
    <w:p>
      <w:pPr>
        <w:ind w:left="640" w:right="20" w:firstLine="4"/>
        <w:spacing w:after="0" w:line="271" w:lineRule="auto"/>
        <w:tabs>
          <w:tab w:leader="none" w:pos="89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70" w:lineRule="exact"/>
        <w:rPr>
          <w:rFonts w:ascii="Arial" w:cs="Arial" w:eastAsia="Arial" w:hAnsi="Arial"/>
          <w:sz w:val="17"/>
          <w:szCs w:val="17"/>
          <w:color w:val="auto"/>
        </w:rPr>
      </w:pPr>
    </w:p>
    <w:p>
      <w:pPr>
        <w:ind w:left="880" w:hanging="236"/>
        <w:spacing w:after="0"/>
        <w:tabs>
          <w:tab w:leader="none" w:pos="8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200" w:hanging="4"/>
        <w:spacing w:after="0" w:line="259" w:lineRule="auto"/>
        <w:tabs>
          <w:tab w:leader="none" w:pos="1455" w:val="left"/>
        </w:tabs>
        <w:numPr>
          <w:ilvl w:val="1"/>
          <w:numId w:val="34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1200" w:hanging="4"/>
        <w:spacing w:after="0" w:line="264" w:lineRule="auto"/>
        <w:tabs>
          <w:tab w:leader="none" w:pos="1455" w:val="left"/>
        </w:tabs>
        <w:numPr>
          <w:ilvl w:val="1"/>
          <w:numId w:val="3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Mainz, Germany on October 9, 2019.</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ind w:left="68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53873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Prof. Ugur Sahin, M.D.</w:t>
      </w:r>
    </w:p>
    <w:p>
      <w:pPr>
        <w:spacing w:after="0" w:line="23" w:lineRule="exact"/>
        <w:rPr>
          <w:sz w:val="20"/>
          <w:szCs w:val="20"/>
          <w:color w:val="auto"/>
        </w:rPr>
      </w:pPr>
    </w:p>
    <w:p>
      <w:pPr>
        <w:ind w:left="7220"/>
        <w:spacing w:after="0"/>
        <w:tabs>
          <w:tab w:leader="none" w:pos="78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30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94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2"/>
              </w:rPr>
              <w:t>/s/ Prof. Ugur Sahin, M.D.</w:t>
            </w: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Chief Executive Officer</w:t>
            </w:r>
          </w:p>
        </w:tc>
        <w:tc>
          <w:tcPr>
            <w:tcW w:w="1860" w:type="dxa"/>
            <w:vAlign w:val="bottom"/>
            <w:gridSpan w:val="3"/>
          </w:tcPr>
          <w:p>
            <w:pPr>
              <w:jc w:val="center"/>
              <w:ind w:left="593"/>
              <w:spacing w:after="0"/>
              <w:rPr>
                <w:sz w:val="20"/>
                <w:szCs w:val="20"/>
                <w:color w:val="auto"/>
              </w:rPr>
            </w:pPr>
            <w:r>
              <w:rPr>
                <w:rFonts w:ascii="Arial" w:cs="Arial" w:eastAsia="Arial" w:hAnsi="Arial"/>
                <w:sz w:val="18"/>
                <w:szCs w:val="18"/>
                <w:color w:val="auto"/>
                <w:w w:val="91"/>
              </w:rPr>
              <w:t>October 9, 2019</w:t>
            </w: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60" w:type="dxa"/>
            <w:vAlign w:val="bottom"/>
            <w:gridSpan w:val="4"/>
          </w:tcPr>
          <w:p>
            <w:pPr>
              <w:jc w:val="center"/>
              <w:ind w:right="420"/>
              <w:spacing w:after="0"/>
              <w:rPr>
                <w:sz w:val="20"/>
                <w:szCs w:val="20"/>
                <w:color w:val="auto"/>
              </w:rPr>
            </w:pPr>
            <w:r>
              <w:rPr>
                <w:rFonts w:ascii="Arial" w:cs="Arial" w:eastAsia="Arial" w:hAnsi="Arial"/>
                <w:sz w:val="18"/>
                <w:szCs w:val="18"/>
                <w:color w:val="auto"/>
                <w:w w:val="93"/>
              </w:rPr>
              <w:t>Prof. Ugur Sahin, M.D.</w:t>
            </w: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(principal executive officer)</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/s/ Dr. Sierk Poetting</w:t>
            </w: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Chief Financial Officer</w:t>
            </w:r>
          </w:p>
        </w:tc>
        <w:tc>
          <w:tcPr>
            <w:tcW w:w="1860" w:type="dxa"/>
            <w:vAlign w:val="bottom"/>
            <w:gridSpan w:val="3"/>
          </w:tcPr>
          <w:p>
            <w:pPr>
              <w:jc w:val="center"/>
              <w:ind w:left="593"/>
              <w:spacing w:after="0"/>
              <w:rPr>
                <w:sz w:val="20"/>
                <w:szCs w:val="20"/>
                <w:color w:val="auto"/>
              </w:rPr>
            </w:pPr>
            <w:r>
              <w:rPr>
                <w:rFonts w:ascii="Arial" w:cs="Arial" w:eastAsia="Arial" w:hAnsi="Arial"/>
                <w:sz w:val="18"/>
                <w:szCs w:val="18"/>
                <w:color w:val="auto"/>
                <w:w w:val="91"/>
              </w:rPr>
              <w:t>October 9, 2019</w:t>
            </w: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60" w:type="dxa"/>
            <w:vAlign w:val="bottom"/>
            <w:gridSpan w:val="4"/>
          </w:tcPr>
          <w:p>
            <w:pPr>
              <w:jc w:val="center"/>
              <w:ind w:right="420"/>
              <w:spacing w:after="0"/>
              <w:rPr>
                <w:sz w:val="20"/>
                <w:szCs w:val="20"/>
                <w:color w:val="auto"/>
              </w:rPr>
            </w:pPr>
            <w:r>
              <w:rPr>
                <w:rFonts w:ascii="Arial" w:cs="Arial" w:eastAsia="Arial" w:hAnsi="Arial"/>
                <w:sz w:val="18"/>
                <w:szCs w:val="18"/>
                <w:color w:val="auto"/>
                <w:w w:val="92"/>
              </w:rPr>
              <w:t>Dr. Sierk Poetting</w:t>
            </w: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(principal accounting officer)</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680" w:type="dxa"/>
            <w:vAlign w:val="bottom"/>
            <w:gridSpan w:val="4"/>
          </w:tcPr>
          <w:p>
            <w:pPr>
              <w:jc w:val="center"/>
              <w:ind w:left="221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Chair of the Supervisory Board</w:t>
            </w:r>
          </w:p>
        </w:tc>
        <w:tc>
          <w:tcPr>
            <w:tcW w:w="1860" w:type="dxa"/>
            <w:vAlign w:val="bottom"/>
            <w:gridSpan w:val="3"/>
          </w:tcPr>
          <w:p>
            <w:pPr>
              <w:jc w:val="center"/>
              <w:ind w:left="593"/>
              <w:spacing w:after="0"/>
              <w:rPr>
                <w:sz w:val="20"/>
                <w:szCs w:val="20"/>
                <w:color w:val="auto"/>
              </w:rPr>
            </w:pPr>
            <w:r>
              <w:rPr>
                <w:rFonts w:ascii="Arial" w:cs="Arial" w:eastAsia="Arial" w:hAnsi="Arial"/>
                <w:sz w:val="18"/>
                <w:szCs w:val="18"/>
                <w:color w:val="auto"/>
                <w:w w:val="91"/>
              </w:rPr>
              <w:t>October 9, 2019</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2"/>
              </w:rPr>
              <w:t>Helmut Jeggle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680" w:type="dxa"/>
            <w:vAlign w:val="bottom"/>
            <w:gridSpan w:val="4"/>
          </w:tcPr>
          <w:p>
            <w:pPr>
              <w:jc w:val="center"/>
              <w:ind w:left="221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93"/>
              <w:spacing w:after="0"/>
              <w:rPr>
                <w:sz w:val="20"/>
                <w:szCs w:val="20"/>
                <w:color w:val="auto"/>
              </w:rPr>
            </w:pPr>
            <w:r>
              <w:rPr>
                <w:rFonts w:ascii="Arial" w:cs="Arial" w:eastAsia="Arial" w:hAnsi="Arial"/>
                <w:sz w:val="18"/>
                <w:szCs w:val="18"/>
                <w:color w:val="auto"/>
                <w:w w:val="91"/>
              </w:rPr>
              <w:t>October 9, 2019</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2"/>
              </w:rPr>
              <w:t>Michael Motschmann</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680" w:type="dxa"/>
            <w:vAlign w:val="bottom"/>
            <w:gridSpan w:val="4"/>
          </w:tcPr>
          <w:p>
            <w:pPr>
              <w:jc w:val="center"/>
              <w:ind w:left="221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93"/>
              <w:spacing w:after="0"/>
              <w:rPr>
                <w:sz w:val="20"/>
                <w:szCs w:val="20"/>
                <w:color w:val="auto"/>
              </w:rPr>
            </w:pPr>
            <w:r>
              <w:rPr>
                <w:rFonts w:ascii="Arial" w:cs="Arial" w:eastAsia="Arial" w:hAnsi="Arial"/>
                <w:sz w:val="18"/>
                <w:szCs w:val="18"/>
                <w:color w:val="auto"/>
                <w:w w:val="91"/>
              </w:rPr>
              <w:t>October 9, 2019</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2"/>
              </w:rPr>
              <w:t>Prof. Christoph Huber, M.D.</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680" w:type="dxa"/>
            <w:vAlign w:val="bottom"/>
            <w:gridSpan w:val="4"/>
          </w:tcPr>
          <w:p>
            <w:pPr>
              <w:jc w:val="center"/>
              <w:ind w:left="221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93"/>
              <w:spacing w:after="0"/>
              <w:rPr>
                <w:sz w:val="20"/>
                <w:szCs w:val="20"/>
                <w:color w:val="auto"/>
              </w:rPr>
            </w:pPr>
            <w:r>
              <w:rPr>
                <w:rFonts w:ascii="Arial" w:cs="Arial" w:eastAsia="Arial" w:hAnsi="Arial"/>
                <w:sz w:val="18"/>
                <w:szCs w:val="18"/>
                <w:color w:val="auto"/>
                <w:w w:val="91"/>
              </w:rPr>
              <w:t>October 9, 2019</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Dr. Ulrich Wandschneider</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58"/>
        </w:trPr>
        <w:tc>
          <w:tcPr>
            <w:tcW w:w="4980" w:type="dxa"/>
            <w:vAlign w:val="bottom"/>
            <w:gridSpan w:val="6"/>
          </w:tcPr>
          <w:p>
            <w:pPr>
              <w:spacing w:after="0"/>
              <w:rPr>
                <w:sz w:val="20"/>
                <w:szCs w:val="20"/>
                <w:color w:val="auto"/>
              </w:rPr>
            </w:pPr>
            <w:r>
              <w:rPr>
                <w:rFonts w:ascii="Arial" w:cs="Arial" w:eastAsia="Arial" w:hAnsi="Arial"/>
                <w:sz w:val="18"/>
                <w:szCs w:val="18"/>
                <w:color w:val="auto"/>
              </w:rPr>
              <w:t>By:  /s/ Prof. Ugur Sahin, M.D.</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rPr>
              <w:t>Prof. Ugur Sahin, M.D.</w:t>
            </w:r>
          </w:p>
        </w:tc>
        <w:tc>
          <w:tcPr>
            <w:tcW w:w="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4"/>
          </w:tcPr>
          <w:p>
            <w:pPr>
              <w:ind w:left="200"/>
              <w:spacing w:after="0"/>
              <w:rPr>
                <w:sz w:val="20"/>
                <w:szCs w:val="20"/>
                <w:color w:val="auto"/>
              </w:rPr>
            </w:pPr>
            <w:r>
              <w:rPr>
                <w:rFonts w:ascii="Arial" w:cs="Arial" w:eastAsia="Arial" w:hAnsi="Arial"/>
                <w:sz w:val="18"/>
                <w:szCs w:val="18"/>
                <w:color w:val="auto"/>
              </w:rPr>
              <w:t>Attorney-in-fact</w:t>
            </w: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gridSpan w:val="3"/>
          </w:tcPr>
          <w:p>
            <w:pPr>
              <w:ind w:left="400"/>
              <w:spacing w:after="0"/>
              <w:rPr>
                <w:sz w:val="20"/>
                <w:szCs w:val="20"/>
                <w:color w:val="auto"/>
              </w:rPr>
            </w:pPr>
            <w:r>
              <w:rPr>
                <w:rFonts w:ascii="Arial" w:cs="Arial" w:eastAsia="Arial" w:hAnsi="Arial"/>
                <w:sz w:val="18"/>
                <w:szCs w:val="18"/>
                <w:color w:val="auto"/>
              </w:rPr>
              <w:t>II-6</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40"/>
          </w:cols>
          <w:pgMar w:left="240" w:top="459" w:right="61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BioNTech SE has signed this registration statement on October 9, 2019.</w:t>
      </w:r>
    </w:p>
    <w:p>
      <w:pPr>
        <w:spacing w:after="0" w:line="200" w:lineRule="exact"/>
        <w:rPr>
          <w:sz w:val="20"/>
          <w:szCs w:val="20"/>
          <w:color w:val="auto"/>
        </w:rPr>
      </w:pPr>
    </w:p>
    <w:p>
      <w:pPr>
        <w:spacing w:after="0" w:line="21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BIONTECH USA HOLDING, LLC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Jacob Willemsen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7012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Jacob Willemsen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Corporate Secretary</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80"/>
          </w:cols>
          <w:pgMar w:left="240" w:top="460" w:right="47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3241675" cy="3257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6">
                      <a:extLst>
                        <a:ext uri="{28A0092B-C50C-407E-A947-70E740481C1C}"/>
                      </a:extLst>
                    </a:blip>
                    <a:srcRect/>
                    <a:stretch>
                      <a:fillRect/>
                    </a:stretch>
                  </pic:blipFill>
                  <pic:spPr bwMode="auto">
                    <a:xfrm>
                      <a:off x="0" y="0"/>
                      <a:ext cx="3241675" cy="3257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652145</wp:posOffset>
            </wp:positionV>
            <wp:extent cx="1380490" cy="9861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7">
                      <a:extLst>
                        <a:ext uri="{28A0092B-C50C-407E-A947-70E740481C1C}"/>
                      </a:extLst>
                    </a:blip>
                    <a:srcRect/>
                    <a:stretch>
                      <a:fillRect/>
                    </a:stretch>
                  </pic:blipFill>
                  <pic:spPr bwMode="auto">
                    <a:xfrm>
                      <a:off x="0" y="0"/>
                      <a:ext cx="138049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der Goldgrube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55131 Mainz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9 October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SE – Form F-1 Registration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acting as legal advisers to BioNTech SE, a European stock corporation (SE) with its business address at An der Goldgrube 12, 55131 Mainz, Germany and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xml:space="preserve">) of Mainz, Germany, (the </w:t>
      </w:r>
      <w:r>
        <w:rPr>
          <w:rFonts w:ascii="Arial" w:cs="Arial" w:eastAsia="Arial" w:hAnsi="Arial"/>
          <w:sz w:val="18"/>
          <w:szCs w:val="18"/>
          <w:b w:val="1"/>
          <w:bCs w:val="1"/>
          <w:i w:val="1"/>
          <w:iCs w:val="1"/>
          <w:color w:val="auto"/>
        </w:rPr>
        <w:t>Commercial Register</w:t>
      </w:r>
      <w:r>
        <w:rPr>
          <w:rFonts w:ascii="Arial" w:cs="Arial" w:eastAsia="Arial" w:hAnsi="Arial"/>
          <w:sz w:val="18"/>
          <w:szCs w:val="18"/>
          <w:color w:val="auto"/>
        </w:rPr>
        <w:t xml:space="preserve">) under number HRB 48720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as to matters of German law in connection with the initial public offering and sale of up to 11,500,000 American Depository Receipts (the </w:t>
      </w:r>
      <w:r>
        <w:rPr>
          <w:rFonts w:ascii="Arial" w:cs="Arial" w:eastAsia="Arial" w:hAnsi="Arial"/>
          <w:sz w:val="18"/>
          <w:szCs w:val="18"/>
          <w:b w:val="1"/>
          <w:bCs w:val="1"/>
          <w:i w:val="1"/>
          <w:iCs w:val="1"/>
          <w:color w:val="auto"/>
        </w:rPr>
        <w:t>ADS</w:t>
      </w:r>
      <w:r>
        <w:rPr>
          <w:rFonts w:ascii="Arial" w:cs="Arial" w:eastAsia="Arial" w:hAnsi="Arial"/>
          <w:sz w:val="18"/>
          <w:szCs w:val="18"/>
          <w:color w:val="auto"/>
        </w:rPr>
        <w:t xml:space="preserve">), with each ADS representing one no par value registered share of the Company (the </w:t>
      </w:r>
      <w:r>
        <w:rPr>
          <w:rFonts w:ascii="Arial" w:cs="Arial" w:eastAsia="Arial" w:hAnsi="Arial"/>
          <w:sz w:val="18"/>
          <w:szCs w:val="18"/>
          <w:b w:val="1"/>
          <w:bCs w:val="1"/>
          <w:i w:val="1"/>
          <w:iCs w:val="1"/>
          <w:color w:val="auto"/>
        </w:rPr>
        <w:t>New Shares</w:t>
      </w:r>
      <w:r>
        <w:rPr>
          <w:rFonts w:ascii="Arial" w:cs="Arial" w:eastAsia="Arial" w:hAnsi="Arial"/>
          <w:sz w:val="18"/>
          <w:szCs w:val="18"/>
          <w:color w:val="auto"/>
        </w:rPr>
        <w:t>), each such share having a notional par value of EUR 1.00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this opinion, “Germany” means the Federal Republic of Germany.</w:t>
      </w:r>
    </w:p>
    <w:p>
      <w:pPr>
        <w:spacing w:after="0" w:line="370" w:lineRule="exact"/>
        <w:rPr>
          <w:sz w:val="20"/>
          <w:szCs w:val="20"/>
          <w:color w:val="auto"/>
        </w:rPr>
      </w:pPr>
    </w:p>
    <w:p>
      <w:pPr>
        <w:ind w:left="440" w:hanging="436"/>
        <w:spacing w:after="0"/>
        <w:tabs>
          <w:tab w:leader="none" w:pos="44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purpose of rendering this legal opinion, we have examined the following documents (together, the </w:t>
      </w:r>
      <w:r>
        <w:rPr>
          <w:rFonts w:ascii="Arial" w:cs="Arial" w:eastAsia="Arial" w:hAnsi="Arial"/>
          <w:sz w:val="18"/>
          <w:szCs w:val="18"/>
          <w:b w:val="1"/>
          <w:bCs w:val="1"/>
          <w:i w:val="1"/>
          <w:iCs w:val="1"/>
          <w:color w:val="auto"/>
        </w:rPr>
        <w:t>Opinion Documents</w:t>
      </w:r>
      <w:r>
        <w:rPr>
          <w:rFonts w:ascii="Arial" w:cs="Arial" w:eastAsia="Arial" w:hAnsi="Arial"/>
          <w:sz w:val="18"/>
          <w:szCs w:val="18"/>
          <w:color w:val="auto"/>
        </w:rPr>
        <w:t>):</w:t>
      </w:r>
    </w:p>
    <w:p>
      <w:pPr>
        <w:spacing w:after="0" w:line="131" w:lineRule="exact"/>
        <w:rPr>
          <w:sz w:val="20"/>
          <w:szCs w:val="20"/>
          <w:color w:val="auto"/>
        </w:rPr>
      </w:pPr>
    </w:p>
    <w:p>
      <w:pPr>
        <w:ind w:left="440" w:hanging="436"/>
        <w:spacing w:after="0"/>
        <w:tabs>
          <w:tab w:leader="none" w:pos="4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copy of the Company’s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as in effect as of the date of this opinion (the Articles of Association);</w:t>
      </w:r>
    </w:p>
    <w:p>
      <w:pPr>
        <w:spacing w:after="0" w:line="130" w:lineRule="exact"/>
        <w:rPr>
          <w:rFonts w:ascii="Arial" w:cs="Arial" w:eastAsia="Arial" w:hAnsi="Arial"/>
          <w:sz w:val="18"/>
          <w:szCs w:val="18"/>
          <w:color w:val="auto"/>
        </w:rPr>
      </w:pPr>
    </w:p>
    <w:p>
      <w:pPr>
        <w:ind w:left="440" w:right="540" w:hanging="436"/>
        <w:spacing w:after="0" w:line="277" w:lineRule="auto"/>
        <w:tabs>
          <w:tab w:leader="none" w:pos="4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copy of an electronic excerpt (</w:t>
      </w:r>
      <w:r>
        <w:rPr>
          <w:rFonts w:ascii="Arial" w:cs="Arial" w:eastAsia="Arial" w:hAnsi="Arial"/>
          <w:sz w:val="18"/>
          <w:szCs w:val="18"/>
          <w:i w:val="1"/>
          <w:iCs w:val="1"/>
          <w:color w:val="auto"/>
        </w:rPr>
        <w:t>Handelsregisterauszug</w:t>
      </w:r>
      <w:r>
        <w:rPr>
          <w:rFonts w:ascii="Arial" w:cs="Arial" w:eastAsia="Arial" w:hAnsi="Arial"/>
          <w:sz w:val="18"/>
          <w:szCs w:val="18"/>
          <w:color w:val="auto"/>
        </w:rPr>
        <w:t xml:space="preserve">) from the Commercial Register relating to the Company dated 9 October 2019 (the </w:t>
      </w:r>
      <w:r>
        <w:rPr>
          <w:rFonts w:ascii="Arial" w:cs="Arial" w:eastAsia="Arial" w:hAnsi="Arial"/>
          <w:sz w:val="18"/>
          <w:szCs w:val="18"/>
          <w:b w:val="1"/>
          <w:bCs w:val="1"/>
          <w:i w:val="1"/>
          <w:iCs w:val="1"/>
          <w:color w:val="auto"/>
        </w:rPr>
        <w:t>Register Excerpt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40" w:hanging="436"/>
        <w:spacing w:after="0" w:line="286" w:lineRule="auto"/>
        <w:tabs>
          <w:tab w:leader="none" w:pos="44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A copy of the resolution of the extraordinary shareholders’ meeting of the Company of September 9, 2019, resolving upon, among others, the increase of the Company’s share capital by issuing up to 27,622,613 new no par value registered shares at an issuance price of EUR 1.00 per share (the </w:t>
      </w:r>
      <w:r>
        <w:rPr>
          <w:rFonts w:ascii="Arial" w:cs="Arial" w:eastAsia="Arial" w:hAnsi="Arial"/>
          <w:sz w:val="17"/>
          <w:szCs w:val="17"/>
          <w:b w:val="1"/>
          <w:bCs w:val="1"/>
          <w:i w:val="1"/>
          <w:iCs w:val="1"/>
          <w:color w:val="auto"/>
        </w:rPr>
        <w:t>Shareholders’ Resolution</w:t>
      </w:r>
      <w:r>
        <w:rPr>
          <w:rFonts w:ascii="Arial" w:cs="Arial" w:eastAsia="Arial" w:hAnsi="Arial"/>
          <w:sz w:val="17"/>
          <w:szCs w:val="17"/>
          <w:color w:val="auto"/>
        </w:rPr>
        <w:t xml:space="preserve">, with said capital increase being referred to as the </w:t>
      </w:r>
      <w:r>
        <w:rPr>
          <w:rFonts w:ascii="Arial" w:cs="Arial" w:eastAsia="Arial" w:hAnsi="Arial"/>
          <w:sz w:val="17"/>
          <w:szCs w:val="17"/>
          <w:b w:val="1"/>
          <w:bCs w:val="1"/>
          <w:i w:val="1"/>
          <w:iCs w:val="1"/>
          <w:color w:val="auto"/>
        </w:rPr>
        <w:t>Ordinary Capital Increase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2198370</wp:posOffset>
            </wp:positionV>
            <wp:extent cx="4802505" cy="274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8">
                      <a:extLst>
                        <a:ext uri="{28A0092B-C50C-407E-A947-70E740481C1C}"/>
                      </a:extLst>
                    </a:blip>
                    <a:srcRect/>
                    <a:stretch>
                      <a:fillRect/>
                    </a:stretch>
                  </pic:blipFill>
                  <pic:spPr bwMode="auto">
                    <a:xfrm>
                      <a:off x="0" y="0"/>
                      <a:ext cx="4802505" cy="27432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93" w:name="page394"/>
    <w:bookmarkEnd w:id="393"/>
    <w:p>
      <w:pPr>
        <w:ind w:left="440" w:hanging="436"/>
        <w:spacing w:after="0" w:line="308" w:lineRule="auto"/>
        <w:tabs>
          <w:tab w:leader="none" w:pos="440" w:val="left"/>
        </w:tabs>
        <w:numPr>
          <w:ilvl w:val="0"/>
          <w:numId w:val="3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registration statement (as amended) the Registration Statement) on Form F-1 (File No. 333-233688) originally filed by the Company with the Securities and Exchange Commission on September 9, 2019 pursuant to the Securities Act of 1933, as amended; and</w:t>
      </w:r>
    </w:p>
    <w:p>
      <w:pPr>
        <w:spacing w:after="0" w:line="51" w:lineRule="exact"/>
        <w:rPr>
          <w:rFonts w:ascii="Arial" w:cs="Arial" w:eastAsia="Arial" w:hAnsi="Arial"/>
          <w:sz w:val="17"/>
          <w:szCs w:val="17"/>
          <w:color w:val="auto"/>
        </w:rPr>
      </w:pPr>
    </w:p>
    <w:p>
      <w:pPr>
        <w:ind w:left="440" w:right="20" w:hanging="436"/>
        <w:spacing w:after="0" w:line="259" w:lineRule="auto"/>
        <w:tabs>
          <w:tab w:leader="none" w:pos="4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Draft copies of the minutes of the resolutions of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of the Company and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xml:space="preserve">) of the Company, resolving upon the increase of the Company’s share capital from the Company’s authorized capital by issuing up to 1,500,000 new no par value registered shares at an issuance price of EUR 1.00 per share (together the Option Resolutions, with said capital increase being referred to as the </w:t>
      </w:r>
      <w:r>
        <w:rPr>
          <w:rFonts w:ascii="Arial" w:cs="Arial" w:eastAsia="Arial" w:hAnsi="Arial"/>
          <w:sz w:val="18"/>
          <w:szCs w:val="18"/>
          <w:b w:val="1"/>
          <w:bCs w:val="1"/>
          <w:i w:val="1"/>
          <w:iCs w:val="1"/>
          <w:color w:val="auto"/>
        </w:rPr>
        <w:t>Authorized Capital Increase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40" w:right="620" w:hanging="436"/>
        <w:spacing w:after="0" w:line="277" w:lineRule="auto"/>
        <w:tabs>
          <w:tab w:leader="none" w:pos="4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such certificates, corporate records and other documents, and such matters of law, as we have deemed necessary or appropriate for the purposes of this opinion. We have not reviewed any other documents for the purposes of this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the Shareholders’ Resolution and the Option Resolutions being the </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w:t>
      </w:r>
    </w:p>
    <w:p>
      <w:pPr>
        <w:spacing w:after="0" w:line="370" w:lineRule="exact"/>
        <w:rPr>
          <w:sz w:val="20"/>
          <w:szCs w:val="20"/>
          <w:color w:val="auto"/>
        </w:rPr>
      </w:pPr>
    </w:p>
    <w:p>
      <w:pPr>
        <w:ind w:left="440" w:hanging="436"/>
        <w:spacing w:after="0"/>
        <w:tabs>
          <w:tab w:leader="none" w:pos="44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to questions of fact material to this opinion that we did not independently establish or verify, we have relied on certificates or comparable documents of public officials and of officers and representatives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considering the Opinion Documents and rendering this opinion we have assumed without further inquiry:</w:t>
      </w:r>
    </w:p>
    <w:p>
      <w:pPr>
        <w:spacing w:after="0" w:line="131" w:lineRule="exact"/>
        <w:rPr>
          <w:sz w:val="20"/>
          <w:szCs w:val="20"/>
          <w:color w:val="auto"/>
        </w:rPr>
      </w:pPr>
    </w:p>
    <w:p>
      <w:pPr>
        <w:ind w:left="440" w:right="580" w:hanging="436"/>
        <w:spacing w:after="0" w:line="277" w:lineRule="auto"/>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conformity of all copies of documents supplied to us with the relevant originals and the authenticity and completeness of all documents submitted to us whether as originals or as copies;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that all signatures on Opinion Documents are genuine signatures of those individuals from whom they purport to stem;</w:t>
      </w:r>
    </w:p>
    <w:p>
      <w:pPr>
        <w:spacing w:after="0" w:line="130"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that Opinion Documents examined by us in draft form have been or, as the case may be, will be executed in the form of the draft examined by us by the party that in the respective draft is envisaged to so execute the respective Opinion Document;</w:t>
      </w:r>
    </w:p>
    <w:p>
      <w:pPr>
        <w:spacing w:after="0" w:line="75" w:lineRule="exact"/>
        <w:rPr>
          <w:rFonts w:ascii="Arial" w:cs="Arial" w:eastAsia="Arial" w:hAnsi="Arial"/>
          <w:sz w:val="18"/>
          <w:szCs w:val="18"/>
          <w:color w:val="auto"/>
        </w:rPr>
      </w:pPr>
    </w:p>
    <w:p>
      <w:pPr>
        <w:ind w:left="440" w:right="60" w:hanging="436"/>
        <w:spacing w:after="0" w:line="291" w:lineRule="auto"/>
        <w:tabs>
          <w:tab w:leader="none" w:pos="4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that all individuals who have executed and delivered or will execute and deliver or, in case of the Shareholders’ Resolution, have passed on behalf of the parties thereto any of the Opinion Documents had or will have, at the relevant times, (i) full legal capacity (</w:t>
      </w:r>
      <w:r>
        <w:rPr>
          <w:rFonts w:ascii="Arial" w:cs="Arial" w:eastAsia="Arial" w:hAnsi="Arial"/>
          <w:sz w:val="16"/>
          <w:szCs w:val="16"/>
          <w:i w:val="1"/>
          <w:iCs w:val="1"/>
          <w:color w:val="auto"/>
        </w:rPr>
        <w:t>Geschäftsfähigkeit</w:t>
      </w:r>
      <w:r>
        <w:rPr>
          <w:rFonts w:ascii="Arial" w:cs="Arial" w:eastAsia="Arial" w:hAnsi="Arial"/>
          <w:sz w:val="16"/>
          <w:szCs w:val="16"/>
          <w:color w:val="auto"/>
        </w:rPr>
        <w:t>) and</w:t>
      </w:r>
    </w:p>
    <w:p>
      <w:pPr>
        <w:ind w:left="440" w:right="360"/>
        <w:spacing w:after="0" w:line="261" w:lineRule="auto"/>
        <w:rPr>
          <w:rFonts w:ascii="Arial" w:cs="Arial" w:eastAsia="Arial" w:hAnsi="Arial"/>
          <w:sz w:val="16"/>
          <w:szCs w:val="16"/>
          <w:color w:val="auto"/>
        </w:rPr>
      </w:pPr>
      <w:r>
        <w:rPr>
          <w:rFonts w:ascii="Arial" w:cs="Arial" w:eastAsia="Arial" w:hAnsi="Arial"/>
          <w:sz w:val="18"/>
          <w:szCs w:val="18"/>
          <w:color w:val="auto"/>
        </w:rPr>
        <w:t>(ii) power to validly represent (</w:t>
      </w:r>
      <w:r>
        <w:rPr>
          <w:rFonts w:ascii="Arial" w:cs="Arial" w:eastAsia="Arial" w:hAnsi="Arial"/>
          <w:sz w:val="18"/>
          <w:szCs w:val="18"/>
          <w:i w:val="1"/>
          <w:iCs w:val="1"/>
          <w:color w:val="auto"/>
        </w:rPr>
        <w:t>Vertretungsmacht</w:t>
      </w:r>
      <w:r>
        <w:rPr>
          <w:rFonts w:ascii="Arial" w:cs="Arial" w:eastAsia="Arial" w:hAnsi="Arial"/>
          <w:sz w:val="18"/>
          <w:szCs w:val="18"/>
          <w:color w:val="auto"/>
        </w:rPr>
        <w:t>) the respective party (other than individuals executing, passing or delivering on behalf of the Company), in executing and delivering the relevant Opinion Document;</w:t>
      </w:r>
    </w:p>
    <w:p>
      <w:pPr>
        <w:spacing w:after="0" w:line="89" w:lineRule="exact"/>
        <w:rPr>
          <w:rFonts w:ascii="Arial" w:cs="Arial" w:eastAsia="Arial" w:hAnsi="Arial"/>
          <w:sz w:val="16"/>
          <w:szCs w:val="16"/>
          <w:color w:val="auto"/>
        </w:rPr>
      </w:pPr>
    </w:p>
    <w:p>
      <w:pPr>
        <w:ind w:left="440" w:right="380" w:hanging="436"/>
        <w:spacing w:after="0" w:line="277" w:lineRule="auto"/>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that none of the Opinion Documents has been or, as the case may be, will be revoked, rescinded, repealed, terminated (whether in whole or in part), amended or supplemented;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correctness and completeness of all factual matters expressed in the Opinion Documents;</w:t>
      </w:r>
    </w:p>
    <w:p>
      <w:pPr>
        <w:sectPr>
          <w:pgSz w:w="11900" w:h="16838" w:orient="portrait"/>
          <w:cols w:equalWidth="0" w:num="1">
            <w:col w:w="11020"/>
          </w:cols>
          <w:pgMar w:left="440" w:top="274" w:right="439" w:bottom="1440" w:gutter="0" w:footer="0" w:header="0"/>
        </w:sectPr>
      </w:pPr>
    </w:p>
    <w:bookmarkStart w:id="394" w:name="page395"/>
    <w:bookmarkEnd w:id="394"/>
    <w:p>
      <w:pPr>
        <w:ind w:left="440" w:hanging="436"/>
        <w:spacing w:after="0" w:line="277" w:lineRule="auto"/>
        <w:tabs>
          <w:tab w:leader="none" w:pos="4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Register Excerpt is accurate and complete as at its date and that no changes to the facts related therein have occurred between the date the Register Excerpt was issued and the date hereof;</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that the Articles of Association are true and accurate as of the date of this opinion;</w:t>
      </w:r>
    </w:p>
    <w:p>
      <w:pPr>
        <w:spacing w:after="0" w:line="130" w:lineRule="exact"/>
        <w:rPr>
          <w:rFonts w:ascii="Arial" w:cs="Arial" w:eastAsia="Arial" w:hAnsi="Arial"/>
          <w:sz w:val="18"/>
          <w:szCs w:val="18"/>
          <w:color w:val="auto"/>
        </w:rPr>
      </w:pPr>
    </w:p>
    <w:p>
      <w:pPr>
        <w:ind w:left="440" w:right="640" w:hanging="436"/>
        <w:spacing w:after="0" w:line="277" w:lineRule="auto"/>
        <w:tabs>
          <w:tab w:leader="none" w:pos="4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that the Shareholders’ Resolution and the Option Resolutions are not affected by any factual circumstance not apparent from the Opinion Documents (unless known to us); and</w:t>
      </w:r>
    </w:p>
    <w:p>
      <w:pPr>
        <w:spacing w:after="0" w:line="75" w:lineRule="exact"/>
        <w:rPr>
          <w:rFonts w:ascii="Arial" w:cs="Arial" w:eastAsia="Arial" w:hAnsi="Arial"/>
          <w:sz w:val="18"/>
          <w:szCs w:val="18"/>
          <w:color w:val="auto"/>
        </w:rPr>
      </w:pPr>
    </w:p>
    <w:p>
      <w:pPr>
        <w:ind w:left="440" w:right="200" w:hanging="436"/>
        <w:spacing w:after="0" w:line="308" w:lineRule="auto"/>
        <w:tabs>
          <w:tab w:leader="none" w:pos="4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that no other arrangements between any of the parties to the Transaction Documents in respect of the transaction contemplated thereby or other declaration or act which modifies or supersedes any of the terms of a Transaction Document exist (unless known by us).</w:t>
      </w:r>
    </w:p>
    <w:p>
      <w:pPr>
        <w:spacing w:after="0" w:line="291" w:lineRule="exact"/>
        <w:rPr>
          <w:sz w:val="20"/>
          <w:szCs w:val="20"/>
          <w:color w:val="auto"/>
        </w:rPr>
      </w:pPr>
    </w:p>
    <w:p>
      <w:pPr>
        <w:ind w:left="440" w:hanging="436"/>
        <w:spacing w:after="0"/>
        <w:tabs>
          <w:tab w:leader="none" w:pos="44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Laws Considered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is admitted to the bar association (</w:t>
      </w:r>
      <w:r>
        <w:rPr>
          <w:rFonts w:ascii="Arial" w:cs="Arial" w:eastAsia="Arial" w:hAnsi="Arial"/>
          <w:sz w:val="18"/>
          <w:szCs w:val="18"/>
          <w:i w:val="1"/>
          <w:iCs w:val="1"/>
          <w:color w:val="auto"/>
        </w:rPr>
        <w:t>Rechtsanwaltskammer</w:t>
      </w:r>
      <w:r>
        <w:rPr>
          <w:rFonts w:ascii="Arial" w:cs="Arial" w:eastAsia="Arial" w:hAnsi="Arial"/>
          <w:sz w:val="18"/>
          <w:szCs w:val="18"/>
          <w:color w:val="auto"/>
        </w:rPr>
        <w:t>) in Hamburg, Germany, and licensed as attorney (</w:t>
      </w:r>
      <w:r>
        <w:rPr>
          <w:rFonts w:ascii="Arial" w:cs="Arial" w:eastAsia="Arial" w:hAnsi="Arial"/>
          <w:sz w:val="18"/>
          <w:szCs w:val="18"/>
          <w:i w:val="1"/>
          <w:iCs w:val="1"/>
          <w:color w:val="auto"/>
        </w:rPr>
        <w:t>Rechtsanwalt</w:t>
      </w:r>
      <w:r>
        <w:rPr>
          <w:rFonts w:ascii="Arial" w:cs="Arial" w:eastAsia="Arial" w:hAnsi="Arial"/>
          <w:sz w:val="18"/>
          <w:szCs w:val="18"/>
          <w:color w:val="auto"/>
        </w:rPr>
        <w:t>) in Germany. This opinion is, therefore, limited to matters of German law as presently in effect and applied by the German courts (including the law of the European Union to the extent it is directly applicable in Germany). We have not investigated and do not express or imply any opinion with respect to the laws of any other jurisdiction.</w:t>
      </w:r>
    </w:p>
    <w:p>
      <w:pPr>
        <w:spacing w:after="0" w:line="331" w:lineRule="exact"/>
        <w:rPr>
          <w:sz w:val="20"/>
          <w:szCs w:val="20"/>
          <w:color w:val="auto"/>
        </w:rPr>
      </w:pPr>
    </w:p>
    <w:p>
      <w:pPr>
        <w:ind w:left="440" w:hanging="436"/>
        <w:spacing w:after="0"/>
        <w:tabs>
          <w:tab w:leader="none" w:pos="44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Opinion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and the qualifications set out below, we are of the opinion that:</w:t>
      </w:r>
    </w:p>
    <w:p>
      <w:pPr>
        <w:spacing w:after="0" w:line="131" w:lineRule="exact"/>
        <w:rPr>
          <w:sz w:val="20"/>
          <w:szCs w:val="20"/>
          <w:color w:val="auto"/>
        </w:rPr>
      </w:pPr>
    </w:p>
    <w:p>
      <w:pPr>
        <w:ind w:left="440" w:right="420" w:hanging="436"/>
        <w:spacing w:after="0" w:line="277" w:lineRule="auto"/>
        <w:tabs>
          <w:tab w:leader="none" w:pos="4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is a European stock corporation (SE) duly established and validly existing under the laws of Germany and registered with the Commercial Register under number HRB 48720.</w:t>
      </w:r>
    </w:p>
    <w:p>
      <w:pPr>
        <w:spacing w:after="0" w:line="75" w:lineRule="exact"/>
        <w:rPr>
          <w:rFonts w:ascii="Arial" w:cs="Arial" w:eastAsia="Arial" w:hAnsi="Arial"/>
          <w:sz w:val="18"/>
          <w:szCs w:val="18"/>
          <w:color w:val="auto"/>
        </w:rPr>
      </w:pPr>
    </w:p>
    <w:p>
      <w:pPr>
        <w:ind w:left="440" w:right="60" w:hanging="436"/>
        <w:spacing w:after="0" w:line="257" w:lineRule="auto"/>
        <w:tabs>
          <w:tab w:leader="none" w:pos="4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Following due execution of the Option Resolutions (in the case of the Authorized Capital Increase) and (in the case of each of the Ordinary Capital Increase and the Authorized Capital Increase) following the due execution and delivery of a subscription form by the relevant subscriber, the payment to the Company of the issuance price of EUR 1.00 per New Share and the registration of the implementation of the capital increase with the Commercial Register, the relevant New Shares will be validly issued to the relevant subscriber and fully paid (subject to the payment of the difference between the nominal amount and the final offer price).</w:t>
      </w:r>
    </w:p>
    <w:p>
      <w:pPr>
        <w:spacing w:after="0" w:line="333" w:lineRule="exact"/>
        <w:rPr>
          <w:sz w:val="20"/>
          <w:szCs w:val="20"/>
          <w:color w:val="auto"/>
        </w:rPr>
      </w:pPr>
    </w:p>
    <w:p>
      <w:pPr>
        <w:ind w:left="440" w:hanging="436"/>
        <w:spacing w:after="0"/>
        <w:tabs>
          <w:tab w:leader="none" w:pos="44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opinion statements are subject to the following qualifications: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this opinion, concepts of German law are addressed in the English language and not in the original German terms, which may differ in their exact legal meaning. This opinion may only be relied upon under the express condition that this opinion and any issues of interpretation arising hereunder are exclusively governed by German law.</w:t>
      </w:r>
    </w:p>
    <w:p>
      <w:pPr>
        <w:sectPr>
          <w:pgSz w:w="11900" w:h="16838" w:orient="portrait"/>
          <w:cols w:equalWidth="0" w:num="1">
            <w:col w:w="10940"/>
          </w:cols>
          <w:pgMar w:left="440" w:top="274" w:right="519" w:bottom="1440" w:gutter="0" w:footer="0" w:header="0"/>
        </w:sectPr>
      </w:pPr>
    </w:p>
    <w:bookmarkStart w:id="395" w:name="page396"/>
    <w:bookmarkEnd w:id="39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speaks of its date only, and we do not assume any obligation to update this opinion or to inform you of any changes to any of the facts or laws of other matters referred to herein. This opinion is limited to the matters addressed herein and should not be read as opinion in respect to any other matter.</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the references to this firm under the caption “Legal Matters” contained in the prospectus included in the Registration Statement. In giving such consent, we do not admit that we are in the category of persons whose consent is required under Section 7 of the Securities Act or the rules and regulations promulgated thereunder.</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Dr. Peter Versteegen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Peter Versteegen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Freshfields Bruckhaus Deringer LLP</w:t>
      </w:r>
    </w:p>
    <w:p>
      <w:pPr>
        <w:sectPr>
          <w:pgSz w:w="11900" w:h="16838" w:orient="portrait"/>
          <w:cols w:equalWidth="0" w:num="1">
            <w:col w:w="10920"/>
          </w:cols>
          <w:pgMar w:left="440" w:top="274" w:right="5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June 18, 2019 (except Note 21.7, as to which the date is September 24, 2019), in Amendment No. 3 to the Registration Statement (Form F-1 No. 333-233688) and related Prospectus of BioNTech SE (formerly BioNTech AG) dated October 9, 2019 for the registration of its ordinary shares.</w:t>
      </w:r>
    </w:p>
    <w:p>
      <w:pPr>
        <w:sectPr>
          <w:pgSz w:w="11900" w:h="16838" w:orient="portrait"/>
          <w:cols w:equalWidth="0" w:num="1">
            <w:col w:w="11020"/>
          </w:cols>
          <w:pgMar w:left="440" w:top="121" w:right="4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Titus Zwirner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Oliver Conrad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GmbH Wirtschaftsprüfungsgesellschaft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Cologne,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9, 2019</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1)"/>
      <w:numFmt w:val="decimal"/>
      <w:start w:val="1"/>
    </w:lvl>
  </w:abstractNum>
  <w:abstractNum w:abstractNumId="2">
    <w:nsid w:val="5451CF49"/>
    <w:multiLevelType w:val="hybridMultilevel"/>
    <w:lvl w:ilvl="0">
      <w:lvlJc w:val="left"/>
      <w:lvlText w:val="(%1)"/>
      <w:numFmt w:val="decimal"/>
      <w:start w:val="1"/>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
      <w:numFmt w:val="bullet"/>
      <w:start w:val="1"/>
    </w:lvl>
  </w:abstractNum>
  <w:abstractNum w:abstractNumId="5">
    <w:nsid w:val="14217E23"/>
    <w:multiLevelType w:val="hybridMultilevel"/>
    <w:lvl w:ilvl="0">
      <w:lvlJc w:val="left"/>
      <w:lvlText w:val="1"/>
      <w:numFmt w:val="bullet"/>
      <w:start w:val="1"/>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
      <w:numFmt w:val="bullet"/>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
      <w:numFmt w:val="bullet"/>
      <w:start w:val="1"/>
    </w:lvl>
  </w:abstractNum>
  <w:abstractNum w:abstractNumId="12">
    <w:nsid w:val="6A3B714C"/>
    <w:multiLevelType w:val="hybridMultilevel"/>
    <w:lvl w:ilvl="0">
      <w:lvlJc w:val="left"/>
      <w:lvlText w:val="•"/>
      <w:numFmt w:val="bullet"/>
      <w:start w:val="1"/>
    </w:lvl>
  </w:abstractNum>
  <w:abstractNum w:abstractNumId="13">
    <w:nsid w:val="327B517E"/>
    <w:multiLevelType w:val="hybridMultilevel"/>
    <w:lvl w:ilvl="0">
      <w:lvlJc w:val="left"/>
      <w:lvlText w:val="•"/>
      <w:numFmt w:val="bullet"/>
      <w:start w:val="1"/>
    </w:lvl>
  </w:abstractNum>
  <w:abstractNum w:abstractNumId="14">
    <w:nsid w:val="1F461B51"/>
    <w:multiLevelType w:val="hybridMultilevel"/>
    <w:lvl w:ilvl="0">
      <w:lvlJc w:val="left"/>
      <w:lvlText w:val="•"/>
      <w:numFmt w:val="bullet"/>
      <w:start w:val="1"/>
    </w:lvl>
  </w:abstractNum>
  <w:abstractNum w:abstractNumId="15">
    <w:nsid w:val="29BACF25"/>
    <w:multiLevelType w:val="hybridMultilevel"/>
    <w:lvl w:ilvl="0">
      <w:lvlJc w:val="left"/>
      <w:lvlText w:val="(%1)"/>
      <w:numFmt w:val="decimal"/>
      <w:start w:val="1"/>
    </w:lvl>
  </w:abstractNum>
  <w:abstractNum w:abstractNumId="16">
    <w:nsid w:val="5D5BABB3"/>
    <w:multiLevelType w:val="hybridMultilevel"/>
    <w:lvl w:ilvl="0">
      <w:lvlJc w:val="left"/>
      <w:lvlText w:val="•"/>
      <w:numFmt w:val="bullet"/>
      <w:start w:val="1"/>
    </w:lvl>
  </w:abstractNum>
  <w:abstractNum w:abstractNumId="17">
    <w:nsid w:val="51BF6B48"/>
    <w:multiLevelType w:val="hybridMultilevel"/>
    <w:lvl w:ilvl="0">
      <w:lvlJc w:val="left"/>
      <w:lvlText w:val="•"/>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abstractNum>
  <w:abstractNum w:abstractNumId="23">
    <w:nsid w:val="B13A31"/>
    <w:multiLevelType w:val="hybridMultilevel"/>
    <w:lvl w:ilvl="0">
      <w:lvlJc w:val="left"/>
      <w:lvlText w:val="•"/>
      <w:numFmt w:val="bullet"/>
      <w:start w:val="1"/>
    </w:lvl>
  </w:abstractNum>
  <w:abstractNum w:abstractNumId="24">
    <w:nsid w:val="64429599"/>
    <w:multiLevelType w:val="hybridMultilevel"/>
    <w:lvl w:ilvl="0">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
      <w:numFmt w:val="bullet"/>
      <w:start w:val="1"/>
    </w:lvl>
  </w:abstractNum>
  <w:abstractNum w:abstractNumId="27">
    <w:nsid w:val="EAD6F57"/>
    <w:multiLevelType w:val="hybridMultilevel"/>
    <w:lvl w:ilvl="0">
      <w:lvlJc w:val="left"/>
      <w:lvlText w:val="•"/>
      <w:numFmt w:val="bullet"/>
      <w:start w:val="1"/>
    </w:lvl>
  </w:abstractNum>
  <w:abstractNum w:abstractNumId="28">
    <w:nsid w:val="6EC9D844"/>
    <w:multiLevelType w:val="hybridMultilevel"/>
    <w:lvl w:ilvl="0">
      <w:lvlJc w:val="left"/>
      <w:lvlText w:val="•"/>
      <w:numFmt w:val="bullet"/>
      <w:start w:val="1"/>
    </w:lvl>
  </w:abstractNum>
  <w:abstractNum w:abstractNumId="29">
    <w:nsid w:val="5C49EAEE"/>
    <w:multiLevelType w:val="hybridMultilevel"/>
    <w:lvl w:ilvl="0">
      <w:lvlJc w:val="left"/>
      <w:lvlText w:val="•"/>
      <w:numFmt w:val="bullet"/>
      <w:start w:val="1"/>
    </w:lvl>
  </w:abstractNum>
  <w:abstractNum w:abstractNumId="30">
    <w:nsid w:val="64AF49B"/>
    <w:multiLevelType w:val="hybridMultilevel"/>
    <w:lvl w:ilvl="0">
      <w:lvlJc w:val="left"/>
      <w:lvlText w:val="•"/>
      <w:numFmt w:val="bullet"/>
      <w:start w:val="1"/>
    </w:lvl>
  </w:abstractNum>
  <w:abstractNum w:abstractNumId="31">
    <w:nsid w:val="397C46BC"/>
    <w:multiLevelType w:val="hybridMultilevel"/>
    <w:lvl w:ilvl="0">
      <w:lvlJc w:val="left"/>
      <w:lvlText w:val="•"/>
      <w:numFmt w:val="bullet"/>
      <w:start w:val="1"/>
    </w:lvl>
  </w:abstractNum>
  <w:abstractNum w:abstractNumId="32">
    <w:nsid w:val="7E448DE9"/>
    <w:multiLevelType w:val="hybridMultilevel"/>
    <w:lvl w:ilvl="0">
      <w:lvlJc w:val="left"/>
      <w:lvlText w:val="•"/>
      <w:numFmt w:val="bullet"/>
      <w:start w:val="1"/>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
      <w:numFmt w:val="bullet"/>
      <w:start w:val="1"/>
    </w:lvl>
  </w:abstractNum>
  <w:abstractNum w:abstractNumId="35">
    <w:nsid w:val="3CA88ECF"/>
    <w:multiLevelType w:val="hybridMultilevel"/>
    <w:lvl w:ilvl="0">
      <w:lvlJc w:val="left"/>
      <w:lvlText w:val="•"/>
      <w:numFmt w:val="bullet"/>
      <w:start w:val="1"/>
    </w:lvl>
  </w:abstractNum>
  <w:abstractNum w:abstractNumId="36">
    <w:nsid w:val="6EBE4208"/>
    <w:multiLevelType w:val="hybridMultilevel"/>
    <w:lvl w:ilvl="0">
      <w:lvlJc w:val="left"/>
      <w:lvlText w:val="•"/>
      <w:numFmt w:val="bullet"/>
      <w:start w:val="1"/>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
      <w:numFmt w:val="bullet"/>
      <w:start w:val="1"/>
    </w:lvl>
  </w:abstractNum>
  <w:abstractNum w:abstractNumId="39">
    <w:nsid w:val="3102BBE2"/>
    <w:multiLevelType w:val="hybridMultilevel"/>
    <w:lvl w:ilvl="0">
      <w:lvlJc w:val="left"/>
      <w:lvlText w:val="•"/>
      <w:numFmt w:val="bullet"/>
      <w:start w:val="1"/>
    </w:lvl>
  </w:abstractNum>
  <w:abstractNum w:abstractNumId="40">
    <w:nsid w:val="26A02C5E"/>
    <w:multiLevelType w:val="hybridMultilevel"/>
    <w:lvl w:ilvl="0">
      <w:lvlJc w:val="left"/>
      <w:lvlText w:val="•"/>
      <w:numFmt w:val="bullet"/>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
      <w:numFmt w:val="bullet"/>
      <w:start w:val="1"/>
    </w:lvl>
  </w:abstractNum>
  <w:abstractNum w:abstractNumId="43">
    <w:nsid w:val="10DB9DAA"/>
    <w:multiLevelType w:val="hybridMultilevel"/>
    <w:lvl w:ilvl="0">
      <w:lvlJc w:val="left"/>
      <w:lvlText w:val="•"/>
      <w:numFmt w:val="bullet"/>
      <w:start w:val="1"/>
    </w:lvl>
  </w:abstractNum>
  <w:abstractNum w:abstractNumId="44">
    <w:nsid w:val="697D2D2"/>
    <w:multiLevelType w:val="hybridMultilevel"/>
    <w:lvl w:ilvl="0">
      <w:lvlJc w:val="left"/>
      <w:lvlText w:val="•"/>
      <w:numFmt w:val="bullet"/>
      <w:start w:val="1"/>
    </w:lvl>
  </w:abstractNum>
  <w:abstractNum w:abstractNumId="45">
    <w:nsid w:val="6D68AB2"/>
    <w:multiLevelType w:val="hybridMultilevel"/>
    <w:lvl w:ilvl="0">
      <w:lvlJc w:val="left"/>
      <w:lvlText w:val="•"/>
      <w:numFmt w:val="bullet"/>
      <w:start w:val="1"/>
    </w:lvl>
  </w:abstractNum>
  <w:abstractNum w:abstractNumId="46">
    <w:nsid w:val="3A966CD0"/>
    <w:multiLevelType w:val="hybridMultilevel"/>
    <w:lvl w:ilvl="0">
      <w:lvlJc w:val="left"/>
      <w:lvlText w:val="•"/>
      <w:numFmt w:val="bullet"/>
      <w:start w:val="1"/>
    </w:lvl>
  </w:abstractNum>
  <w:abstractNum w:abstractNumId="47">
    <w:nsid w:val="63F37E85"/>
    <w:multiLevelType w:val="hybridMultilevel"/>
    <w:lvl w:ilvl="0">
      <w:lvlJc w:val="left"/>
      <w:lvlText w:val="•"/>
      <w:numFmt w:val="bullet"/>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
      <w:numFmt w:val="bullet"/>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
      <w:numFmt w:val="bullet"/>
      <w:start w:val="1"/>
    </w:lvl>
  </w:abstractNum>
  <w:abstractNum w:abstractNumId="54">
    <w:nsid w:val="4C2A7166"/>
    <w:multiLevelType w:val="hybridMultilevel"/>
    <w:lvl w:ilvl="0">
      <w:lvlJc w:val="left"/>
      <w:lvlText w:val="•"/>
      <w:numFmt w:val="bullet"/>
      <w:start w:val="1"/>
    </w:lvl>
  </w:abstractNum>
  <w:abstractNum w:abstractNumId="55">
    <w:nsid w:val="2E534A82"/>
    <w:multiLevelType w:val="hybridMultilevel"/>
    <w:lvl w:ilvl="0">
      <w:lvlJc w:val="left"/>
      <w:lvlText w:val="•"/>
      <w:numFmt w:val="bullet"/>
      <w:start w:val="1"/>
    </w:lvl>
  </w:abstractNum>
  <w:abstractNum w:abstractNumId="56">
    <w:nsid w:val="26F2D364"/>
    <w:multiLevelType w:val="hybridMultilevel"/>
    <w:lvl w:ilvl="0">
      <w:lvlJc w:val="left"/>
      <w:lvlText w:val="•"/>
      <w:numFmt w:val="bullet"/>
      <w:start w:val="1"/>
    </w:lvl>
  </w:abstractNum>
  <w:abstractNum w:abstractNumId="57">
    <w:nsid w:val="71C1AF98"/>
    <w:multiLevelType w:val="hybridMultilevel"/>
    <w:lvl w:ilvl="0">
      <w:lvlJc w:val="left"/>
      <w:lvlText w:val="•"/>
      <w:numFmt w:val="bullet"/>
      <w:start w:val="1"/>
    </w:lvl>
  </w:abstractNum>
  <w:abstractNum w:abstractNumId="58">
    <w:nsid w:val="3D00B9D9"/>
    <w:multiLevelType w:val="hybridMultilevel"/>
    <w:lvl w:ilvl="0">
      <w:lvlJc w:val="left"/>
      <w:lvlText w:val="•"/>
      <w:numFmt w:val="bullet"/>
      <w:start w:val="1"/>
    </w:lvl>
  </w:abstractNum>
  <w:abstractNum w:abstractNumId="59">
    <w:nsid w:val="15BCABA8"/>
    <w:multiLevelType w:val="hybridMultilevel"/>
    <w:lvl w:ilvl="0">
      <w:lvlJc w:val="left"/>
      <w:lvlText w:val="•"/>
      <w:numFmt w:val="bullet"/>
      <w:start w:val="1"/>
    </w:lvl>
  </w:abstractNum>
  <w:abstractNum w:abstractNumId="60">
    <w:nsid w:val="4E0B9A87"/>
    <w:multiLevelType w:val="hybridMultilevel"/>
    <w:lvl w:ilvl="0">
      <w:lvlJc w:val="left"/>
      <w:lvlText w:val="•"/>
      <w:numFmt w:val="bullet"/>
      <w:start w:val="1"/>
    </w:lvl>
  </w:abstractNum>
  <w:abstractNum w:abstractNumId="61">
    <w:nsid w:val="434BAE75"/>
    <w:multiLevelType w:val="hybridMultilevel"/>
    <w:lvl w:ilvl="0">
      <w:lvlJc w:val="left"/>
      <w:lvlText w:val="•"/>
      <w:numFmt w:val="bullet"/>
      <w:start w:val="1"/>
    </w:lvl>
  </w:abstractNum>
  <w:abstractNum w:abstractNumId="62">
    <w:nsid w:val="4F38F265"/>
    <w:multiLevelType w:val="hybridMultilevel"/>
    <w:lvl w:ilvl="0">
      <w:lvlJc w:val="left"/>
      <w:lvlText w:val="•"/>
      <w:numFmt w:val="bullet"/>
      <w:start w:val="1"/>
    </w:lvl>
  </w:abstractNum>
  <w:abstractNum w:abstractNumId="63">
    <w:nsid w:val="4C502870"/>
    <w:multiLevelType w:val="hybridMultilevel"/>
    <w:lvl w:ilvl="0">
      <w:lvlJc w:val="left"/>
      <w:lvlText w:val="•"/>
      <w:numFmt w:val="bullet"/>
      <w:start w:val="1"/>
    </w:lvl>
  </w:abstractNum>
  <w:abstractNum w:abstractNumId="64">
    <w:nsid w:val="1DE8725A"/>
    <w:multiLevelType w:val="hybridMultilevel"/>
    <w:lvl w:ilvl="0">
      <w:lvlJc w:val="left"/>
      <w:lvlText w:val="•"/>
      <w:numFmt w:val="bullet"/>
      <w:start w:val="1"/>
    </w:lvl>
  </w:abstractNum>
  <w:abstractNum w:abstractNumId="65">
    <w:nsid w:val="6A37288A"/>
    <w:multiLevelType w:val="hybridMultilevel"/>
    <w:lvl w:ilvl="0">
      <w:lvlJc w:val="left"/>
      <w:lvlText w:val="•"/>
      <w:numFmt w:val="bullet"/>
      <w:start w:val="1"/>
    </w:lvl>
  </w:abstractNum>
  <w:abstractNum w:abstractNumId="66">
    <w:nsid w:val="8F8B73F"/>
    <w:multiLevelType w:val="hybridMultilevel"/>
    <w:lvl w:ilvl="0">
      <w:lvlJc w:val="left"/>
      <w:lvlText w:val="•"/>
      <w:numFmt w:val="bullet"/>
      <w:start w:val="1"/>
    </w:lvl>
  </w:abstractNum>
  <w:abstractNum w:abstractNumId="67">
    <w:nsid w:val="CA6B462"/>
    <w:multiLevelType w:val="hybridMultilevel"/>
    <w:lvl w:ilvl="0">
      <w:lvlJc w:val="left"/>
      <w:lvlText w:val="•"/>
      <w:numFmt w:val="bullet"/>
      <w:start w:val="1"/>
    </w:lvl>
  </w:abstractNum>
  <w:abstractNum w:abstractNumId="68">
    <w:nsid w:val="763CB680"/>
    <w:multiLevelType w:val="hybridMultilevel"/>
    <w:lvl w:ilvl="0">
      <w:lvlJc w:val="left"/>
      <w:lvlText w:val="(%1)"/>
      <w:numFmt w:val="decimal"/>
      <w:start w:val="1"/>
    </w:lvl>
  </w:abstractNum>
  <w:abstractNum w:abstractNumId="69">
    <w:nsid w:val="15B71329"/>
    <w:multiLevelType w:val="hybridMultilevel"/>
    <w:lvl w:ilvl="0">
      <w:lvlJc w:val="left"/>
      <w:lvlText w:val="•"/>
      <w:numFmt w:val="bullet"/>
      <w:start w:val="1"/>
    </w:lvl>
  </w:abstractNum>
  <w:abstractNum w:abstractNumId="70">
    <w:nsid w:val="3DA97044"/>
    <w:multiLevelType w:val="hybridMultilevel"/>
    <w:lvl w:ilvl="0">
      <w:lvlJc w:val="left"/>
      <w:lvlText w:val="(%1)"/>
      <w:numFmt w:val="decimal"/>
      <w:start w:val="1"/>
    </w:lvl>
  </w:abstractNum>
  <w:abstractNum w:abstractNumId="71">
    <w:nsid w:val="1CDCE2DE"/>
    <w:multiLevelType w:val="hybridMultilevel"/>
    <w:lvl w:ilvl="0">
      <w:lvlJc w:val="left"/>
      <w:lvlText w:val="•"/>
      <w:numFmt w:val="bullet"/>
      <w:start w:val="1"/>
    </w:lvl>
  </w:abstractNum>
  <w:abstractNum w:abstractNumId="72">
    <w:nsid w:val="69D3947C"/>
    <w:multiLevelType w:val="hybridMultilevel"/>
    <w:lvl w:ilvl="0">
      <w:lvlJc w:val="left"/>
      <w:lvlText w:val="•"/>
      <w:numFmt w:val="bullet"/>
      <w:start w:val="1"/>
    </w:lvl>
  </w:abstractNum>
  <w:abstractNum w:abstractNumId="73">
    <w:nsid w:val="2539DFA5"/>
    <w:multiLevelType w:val="hybridMultilevel"/>
    <w:lvl w:ilvl="0">
      <w:lvlJc w:val="left"/>
      <w:lvlText w:val="•"/>
      <w:numFmt w:val="bullet"/>
      <w:start w:val="1"/>
    </w:lvl>
  </w:abstractNum>
  <w:abstractNum w:abstractNumId="74">
    <w:nsid w:val="2DB88089"/>
    <w:multiLevelType w:val="hybridMultilevel"/>
    <w:lvl w:ilvl="0">
      <w:lvlJc w:val="left"/>
      <w:lvlText w:val="•"/>
      <w:numFmt w:val="bullet"/>
      <w:start w:val="1"/>
    </w:lvl>
  </w:abstractNum>
  <w:abstractNum w:abstractNumId="75">
    <w:nsid w:val="706B674E"/>
    <w:multiLevelType w:val="hybridMultilevel"/>
    <w:lvl w:ilvl="0">
      <w:lvlJc w:val="left"/>
      <w:lvlText w:val="•"/>
      <w:numFmt w:val="bullet"/>
      <w:start w:val="1"/>
    </w:lvl>
  </w:abstractNum>
  <w:abstractNum w:abstractNumId="76">
    <w:nsid w:val="2C106A57"/>
    <w:multiLevelType w:val="hybridMultilevel"/>
    <w:lvl w:ilvl="0">
      <w:lvlJc w:val="left"/>
      <w:lvlText w:val="•"/>
      <w:numFmt w:val="bullet"/>
      <w:start w:val="1"/>
    </w:lvl>
  </w:abstractNum>
  <w:abstractNum w:abstractNumId="77">
    <w:nsid w:val="684EED59"/>
    <w:multiLevelType w:val="hybridMultilevel"/>
    <w:lvl w:ilvl="0">
      <w:lvlJc w:val="left"/>
      <w:lvlText w:val="•"/>
      <w:numFmt w:val="bullet"/>
      <w:start w:val="1"/>
    </w:lvl>
  </w:abstractNum>
  <w:abstractNum w:abstractNumId="78">
    <w:nsid w:val="545EE5D3"/>
    <w:multiLevelType w:val="hybridMultilevel"/>
    <w:lvl w:ilvl="0">
      <w:lvlJc w:val="left"/>
      <w:lvlText w:val="•"/>
      <w:numFmt w:val="bullet"/>
      <w:start w:val="1"/>
    </w:lvl>
  </w:abstractNum>
  <w:abstractNum w:abstractNumId="79">
    <w:nsid w:val="4A66051"/>
    <w:multiLevelType w:val="hybridMultilevel"/>
    <w:lvl w:ilvl="0">
      <w:lvlJc w:val="left"/>
      <w:lvlText w:val="•"/>
      <w:numFmt w:val="bullet"/>
      <w:start w:val="1"/>
    </w:lvl>
  </w:abstractNum>
  <w:abstractNum w:abstractNumId="80">
    <w:nsid w:val="20F4BDAD"/>
    <w:multiLevelType w:val="hybridMultilevel"/>
    <w:lvl w:ilvl="0">
      <w:lvlJc w:val="left"/>
      <w:lvlText w:val="•"/>
      <w:numFmt w:val="bullet"/>
      <w:start w:val="1"/>
    </w:lvl>
  </w:abstractNum>
  <w:abstractNum w:abstractNumId="81">
    <w:nsid w:val="639DEFAC"/>
    <w:multiLevelType w:val="hybridMultilevel"/>
    <w:lvl w:ilvl="0">
      <w:lvlJc w:val="left"/>
      <w:lvlText w:val="•"/>
      <w:numFmt w:val="bullet"/>
      <w:start w:val="1"/>
    </w:lvl>
  </w:abstractNum>
  <w:abstractNum w:abstractNumId="82">
    <w:nsid w:val="501F9786"/>
    <w:multiLevelType w:val="hybridMultilevel"/>
    <w:lvl w:ilvl="0">
      <w:lvlJc w:val="left"/>
      <w:lvlText w:val="•"/>
      <w:numFmt w:val="bullet"/>
      <w:start w:val="1"/>
    </w:lvl>
  </w:abstractNum>
  <w:abstractNum w:abstractNumId="83">
    <w:nsid w:val="6B057295"/>
    <w:multiLevelType w:val="hybridMultilevel"/>
    <w:lvl w:ilvl="0">
      <w:lvlJc w:val="left"/>
      <w:lvlText w:val="%1."/>
      <w:numFmt w:val="upperLetter"/>
      <w:start w:val="9"/>
    </w:lvl>
  </w:abstractNum>
  <w:abstractNum w:abstractNumId="84">
    <w:nsid w:val="2771AC80"/>
    <w:multiLevelType w:val="hybridMultilevel"/>
    <w:lvl w:ilvl="0">
      <w:lvlJc w:val="left"/>
      <w:lvlText w:val="•"/>
      <w:numFmt w:val="bullet"/>
      <w:start w:val="1"/>
    </w:lvl>
  </w:abstractNum>
  <w:abstractNum w:abstractNumId="85">
    <w:nsid w:val="1C4A08EC"/>
    <w:multiLevelType w:val="hybridMultilevel"/>
    <w:lvl w:ilvl="0">
      <w:lvlJc w:val="left"/>
      <w:lvlText w:val="%1."/>
      <w:numFmt w:val="upperLetter"/>
      <w:start w:val="1"/>
    </w:lvl>
  </w:abstractNum>
  <w:abstractNum w:abstractNumId="86">
    <w:nsid w:val="1958BD17"/>
    <w:multiLevelType w:val="hybridMultilevel"/>
    <w:lvl w:ilvl="0">
      <w:lvlJc w:val="left"/>
      <w:lvlText w:val="1"/>
      <w:numFmt w:val="bullet"/>
      <w:start w:val="1"/>
    </w:lvl>
  </w:abstractNum>
  <w:abstractNum w:abstractNumId="87">
    <w:nsid w:val="4E647FE4"/>
    <w:multiLevelType w:val="hybridMultilevel"/>
    <w:lvl w:ilvl="0">
      <w:lvlJc w:val="left"/>
      <w:lvlText w:val="%1."/>
      <w:numFmt w:val="decimal"/>
      <w:start w:val="1"/>
    </w:lvl>
  </w:abstractNum>
  <w:abstractNum w:abstractNumId="88">
    <w:nsid w:val="E0BB885"/>
    <w:multiLevelType w:val="hybridMultilevel"/>
    <w:lvl w:ilvl="0">
      <w:lvlJc w:val="left"/>
      <w:lvlText w:val="•"/>
      <w:numFmt w:val="bullet"/>
      <w:start w:val="1"/>
    </w:lvl>
  </w:abstractNum>
  <w:abstractNum w:abstractNumId="89">
    <w:nsid w:val="565976F1"/>
    <w:multiLevelType w:val="hybridMultilevel"/>
    <w:lvl w:ilvl="0">
      <w:lvlJc w:val="left"/>
      <w:lvlText w:val="%1."/>
      <w:numFmt w:val="decimal"/>
      <w:start w:val="2"/>
    </w:lvl>
  </w:abstractNum>
  <w:abstractNum w:abstractNumId="90">
    <w:nsid w:val="64212B8C"/>
    <w:multiLevelType w:val="hybridMultilevel"/>
    <w:lvl w:ilvl="0">
      <w:lvlJc w:val="left"/>
      <w:lvlText w:val="•"/>
      <w:numFmt w:val="bullet"/>
      <w:start w:val="1"/>
    </w:lvl>
  </w:abstractNum>
  <w:abstractNum w:abstractNumId="91">
    <w:nsid w:val="5C17530C"/>
    <w:multiLevelType w:val="hybridMultilevel"/>
    <w:lvl w:ilvl="0">
      <w:lvlJc w:val="left"/>
      <w:lvlText w:val="%1."/>
      <w:numFmt w:val="decimal"/>
      <w:start w:val="3"/>
    </w:lvl>
  </w:abstractNum>
  <w:abstractNum w:abstractNumId="92">
    <w:nsid w:val="19A52566"/>
    <w:multiLevelType w:val="hybridMultilevel"/>
    <w:lvl w:ilvl="0">
      <w:lvlJc w:val="left"/>
      <w:lvlText w:val="%1."/>
      <w:numFmt w:val="upperLetter"/>
      <w:start w:val="35"/>
    </w:lvl>
  </w:abstractNum>
  <w:abstractNum w:abstractNumId="93">
    <w:nsid w:val="335A1DF1"/>
    <w:multiLevelType w:val="hybridMultilevel"/>
    <w:lvl w:ilvl="0">
      <w:lvlJc w:val="left"/>
      <w:lvlText w:val="•"/>
      <w:numFmt w:val="bullet"/>
      <w:start w:val="1"/>
    </w:lvl>
  </w:abstractNum>
  <w:abstractNum w:abstractNumId="94">
    <w:nsid w:val="28677B7C"/>
    <w:multiLevelType w:val="hybridMultilevel"/>
    <w:lvl w:ilvl="0">
      <w:lvlJc w:val="left"/>
      <w:lvlText w:val="•"/>
      <w:numFmt w:val="bullet"/>
      <w:start w:val="1"/>
    </w:lvl>
  </w:abstractNum>
  <w:abstractNum w:abstractNumId="95">
    <w:nsid w:val="378D97C0"/>
    <w:multiLevelType w:val="hybridMultilevel"/>
    <w:lvl w:ilvl="0">
      <w:lvlJc w:val="left"/>
      <w:lvlText w:val="•"/>
      <w:numFmt w:val="bullet"/>
      <w:start w:val="1"/>
    </w:lvl>
  </w:abstractNum>
  <w:abstractNum w:abstractNumId="96">
    <w:nsid w:val="1D91467C"/>
    <w:multiLevelType w:val="hybridMultilevel"/>
    <w:lvl w:ilvl="0">
      <w:lvlJc w:val="left"/>
      <w:lvlText w:val="•"/>
      <w:numFmt w:val="bullet"/>
      <w:start w:val="1"/>
    </w:lvl>
  </w:abstractNum>
  <w:abstractNum w:abstractNumId="97">
    <w:nsid w:val="316032BB"/>
    <w:multiLevelType w:val="hybridMultilevel"/>
    <w:lvl w:ilvl="0">
      <w:lvlJc w:val="left"/>
      <w:lvlText w:val="•"/>
      <w:numFmt w:val="bullet"/>
      <w:start w:val="1"/>
    </w:lvl>
  </w:abstractNum>
  <w:abstractNum w:abstractNumId="98">
    <w:nsid w:val="44344C22"/>
    <w:multiLevelType w:val="hybridMultilevel"/>
    <w:lvl w:ilvl="0">
      <w:lvlJc w:val="left"/>
      <w:lvlText w:val="•"/>
      <w:numFmt w:val="bullet"/>
      <w:start w:val="1"/>
    </w:lvl>
    <w:lvl w:ilvl="1">
      <w:lvlJc w:val="left"/>
      <w:lvlText w:val="•"/>
      <w:numFmt w:val="bullet"/>
      <w:start w:val="1"/>
    </w:lvl>
  </w:abstractNum>
  <w:abstractNum w:abstractNumId="99">
    <w:nsid w:val="13CDFCFC"/>
    <w:multiLevelType w:val="hybridMultilevel"/>
    <w:lvl w:ilvl="0">
      <w:lvlJc w:val="left"/>
      <w:lvlText w:val="•"/>
      <w:numFmt w:val="bullet"/>
      <w:start w:val="1"/>
    </w:lvl>
  </w:abstractNum>
  <w:abstractNum w:abstractNumId="100">
    <w:nsid w:val="471745E4"/>
    <w:multiLevelType w:val="hybridMultilevel"/>
    <w:lvl w:ilvl="0">
      <w:lvlJc w:val="left"/>
      <w:lvlText w:val="•"/>
      <w:numFmt w:val="bullet"/>
      <w:start w:val="1"/>
    </w:lvl>
  </w:abstractNum>
  <w:abstractNum w:abstractNumId="101">
    <w:nsid w:val="1DDBC66"/>
    <w:multiLevelType w:val="hybridMultilevel"/>
    <w:lvl w:ilvl="0">
      <w:lvlJc w:val="left"/>
      <w:lvlText w:val="•"/>
      <w:numFmt w:val="bullet"/>
      <w:start w:val="1"/>
    </w:lvl>
  </w:abstractNum>
  <w:abstractNum w:abstractNumId="102">
    <w:nsid w:val="30AADFDA"/>
    <w:multiLevelType w:val="hybridMultilevel"/>
    <w:lvl w:ilvl="0">
      <w:lvlJc w:val="left"/>
      <w:lvlText w:val="•"/>
      <w:numFmt w:val="bullet"/>
      <w:start w:val="1"/>
    </w:lvl>
  </w:abstractNum>
  <w:abstractNum w:abstractNumId="103">
    <w:nsid w:val="30EADA61"/>
    <w:multiLevelType w:val="hybridMultilevel"/>
    <w:lvl w:ilvl="0">
      <w:lvlJc w:val="left"/>
      <w:lvlText w:val="•"/>
      <w:numFmt w:val="bullet"/>
      <w:start w:val="1"/>
    </w:lvl>
  </w:abstractNum>
  <w:abstractNum w:abstractNumId="104">
    <w:nsid w:val="27179C0B"/>
    <w:multiLevelType w:val="hybridMultilevel"/>
    <w:lvl w:ilvl="0">
      <w:lvlJc w:val="left"/>
      <w:lvlText w:val="•"/>
      <w:numFmt w:val="bullet"/>
      <w:start w:val="1"/>
    </w:lvl>
  </w:abstractNum>
  <w:abstractNum w:abstractNumId="105">
    <w:nsid w:val="5E636063"/>
    <w:multiLevelType w:val="hybridMultilevel"/>
    <w:lvl w:ilvl="0">
      <w:lvlJc w:val="left"/>
      <w:lvlText w:val="•"/>
      <w:numFmt w:val="bullet"/>
      <w:start w:val="1"/>
    </w:lvl>
  </w:abstractNum>
  <w:abstractNum w:abstractNumId="106">
    <w:nsid w:val="215641AF"/>
    <w:multiLevelType w:val="hybridMultilevel"/>
    <w:lvl w:ilvl="0">
      <w:lvlJc w:val="left"/>
      <w:lvlText w:val="•"/>
      <w:numFmt w:val="bullet"/>
      <w:start w:val="1"/>
    </w:lvl>
  </w:abstractNum>
  <w:abstractNum w:abstractNumId="107">
    <w:nsid w:val="53280662"/>
    <w:multiLevelType w:val="hybridMultilevel"/>
    <w:lvl w:ilvl="0">
      <w:lvlJc w:val="left"/>
      <w:lvlText w:val="•"/>
      <w:numFmt w:val="bullet"/>
      <w:start w:val="1"/>
    </w:lvl>
  </w:abstractNum>
  <w:abstractNum w:abstractNumId="108">
    <w:nsid w:val="46B24DBC"/>
    <w:multiLevelType w:val="hybridMultilevel"/>
    <w:lvl w:ilvl="0">
      <w:lvlJc w:val="left"/>
      <w:lvlText w:val="•"/>
      <w:numFmt w:val="bullet"/>
      <w:start w:val="1"/>
    </w:lvl>
  </w:abstractNum>
  <w:abstractNum w:abstractNumId="109">
    <w:nsid w:val="75B52783"/>
    <w:multiLevelType w:val="hybridMultilevel"/>
    <w:lvl w:ilvl="0">
      <w:lvlJc w:val="left"/>
      <w:lvlText w:val="•"/>
      <w:numFmt w:val="bullet"/>
      <w:start w:val="1"/>
    </w:lvl>
  </w:abstractNum>
  <w:abstractNum w:abstractNumId="110">
    <w:nsid w:val="57CE66B4"/>
    <w:multiLevelType w:val="hybridMultilevel"/>
    <w:lvl w:ilvl="0">
      <w:lvlJc w:val="left"/>
      <w:lvlText w:val="•"/>
      <w:numFmt w:val="bullet"/>
      <w:start w:val="1"/>
    </w:lvl>
  </w:abstractNum>
  <w:abstractNum w:abstractNumId="111">
    <w:nsid w:val="67A70B69"/>
    <w:multiLevelType w:val="hybridMultilevel"/>
    <w:lvl w:ilvl="0">
      <w:lvlJc w:val="left"/>
      <w:lvlText w:val="%1."/>
      <w:numFmt w:val="upperLetter"/>
      <w:start w:val="22"/>
    </w:lvl>
  </w:abstractNum>
  <w:abstractNum w:abstractNumId="112">
    <w:nsid w:val="5953172F"/>
    <w:multiLevelType w:val="hybridMultilevel"/>
    <w:lvl w:ilvl="0">
      <w:lvlJc w:val="left"/>
      <w:lvlText w:val="•"/>
      <w:numFmt w:val="bullet"/>
      <w:start w:val="1"/>
    </w:lvl>
  </w:abstractNum>
  <w:abstractNum w:abstractNumId="113">
    <w:nsid w:val="27EDFE3A"/>
    <w:multiLevelType w:val="hybridMultilevel"/>
    <w:lvl w:ilvl="0">
      <w:lvlJc w:val="left"/>
      <w:lvlText w:val="•"/>
      <w:numFmt w:val="bullet"/>
      <w:start w:val="1"/>
    </w:lvl>
  </w:abstractNum>
  <w:abstractNum w:abstractNumId="114">
    <w:nsid w:val="52AC7DFF"/>
    <w:multiLevelType w:val="hybridMultilevel"/>
    <w:lvl w:ilvl="0">
      <w:lvlJc w:val="left"/>
      <w:lvlText w:val="•"/>
      <w:numFmt w:val="bullet"/>
      <w:start w:val="1"/>
    </w:lvl>
  </w:abstractNum>
  <w:abstractNum w:abstractNumId="115">
    <w:nsid w:val="C4C3AF"/>
    <w:multiLevelType w:val="hybridMultilevel"/>
    <w:lvl w:ilvl="0">
      <w:lvlJc w:val="left"/>
      <w:lvlText w:val="%1."/>
      <w:numFmt w:val="decimal"/>
      <w:start w:val="1"/>
    </w:lvl>
  </w:abstractNum>
  <w:abstractNum w:abstractNumId="116">
    <w:nsid w:val="44380727"/>
    <w:multiLevelType w:val="hybridMultilevel"/>
    <w:lvl w:ilvl="0">
      <w:lvlJc w:val="left"/>
      <w:lvlText w:val="%1."/>
      <w:numFmt w:val="upperLetter"/>
      <w:start w:val="1"/>
    </w:lvl>
  </w:abstractNum>
  <w:abstractNum w:abstractNumId="117">
    <w:nsid w:val="6C053B16"/>
    <w:multiLevelType w:val="hybridMultilevel"/>
    <w:lvl w:ilvl="0">
      <w:lvlJc w:val="left"/>
      <w:lvlText w:val="%1."/>
      <w:numFmt w:val="decimal"/>
      <w:start w:val="1"/>
    </w:lvl>
  </w:abstractNum>
  <w:abstractNum w:abstractNumId="118">
    <w:nsid w:val="4F294393"/>
    <w:multiLevelType w:val="hybridMultilevel"/>
    <w:lvl w:ilvl="0">
      <w:lvlJc w:val="left"/>
      <w:lvlText w:val="•"/>
      <w:numFmt w:val="bullet"/>
      <w:start w:val="1"/>
    </w:lvl>
  </w:abstractNum>
  <w:abstractNum w:abstractNumId="119">
    <w:nsid w:val="5243BFAC"/>
    <w:multiLevelType w:val="hybridMultilevel"/>
    <w:lvl w:ilvl="0">
      <w:lvlJc w:val="left"/>
      <w:lvlText w:val="•"/>
      <w:numFmt w:val="bullet"/>
      <w:start w:val="1"/>
    </w:lvl>
  </w:abstractNum>
  <w:abstractNum w:abstractNumId="120">
    <w:nsid w:val="425EB207"/>
    <w:multiLevelType w:val="hybridMultilevel"/>
    <w:lvl w:ilvl="0">
      <w:lvlJc w:val="left"/>
      <w:lvlText w:val="%1."/>
      <w:numFmt w:val="decimal"/>
      <w:start w:val="2"/>
    </w:lvl>
  </w:abstractNum>
  <w:abstractNum w:abstractNumId="121">
    <w:nsid w:val="334A6F1F"/>
    <w:multiLevelType w:val="hybridMultilevel"/>
    <w:lvl w:ilvl="0">
      <w:lvlJc w:val="left"/>
      <w:lvlText w:val="%1."/>
      <w:numFmt w:val="decimal"/>
      <w:start w:val="3"/>
    </w:lvl>
  </w:abstractNum>
  <w:abstractNum w:abstractNumId="122">
    <w:nsid w:val="2E5B12B8"/>
    <w:multiLevelType w:val="hybridMultilevel"/>
    <w:lvl w:ilvl="0">
      <w:lvlJc w:val="left"/>
      <w:lvlText w:val="%1."/>
      <w:numFmt w:val="upperLetter"/>
      <w:start w:val="2"/>
    </w:lvl>
  </w:abstractNum>
  <w:abstractNum w:abstractNumId="123">
    <w:nsid w:val="5C03D76D"/>
    <w:multiLevelType w:val="hybridMultilevel"/>
    <w:lvl w:ilvl="0">
      <w:lvlJc w:val="left"/>
      <w:lvlText w:val="%1."/>
      <w:numFmt w:val="decimal"/>
      <w:start w:val="1"/>
    </w:lvl>
  </w:abstractNum>
  <w:abstractNum w:abstractNumId="124">
    <w:nsid w:val="66A48D11"/>
    <w:multiLevelType w:val="hybridMultilevel"/>
    <w:lvl w:ilvl="0">
      <w:lvlJc w:val="left"/>
      <w:lvlText w:val="%1."/>
      <w:numFmt w:val="decimal"/>
      <w:start w:val="2"/>
    </w:lvl>
  </w:abstractNum>
  <w:abstractNum w:abstractNumId="125">
    <w:nsid w:val="56C28E34"/>
    <w:multiLevelType w:val="hybridMultilevel"/>
    <w:lvl w:ilvl="0">
      <w:lvlJc w:val="left"/>
      <w:lvlText w:val="%1."/>
      <w:numFmt w:val="upperLetter"/>
      <w:start w:val="3"/>
    </w:lvl>
  </w:abstractNum>
  <w:abstractNum w:abstractNumId="126">
    <w:nsid w:val="13916F2D"/>
    <w:multiLevelType w:val="hybridMultilevel"/>
    <w:lvl w:ilvl="0">
      <w:lvlJc w:val="left"/>
      <w:lvlText w:val="%1."/>
      <w:numFmt w:val="decimal"/>
      <w:start w:val="1"/>
    </w:lvl>
  </w:abstractNum>
  <w:abstractNum w:abstractNumId="127">
    <w:nsid w:val="435D38D"/>
    <w:multiLevelType w:val="hybridMultilevel"/>
    <w:lvl w:ilvl="0">
      <w:lvlJc w:val="left"/>
      <w:lvlText w:val="%1."/>
      <w:numFmt w:val="decimal"/>
      <w:start w:val="2"/>
    </w:lvl>
  </w:abstractNum>
  <w:abstractNum w:abstractNumId="128">
    <w:nsid w:val="822C0EF"/>
    <w:multiLevelType w:val="hybridMultilevel"/>
    <w:lvl w:ilvl="0">
      <w:lvlJc w:val="left"/>
      <w:lvlText w:val="•"/>
      <w:numFmt w:val="bullet"/>
      <w:start w:val="1"/>
    </w:lvl>
  </w:abstractNum>
  <w:abstractNum w:abstractNumId="129">
    <w:nsid w:val="57C5BB4F"/>
    <w:multiLevelType w:val="hybridMultilevel"/>
    <w:lvl w:ilvl="0">
      <w:lvlJc w:val="left"/>
      <w:lvlText w:val="•"/>
      <w:numFmt w:val="bullet"/>
      <w:start w:val="1"/>
    </w:lvl>
  </w:abstractNum>
  <w:abstractNum w:abstractNumId="130">
    <w:nsid w:val="1803D089"/>
    <w:multiLevelType w:val="hybridMultilevel"/>
    <w:lvl w:ilvl="0">
      <w:lvlJc w:val="left"/>
      <w:lvlText w:val="%1."/>
      <w:numFmt w:val="decimal"/>
      <w:start w:val="3"/>
    </w:lvl>
  </w:abstractNum>
  <w:abstractNum w:abstractNumId="131">
    <w:nsid w:val="4F3A06D4"/>
    <w:multiLevelType w:val="hybridMultilevel"/>
    <w:lvl w:ilvl="0">
      <w:lvlJc w:val="left"/>
      <w:lvlText w:val="•"/>
      <w:numFmt w:val="bullet"/>
      <w:start w:val="1"/>
    </w:lvl>
  </w:abstractNum>
  <w:abstractNum w:abstractNumId="132">
    <w:nsid w:val="59A377B6"/>
    <w:multiLevelType w:val="hybridMultilevel"/>
    <w:lvl w:ilvl="0">
      <w:lvlJc w:val="left"/>
      <w:lvlText w:val="%1."/>
      <w:numFmt w:val="upperLetter"/>
      <w:start w:val="1"/>
    </w:lvl>
  </w:abstractNum>
  <w:abstractNum w:abstractNumId="133">
    <w:nsid w:val="48AEB063"/>
    <w:multiLevelType w:val="hybridMultilevel"/>
    <w:lvl w:ilvl="0">
      <w:lvlJc w:val="left"/>
      <w:lvlText w:val="•"/>
      <w:numFmt w:val="bullet"/>
      <w:start w:val="1"/>
    </w:lvl>
  </w:abstractNum>
  <w:abstractNum w:abstractNumId="134">
    <w:nsid w:val="24E135"/>
    <w:multiLevelType w:val="hybridMultilevel"/>
    <w:lvl w:ilvl="0">
      <w:lvlJc w:val="left"/>
      <w:lvlText w:val="%1."/>
      <w:numFmt w:val="upperLetter"/>
      <w:start w:val="2"/>
    </w:lvl>
  </w:abstractNum>
  <w:abstractNum w:abstractNumId="135">
    <w:nsid w:val="BB13C1"/>
    <w:multiLevelType w:val="hybridMultilevel"/>
    <w:lvl w:ilvl="0">
      <w:lvlJc w:val="left"/>
      <w:lvlText w:val="•"/>
      <w:numFmt w:val="bullet"/>
      <w:start w:val="1"/>
    </w:lvl>
  </w:abstractNum>
  <w:abstractNum w:abstractNumId="136">
    <w:nsid w:val="271210C7"/>
    <w:multiLevelType w:val="hybridMultilevel"/>
    <w:lvl w:ilvl="0">
      <w:lvlJc w:val="left"/>
      <w:lvlText w:val="%1."/>
      <w:numFmt w:val="decimal"/>
      <w:start w:val="1"/>
    </w:lvl>
  </w:abstractNum>
  <w:abstractNum w:abstractNumId="137">
    <w:nsid w:val="217B22E4"/>
    <w:multiLevelType w:val="hybridMultilevel"/>
    <w:lvl w:ilvl="0">
      <w:lvlJc w:val="left"/>
      <w:lvlText w:val="%1."/>
      <w:numFmt w:val="decimal"/>
      <w:start w:val="2"/>
    </w:lvl>
  </w:abstractNum>
  <w:abstractNum w:abstractNumId="138">
    <w:nsid w:val="53E31A24"/>
    <w:multiLevelType w:val="hybridMultilevel"/>
    <w:lvl w:ilvl="0">
      <w:lvlJc w:val="left"/>
      <w:lvlText w:val="%1."/>
      <w:numFmt w:val="decimal"/>
      <w:start w:val="3"/>
    </w:lvl>
  </w:abstractNum>
  <w:abstractNum w:abstractNumId="139">
    <w:nsid w:val="6DC45E83"/>
    <w:multiLevelType w:val="hybridMultilevel"/>
    <w:lvl w:ilvl="0">
      <w:lvlJc w:val="left"/>
      <w:lvlText w:val="%1."/>
      <w:numFmt w:val="decimal"/>
      <w:start w:val="4"/>
    </w:lvl>
  </w:abstractNum>
  <w:abstractNum w:abstractNumId="140">
    <w:nsid w:val="17304A67"/>
    <w:multiLevelType w:val="hybridMultilevel"/>
    <w:lvl w:ilvl="0">
      <w:lvlJc w:val="left"/>
      <w:lvlText w:val="%1."/>
      <w:numFmt w:val="upperLetter"/>
      <w:start w:val="3"/>
    </w:lvl>
  </w:abstractNum>
  <w:abstractNum w:abstractNumId="141">
    <w:nsid w:val="2BB180D8"/>
    <w:multiLevelType w:val="hybridMultilevel"/>
    <w:lvl w:ilvl="0">
      <w:lvlJc w:val="left"/>
      <w:lvlText w:val="•"/>
      <w:numFmt w:val="bullet"/>
      <w:start w:val="1"/>
    </w:lvl>
  </w:abstractNum>
  <w:abstractNum w:abstractNumId="142">
    <w:nsid w:val="556B69ED"/>
    <w:multiLevelType w:val="hybridMultilevel"/>
    <w:lvl w:ilvl="0">
      <w:lvlJc w:val="left"/>
      <w:lvlText w:val="%1."/>
      <w:numFmt w:val="upperLetter"/>
      <w:start w:val="4"/>
    </w:lvl>
  </w:abstractNum>
  <w:abstractNum w:abstractNumId="143">
    <w:nsid w:val="70836196"/>
    <w:multiLevelType w:val="hybridMultilevel"/>
    <w:lvl w:ilvl="0">
      <w:lvlJc w:val="left"/>
      <w:lvlText w:val="%1."/>
      <w:numFmt w:val="decimal"/>
      <w:start w:val="1"/>
    </w:lvl>
  </w:abstractNum>
  <w:abstractNum w:abstractNumId="144">
    <w:nsid w:val="539F7F12"/>
    <w:multiLevelType w:val="hybridMultilevel"/>
    <w:lvl w:ilvl="0">
      <w:lvlJc w:val="left"/>
      <w:lvlText w:val="•"/>
      <w:numFmt w:val="bullet"/>
      <w:start w:val="1"/>
    </w:lvl>
  </w:abstractNum>
  <w:abstractNum w:abstractNumId="145">
    <w:nsid w:val="2817E7EC"/>
    <w:multiLevelType w:val="hybridMultilevel"/>
    <w:lvl w:ilvl="0">
      <w:lvlJc w:val="left"/>
      <w:lvlText w:val="%1)"/>
      <w:numFmt w:val="lowerLetter"/>
      <w:start w:val="1"/>
    </w:lvl>
  </w:abstractNum>
  <w:abstractNum w:abstractNumId="146">
    <w:nsid w:val="71482545"/>
    <w:multiLevelType w:val="hybridMultilevel"/>
    <w:lvl w:ilvl="0">
      <w:lvlJc w:val="left"/>
      <w:lvlText w:val="•"/>
      <w:numFmt w:val="bullet"/>
      <w:start w:val="1"/>
    </w:lvl>
  </w:abstractNum>
  <w:abstractNum w:abstractNumId="147">
    <w:nsid w:val="17D78639"/>
    <w:multiLevelType w:val="hybridMultilevel"/>
    <w:lvl w:ilvl="0">
      <w:lvlJc w:val="left"/>
      <w:lvlText w:val="%1)"/>
      <w:numFmt w:val="lowerLetter"/>
      <w:start w:val="2"/>
    </w:lvl>
  </w:abstractNum>
  <w:abstractNum w:abstractNumId="148">
    <w:nsid w:val="141D2302"/>
    <w:multiLevelType w:val="hybridMultilevel"/>
    <w:lvl w:ilvl="0">
      <w:lvlJc w:val="left"/>
      <w:lvlText w:val="•"/>
      <w:numFmt w:val="bullet"/>
      <w:start w:val="1"/>
    </w:lvl>
  </w:abstractNum>
  <w:abstractNum w:abstractNumId="149">
    <w:nsid w:val="407168D8"/>
    <w:multiLevelType w:val="hybridMultilevel"/>
    <w:lvl w:ilvl="0">
      <w:lvlJc w:val="left"/>
      <w:lvlText w:val="•"/>
      <w:numFmt w:val="bullet"/>
      <w:start w:val="1"/>
    </w:lvl>
  </w:abstractNum>
  <w:abstractNum w:abstractNumId="150">
    <w:nsid w:val="6A1B45E5"/>
    <w:multiLevelType w:val="hybridMultilevel"/>
    <w:lvl w:ilvl="0">
      <w:lvlJc w:val="left"/>
      <w:lvlText w:val="•"/>
      <w:numFmt w:val="bullet"/>
      <w:start w:val="1"/>
    </w:lvl>
  </w:abstractNum>
  <w:abstractNum w:abstractNumId="151">
    <w:nsid w:val="567BD50A"/>
    <w:multiLevelType w:val="hybridMultilevel"/>
    <w:lvl w:ilvl="0">
      <w:lvlJc w:val="left"/>
      <w:lvlText w:val="%1)"/>
      <w:numFmt w:val="lowerLetter"/>
      <w:start w:val="3"/>
    </w:lvl>
  </w:abstractNum>
  <w:abstractNum w:abstractNumId="152">
    <w:nsid w:val="73BBD7F8"/>
    <w:multiLevelType w:val="hybridMultilevel"/>
    <w:lvl w:ilvl="0">
      <w:lvlJc w:val="left"/>
      <w:lvlText w:val="•"/>
      <w:numFmt w:val="bullet"/>
      <w:start w:val="1"/>
    </w:lvl>
  </w:abstractNum>
  <w:abstractNum w:abstractNumId="153">
    <w:nsid w:val="1876589D"/>
    <w:multiLevelType w:val="hybridMultilevel"/>
    <w:lvl w:ilvl="0">
      <w:lvlJc w:val="left"/>
      <w:lvlText w:val="2"/>
      <w:numFmt w:val="bullet"/>
      <w:start w:val="1"/>
    </w:lvl>
  </w:abstractNum>
  <w:abstractNum w:abstractNumId="154">
    <w:nsid w:val="327FAC77"/>
    <w:multiLevelType w:val="hybridMultilevel"/>
    <w:lvl w:ilvl="0">
      <w:lvlJc w:val="left"/>
      <w:lvlText w:val="%1."/>
      <w:numFmt w:val="decimal"/>
      <w:start w:val="2"/>
    </w:lvl>
  </w:abstractNum>
  <w:abstractNum w:abstractNumId="155">
    <w:nsid w:val="5A606509"/>
    <w:multiLevelType w:val="hybridMultilevel"/>
    <w:lvl w:ilvl="0">
      <w:lvlJc w:val="left"/>
      <w:lvlText w:val="•"/>
      <w:numFmt w:val="bullet"/>
      <w:start w:val="1"/>
    </w:lvl>
  </w:abstractNum>
  <w:abstractNum w:abstractNumId="156">
    <w:nsid w:val="6F38E6D1"/>
    <w:multiLevelType w:val="hybridMultilevel"/>
    <w:lvl w:ilvl="0">
      <w:lvlJc w:val="left"/>
      <w:lvlText w:val="•"/>
      <w:numFmt w:val="bullet"/>
      <w:start w:val="1"/>
    </w:lvl>
  </w:abstractNum>
  <w:abstractNum w:abstractNumId="157">
    <w:nsid w:val="46111BA5"/>
    <w:multiLevelType w:val="hybridMultilevel"/>
    <w:lvl w:ilvl="0">
      <w:lvlJc w:val="left"/>
      <w:lvlText w:val="•"/>
      <w:numFmt w:val="bullet"/>
      <w:start w:val="1"/>
    </w:lvl>
  </w:abstractNum>
  <w:abstractNum w:abstractNumId="158">
    <w:nsid w:val="5E963896"/>
    <w:multiLevelType w:val="hybridMultilevel"/>
    <w:lvl w:ilvl="0">
      <w:lvlJc w:val="left"/>
      <w:lvlText w:val="•"/>
      <w:numFmt w:val="bullet"/>
      <w:start w:val="1"/>
    </w:lvl>
  </w:abstractNum>
  <w:abstractNum w:abstractNumId="159">
    <w:nsid w:val="775BA7C1"/>
    <w:multiLevelType w:val="hybridMultilevel"/>
    <w:lvl w:ilvl="0">
      <w:lvlJc w:val="left"/>
      <w:lvlText w:val="•"/>
      <w:numFmt w:val="bullet"/>
      <w:start w:val="1"/>
    </w:lvl>
  </w:abstractNum>
  <w:abstractNum w:abstractNumId="160">
    <w:nsid w:val="1DD6D6F4"/>
    <w:multiLevelType w:val="hybridMultilevel"/>
    <w:lvl w:ilvl="0">
      <w:lvlJc w:val="left"/>
      <w:lvlText w:val="%1."/>
      <w:numFmt w:val="decimal"/>
      <w:start w:val="4"/>
    </w:lvl>
  </w:abstractNum>
  <w:abstractNum w:abstractNumId="161">
    <w:nsid w:val="769A091F"/>
    <w:multiLevelType w:val="hybridMultilevel"/>
    <w:lvl w:ilvl="0">
      <w:lvlJc w:val="left"/>
      <w:lvlText w:val="•"/>
      <w:numFmt w:val="bullet"/>
      <w:start w:val="1"/>
    </w:lvl>
  </w:abstractNum>
  <w:abstractNum w:abstractNumId="162">
    <w:nsid w:val="4695AE95"/>
    <w:multiLevelType w:val="hybridMultilevel"/>
    <w:lvl w:ilvl="0">
      <w:lvlJc w:val="left"/>
      <w:lvlText w:val="%1."/>
      <w:numFmt w:val="decimal"/>
      <w:start w:val="5"/>
    </w:lvl>
  </w:abstractNum>
  <w:abstractNum w:abstractNumId="163">
    <w:nsid w:val="777A4EAA"/>
    <w:multiLevelType w:val="hybridMultilevel"/>
    <w:lvl w:ilvl="0">
      <w:lvlJc w:val="left"/>
      <w:lvlText w:val="•"/>
      <w:numFmt w:val="bullet"/>
      <w:start w:val="1"/>
    </w:lvl>
  </w:abstractNum>
  <w:abstractNum w:abstractNumId="164">
    <w:nsid w:val="3F48B982"/>
    <w:multiLevelType w:val="hybridMultilevel"/>
    <w:lvl w:ilvl="0">
      <w:lvlJc w:val="left"/>
      <w:lvlText w:val="•"/>
      <w:numFmt w:val="bullet"/>
      <w:start w:val="1"/>
    </w:lvl>
  </w:abstractNum>
  <w:abstractNum w:abstractNumId="165">
    <w:nsid w:val="46BA8FCA"/>
    <w:multiLevelType w:val="hybridMultilevel"/>
    <w:lvl w:ilvl="0">
      <w:lvlJc w:val="left"/>
      <w:lvlText w:val="•"/>
      <w:numFmt w:val="bullet"/>
      <w:start w:val="1"/>
    </w:lvl>
  </w:abstractNum>
  <w:abstractNum w:abstractNumId="166">
    <w:nsid w:val="7835626C"/>
    <w:multiLevelType w:val="hybridMultilevel"/>
    <w:lvl w:ilvl="0">
      <w:lvlJc w:val="left"/>
      <w:lvlText w:val="%1."/>
      <w:numFmt w:val="upperLetter"/>
      <w:start w:val="1"/>
    </w:lvl>
  </w:abstractNum>
  <w:abstractNum w:abstractNumId="167">
    <w:nsid w:val="665ACA49"/>
    <w:multiLevelType w:val="hybridMultilevel"/>
    <w:lvl w:ilvl="0">
      <w:lvlJc w:val="left"/>
      <w:lvlText w:val="•"/>
      <w:numFmt w:val="bullet"/>
      <w:start w:val="1"/>
    </w:lvl>
  </w:abstractNum>
  <w:abstractNum w:abstractNumId="168">
    <w:nsid w:val="6835B2AE"/>
    <w:multiLevelType w:val="hybridMultilevel"/>
    <w:lvl w:ilvl="0">
      <w:lvlJc w:val="left"/>
      <w:lvlText w:val="•"/>
      <w:numFmt w:val="bullet"/>
      <w:start w:val="1"/>
    </w:lvl>
  </w:abstractNum>
  <w:abstractNum w:abstractNumId="169">
    <w:nsid w:val="4C187C90"/>
    <w:multiLevelType w:val="hybridMultilevel"/>
    <w:lvl w:ilvl="0">
      <w:lvlJc w:val="left"/>
      <w:lvlText w:val="•"/>
      <w:numFmt w:val="bullet"/>
      <w:start w:val="1"/>
    </w:lvl>
  </w:abstractNum>
  <w:abstractNum w:abstractNumId="170">
    <w:nsid w:val="541F28CD"/>
    <w:multiLevelType w:val="hybridMultilevel"/>
    <w:lvl w:ilvl="0">
      <w:lvlJc w:val="left"/>
      <w:lvlText w:val="•"/>
      <w:numFmt w:val="bullet"/>
      <w:start w:val="1"/>
    </w:lvl>
  </w:abstractNum>
  <w:abstractNum w:abstractNumId="171">
    <w:nsid w:val="7F65FD16"/>
    <w:multiLevelType w:val="hybridMultilevel"/>
    <w:lvl w:ilvl="0">
      <w:lvlJc w:val="left"/>
      <w:lvlText w:val="(%1)"/>
      <w:numFmt w:val="upperLetter"/>
      <w:start w:val="2"/>
    </w:lvl>
  </w:abstractNum>
  <w:abstractNum w:abstractNumId="172">
    <w:nsid w:val="77C9FD68"/>
    <w:multiLevelType w:val="hybridMultilevel"/>
    <w:lvl w:ilvl="0">
      <w:lvlJc w:val="left"/>
      <w:lvlText w:val="%1."/>
      <w:numFmt w:val="upperLetter"/>
      <w:start w:val="2"/>
    </w:lvl>
  </w:abstractNum>
  <w:abstractNum w:abstractNumId="173">
    <w:nsid w:val="298A92BA"/>
    <w:multiLevelType w:val="hybridMultilevel"/>
    <w:lvl w:ilvl="0">
      <w:lvlJc w:val="left"/>
      <w:lvlText w:val="•"/>
      <w:numFmt w:val="bullet"/>
      <w:start w:val="1"/>
    </w:lvl>
  </w:abstractNum>
  <w:abstractNum w:abstractNumId="174">
    <w:nsid w:val="6FE95EAC"/>
    <w:multiLevelType w:val="hybridMultilevel"/>
    <w:lvl w:ilvl="0">
      <w:lvlJc w:val="left"/>
      <w:lvlText w:val="%1."/>
      <w:numFmt w:val="upperLetter"/>
      <w:start w:val="24"/>
    </w:lvl>
  </w:abstractNum>
  <w:abstractNum w:abstractNumId="175">
    <w:nsid w:val="4B697C7A"/>
    <w:multiLevelType w:val="hybridMultilevel"/>
    <w:lvl w:ilvl="0">
      <w:lvlJc w:val="left"/>
      <w:lvlText w:val="%1."/>
      <w:numFmt w:val="upperLetter"/>
      <w:start w:val="1"/>
    </w:lvl>
  </w:abstractNum>
  <w:abstractNum w:abstractNumId="176">
    <w:nsid w:val="51A27AA6"/>
    <w:multiLevelType w:val="hybridMultilevel"/>
    <w:lvl w:ilvl="0">
      <w:lvlJc w:val="left"/>
      <w:lvlText w:val="•"/>
      <w:numFmt w:val="bullet"/>
      <w:start w:val="1"/>
    </w:lvl>
  </w:abstractNum>
  <w:abstractNum w:abstractNumId="177">
    <w:nsid w:val="613183F2"/>
    <w:multiLevelType w:val="hybridMultilevel"/>
    <w:lvl w:ilvl="0">
      <w:lvlJc w:val="left"/>
      <w:lvlText w:val="•"/>
      <w:numFmt w:val="bullet"/>
      <w:start w:val="1"/>
    </w:lvl>
  </w:abstractNum>
  <w:abstractNum w:abstractNumId="178">
    <w:nsid w:val="634102B4"/>
    <w:multiLevelType w:val="hybridMultilevel"/>
    <w:lvl w:ilvl="0">
      <w:lvlJc w:val="left"/>
      <w:lvlText w:val="%1."/>
      <w:numFmt w:val="upperLetter"/>
      <w:start w:val="2"/>
    </w:lvl>
  </w:abstractNum>
  <w:abstractNum w:abstractNumId="179">
    <w:nsid w:val="65BF9DA8"/>
    <w:multiLevelType w:val="hybridMultilevel"/>
    <w:lvl w:ilvl="0">
      <w:lvlJc w:val="left"/>
      <w:lvlText w:val="%1."/>
      <w:numFmt w:val="decimal"/>
      <w:start w:val="1"/>
    </w:lvl>
  </w:abstractNum>
  <w:abstractNum w:abstractNumId="180">
    <w:nsid w:val="21A2ECCA"/>
    <w:multiLevelType w:val="hybridMultilevel"/>
    <w:lvl w:ilvl="0">
      <w:lvlJc w:val="left"/>
      <w:lvlText w:val="%1."/>
      <w:numFmt w:val="decimal"/>
      <w:start w:val="2"/>
    </w:lvl>
  </w:abstractNum>
  <w:abstractNum w:abstractNumId="181">
    <w:nsid w:val="4D5C4899"/>
    <w:multiLevelType w:val="hybridMultilevel"/>
    <w:lvl w:ilvl="0">
      <w:lvlJc w:val="left"/>
      <w:lvlText w:val="•"/>
      <w:numFmt w:val="bullet"/>
      <w:start w:val="1"/>
    </w:lvl>
  </w:abstractNum>
  <w:abstractNum w:abstractNumId="182">
    <w:nsid w:val="3C3B72B2"/>
    <w:multiLevelType w:val="hybridMultilevel"/>
    <w:lvl w:ilvl="0">
      <w:lvlJc w:val="left"/>
      <w:lvlText w:val="1"/>
      <w:numFmt w:val="bullet"/>
      <w:start w:val="1"/>
    </w:lvl>
  </w:abstractNum>
  <w:abstractNum w:abstractNumId="183">
    <w:nsid w:val="155EC4C2"/>
    <w:multiLevelType w:val="hybridMultilevel"/>
    <w:lvl w:ilvl="0">
      <w:lvlJc w:val="left"/>
      <w:lvlText w:val="%1."/>
      <w:numFmt w:val="upperLetter"/>
      <w:start w:val="1"/>
    </w:lvl>
  </w:abstractNum>
  <w:abstractNum w:abstractNumId="184">
    <w:nsid w:val="65D2A137"/>
    <w:multiLevelType w:val="hybridMultilevel"/>
    <w:lvl w:ilvl="0">
      <w:lvlJc w:val="left"/>
      <w:lvlText w:val="%1."/>
      <w:numFmt w:val="decimal"/>
      <w:start w:val="1"/>
    </w:lvl>
  </w:abstractNum>
  <w:abstractNum w:abstractNumId="185">
    <w:nsid w:val="6EBB1F2A"/>
    <w:multiLevelType w:val="hybridMultilevel"/>
    <w:lvl w:ilvl="0">
      <w:lvlJc w:val="left"/>
      <w:lvlText w:val="%1)"/>
      <w:numFmt w:val="lowerLetter"/>
      <w:start w:val="1"/>
    </w:lvl>
  </w:abstractNum>
  <w:abstractNum w:abstractNumId="186">
    <w:nsid w:val="6FBF29CB"/>
    <w:multiLevelType w:val="hybridMultilevel"/>
    <w:lvl w:ilvl="0">
      <w:lvlJc w:val="left"/>
      <w:lvlText w:val="•"/>
      <w:numFmt w:val="bullet"/>
      <w:start w:val="1"/>
    </w:lvl>
  </w:abstractNum>
  <w:abstractNum w:abstractNumId="187">
    <w:nsid w:val="550B8808"/>
    <w:multiLevelType w:val="hybridMultilevel"/>
    <w:lvl w:ilvl="0">
      <w:lvlJc w:val="left"/>
      <w:lvlText w:val="%1)"/>
      <w:numFmt w:val="lowerLetter"/>
      <w:start w:val="2"/>
    </w:lvl>
  </w:abstractNum>
  <w:abstractNum w:abstractNumId="188">
    <w:nsid w:val="34CC3ACF"/>
    <w:multiLevelType w:val="hybridMultilevel"/>
    <w:lvl w:ilvl="0">
      <w:lvlJc w:val="left"/>
      <w:lvlText w:val="%1)"/>
      <w:numFmt w:val="lowerLetter"/>
      <w:start w:val="3"/>
    </w:lvl>
  </w:abstractNum>
  <w:abstractNum w:abstractNumId="189">
    <w:nsid w:val="4E556261"/>
    <w:multiLevelType w:val="hybridMultilevel"/>
    <w:lvl w:ilvl="0">
      <w:lvlJc w:val="left"/>
      <w:lvlText w:val="%1)"/>
      <w:numFmt w:val="lowerLetter"/>
      <w:start w:val="4"/>
    </w:lvl>
  </w:abstractNum>
  <w:abstractNum w:abstractNumId="190">
    <w:nsid w:val="4C672FC9"/>
    <w:multiLevelType w:val="hybridMultilevel"/>
    <w:lvl w:ilvl="0">
      <w:lvlJc w:val="left"/>
      <w:lvlText w:val="%1)"/>
      <w:numFmt w:val="lowerLetter"/>
      <w:start w:val="5"/>
    </w:lvl>
  </w:abstractNum>
  <w:abstractNum w:abstractNumId="191">
    <w:nsid w:val="52A311C3"/>
    <w:multiLevelType w:val="hybridMultilevel"/>
    <w:lvl w:ilvl="0">
      <w:lvlJc w:val="left"/>
      <w:lvlText w:val="%1."/>
      <w:numFmt w:val="decimal"/>
      <w:start w:val="2"/>
    </w:lvl>
  </w:abstractNum>
  <w:abstractNum w:abstractNumId="192">
    <w:nsid w:val="44EF6B80"/>
    <w:multiLevelType w:val="hybridMultilevel"/>
    <w:lvl w:ilvl="0">
      <w:lvlJc w:val="left"/>
      <w:lvlText w:val="%1)"/>
      <w:numFmt w:val="lowerLetter"/>
      <w:start w:val="1"/>
    </w:lvl>
  </w:abstractNum>
  <w:abstractNum w:abstractNumId="193">
    <w:nsid w:val="12FCDE5E"/>
    <w:multiLevelType w:val="hybridMultilevel"/>
    <w:lvl w:ilvl="0">
      <w:lvlJc w:val="left"/>
      <w:lvlText w:val="•"/>
      <w:numFmt w:val="bullet"/>
      <w:start w:val="1"/>
    </w:lvl>
  </w:abstractNum>
  <w:abstractNum w:abstractNumId="194">
    <w:nsid w:val="4A1D606E"/>
    <w:multiLevelType w:val="hybridMultilevel"/>
    <w:lvl w:ilvl="0">
      <w:lvlJc w:val="left"/>
      <w:lvlText w:val="•"/>
      <w:numFmt w:val="bullet"/>
      <w:start w:val="1"/>
    </w:lvl>
  </w:abstractNum>
  <w:abstractNum w:abstractNumId="195">
    <w:nsid w:val="4382503"/>
    <w:multiLevelType w:val="hybridMultilevel"/>
    <w:lvl w:ilvl="0">
      <w:lvlJc w:val="left"/>
      <w:lvlText w:val="(%1)"/>
      <w:numFmt w:val="lowerRoman"/>
      <w:start w:val="1"/>
    </w:lvl>
  </w:abstractNum>
  <w:abstractNum w:abstractNumId="196">
    <w:nsid w:val="59B76E28"/>
    <w:multiLevelType w:val="hybridMultilevel"/>
    <w:lvl w:ilvl="0">
      <w:lvlJc w:val="left"/>
      <w:lvlText w:val="%1."/>
      <w:numFmt w:val="decimal"/>
      <w:start w:val="3"/>
    </w:lvl>
  </w:abstractNum>
  <w:abstractNum w:abstractNumId="197">
    <w:nsid w:val="4252C2DA"/>
    <w:multiLevelType w:val="hybridMultilevel"/>
    <w:lvl w:ilvl="0">
      <w:lvlJc w:val="left"/>
      <w:lvlText w:val="%1)"/>
      <w:numFmt w:val="lowerLetter"/>
      <w:start w:val="1"/>
    </w:lvl>
  </w:abstractNum>
  <w:abstractNum w:abstractNumId="198">
    <w:nsid w:val="6A92EF4C"/>
    <w:multiLevelType w:val="hybridMultilevel"/>
    <w:lvl w:ilvl="0">
      <w:lvlJc w:val="left"/>
      <w:lvlText w:val="%1."/>
      <w:numFmt w:val="decimal"/>
      <w:start w:val="4"/>
    </w:lvl>
  </w:abstractNum>
  <w:abstractNum w:abstractNumId="199">
    <w:nsid w:val="41ED20D7"/>
    <w:multiLevelType w:val="hybridMultilevel"/>
    <w:lvl w:ilvl="0">
      <w:lvlJc w:val="left"/>
      <w:lvlText w:val="%1)"/>
      <w:numFmt w:val="lowerLetter"/>
      <w:start w:val="1"/>
    </w:lvl>
  </w:abstractNum>
  <w:abstractNum w:abstractNumId="200">
    <w:nsid w:val="E6B3F6A"/>
    <w:multiLevelType w:val="hybridMultilevel"/>
    <w:lvl w:ilvl="0">
      <w:lvlJc w:val="left"/>
      <w:lvlText w:val="%1)"/>
      <w:numFmt w:val="lowerLetter"/>
      <w:start w:val="2"/>
    </w:lvl>
  </w:abstractNum>
  <w:abstractNum w:abstractNumId="201">
    <w:nsid w:val="3EB21819"/>
    <w:multiLevelType w:val="hybridMultilevel"/>
    <w:lvl w:ilvl="0">
      <w:lvlJc w:val="left"/>
      <w:lvlText w:val="%1."/>
      <w:numFmt w:val="decimal"/>
      <w:start w:val="5"/>
    </w:lvl>
  </w:abstractNum>
  <w:abstractNum w:abstractNumId="202">
    <w:nsid w:val="41531DED"/>
    <w:multiLevelType w:val="hybridMultilevel"/>
    <w:lvl w:ilvl="0">
      <w:lvlJc w:val="left"/>
      <w:lvlText w:val="%1."/>
      <w:numFmt w:val="upperLetter"/>
      <w:start w:val="2"/>
    </w:lvl>
  </w:abstractNum>
  <w:abstractNum w:abstractNumId="203">
    <w:nsid w:val="6353CD2"/>
    <w:multiLevelType w:val="hybridMultilevel"/>
    <w:lvl w:ilvl="0">
      <w:lvlJc w:val="left"/>
      <w:lvlText w:val="%1."/>
      <w:numFmt w:val="decimal"/>
      <w:start w:val="1"/>
    </w:lvl>
  </w:abstractNum>
  <w:abstractNum w:abstractNumId="204">
    <w:nsid w:val="683CAAD3"/>
    <w:multiLevelType w:val="hybridMultilevel"/>
    <w:lvl w:ilvl="0">
      <w:lvlJc w:val="left"/>
      <w:lvlText w:val="%1)"/>
      <w:numFmt w:val="lowerLetter"/>
      <w:start w:val="1"/>
    </w:lvl>
  </w:abstractNum>
  <w:abstractNum w:abstractNumId="205">
    <w:nsid w:val="313C7C99"/>
    <w:multiLevelType w:val="hybridMultilevel"/>
    <w:lvl w:ilvl="0">
      <w:lvlJc w:val="left"/>
      <w:lvlText w:val="%1)"/>
      <w:numFmt w:val="lowerLetter"/>
      <w:start w:val="2"/>
    </w:lvl>
  </w:abstractNum>
  <w:abstractNum w:abstractNumId="206">
    <w:nsid w:val="519EB94C"/>
    <w:multiLevelType w:val="hybridMultilevel"/>
    <w:lvl w:ilvl="0">
      <w:lvlJc w:val="left"/>
      <w:lvlText w:val="%1."/>
      <w:numFmt w:val="upperLetter"/>
      <w:start w:val="3"/>
    </w:lvl>
  </w:abstractNum>
  <w:abstractNum w:abstractNumId="207">
    <w:nsid w:val="39DF2579"/>
    <w:multiLevelType w:val="hybridMultilevel"/>
    <w:lvl w:ilvl="0">
      <w:lvlJc w:val="left"/>
      <w:lvlText w:val="%1."/>
      <w:numFmt w:val="upperLetter"/>
      <w:start w:val="4"/>
    </w:lvl>
  </w:abstractNum>
  <w:abstractNum w:abstractNumId="208">
    <w:nsid w:val="126E008B"/>
    <w:multiLevelType w:val="hybridMultilevel"/>
    <w:lvl w:ilvl="0">
      <w:lvlJc w:val="left"/>
      <w:lvlText w:val="%1."/>
      <w:numFmt w:val="decimal"/>
      <w:start w:val="1"/>
    </w:lvl>
  </w:abstractNum>
  <w:abstractNum w:abstractNumId="209">
    <w:nsid w:val="34DFBC00"/>
    <w:multiLevelType w:val="hybridMultilevel"/>
    <w:lvl w:ilvl="0">
      <w:lvlJc w:val="left"/>
      <w:lvlText w:val="%1)"/>
      <w:numFmt w:val="lowerLetter"/>
      <w:start w:val="1"/>
    </w:lvl>
  </w:abstractNum>
  <w:abstractNum w:abstractNumId="210">
    <w:nsid w:val="1F9EC322"/>
    <w:multiLevelType w:val="hybridMultilevel"/>
    <w:lvl w:ilvl="0">
      <w:lvlJc w:val="left"/>
      <w:lvlText w:val="%1)"/>
      <w:numFmt w:val="lowerLetter"/>
      <w:start w:val="2"/>
    </w:lvl>
  </w:abstractNum>
  <w:abstractNum w:abstractNumId="211">
    <w:nsid w:val="3410ED56"/>
    <w:multiLevelType w:val="hybridMultilevel"/>
    <w:lvl w:ilvl="0">
      <w:lvlJc w:val="left"/>
      <w:lvlText w:val="%1."/>
      <w:numFmt w:val="decimal"/>
      <w:start w:val="2"/>
    </w:lvl>
    <w:lvl w:ilvl="1">
      <w:lvlJc w:val="left"/>
      <w:lvlText w:val="%2)"/>
      <w:numFmt w:val="lowerLetter"/>
      <w:start w:val="1"/>
    </w:lvl>
  </w:abstractNum>
  <w:abstractNum w:abstractNumId="212">
    <w:nsid w:val="23C049A"/>
    <w:multiLevelType w:val="hybridMultilevel"/>
    <w:lvl w:ilvl="0">
      <w:lvlJc w:val="left"/>
      <w:lvlText w:val="%1."/>
      <w:numFmt w:val="upperLetter"/>
      <w:start w:val="5"/>
    </w:lvl>
  </w:abstractNum>
  <w:abstractNum w:abstractNumId="213">
    <w:nsid w:val="5BDA35D4"/>
    <w:multiLevelType w:val="hybridMultilevel"/>
    <w:lvl w:ilvl="0">
      <w:lvlJc w:val="left"/>
      <w:lvlText w:val="%1."/>
      <w:numFmt w:val="decimal"/>
      <w:start w:val="1"/>
    </w:lvl>
  </w:abstractNum>
  <w:abstractNum w:abstractNumId="214">
    <w:nsid w:val="496FB218"/>
    <w:multiLevelType w:val="hybridMultilevel"/>
    <w:lvl w:ilvl="0">
      <w:lvlJc w:val="left"/>
      <w:lvlText w:val="%1."/>
      <w:numFmt w:val="upperLetter"/>
      <w:start w:val="6"/>
    </w:lvl>
  </w:abstractNum>
  <w:abstractNum w:abstractNumId="215">
    <w:nsid w:val="680EA5D1"/>
    <w:multiLevelType w:val="hybridMultilevel"/>
    <w:lvl w:ilvl="0">
      <w:lvlJc w:val="left"/>
      <w:lvlText w:val="%1."/>
      <w:numFmt w:val="decimal"/>
      <w:start w:val="1"/>
    </w:lvl>
  </w:abstractNum>
  <w:abstractNum w:abstractNumId="216">
    <w:nsid w:val="4A9554FE"/>
    <w:multiLevelType w:val="hybridMultilevel"/>
    <w:lvl w:ilvl="0">
      <w:lvlJc w:val="left"/>
      <w:lvlText w:val="%1."/>
      <w:numFmt w:val="decimal"/>
      <w:start w:val="2"/>
    </w:lvl>
  </w:abstractNum>
  <w:abstractNum w:abstractNumId="217">
    <w:nsid w:val="392EDBE4"/>
    <w:multiLevelType w:val="hybridMultilevel"/>
    <w:lvl w:ilvl="0">
      <w:lvlJc w:val="left"/>
      <w:lvlText w:val="%1."/>
      <w:numFmt w:val="upperLetter"/>
      <w:start w:val="7"/>
    </w:lvl>
  </w:abstractNum>
  <w:abstractNum w:abstractNumId="218">
    <w:nsid w:val="3D1A2DD9"/>
    <w:multiLevelType w:val="hybridMultilevel"/>
    <w:lvl w:ilvl="0">
      <w:lvlJc w:val="left"/>
      <w:lvlText w:val="%1."/>
      <w:numFmt w:val="upperLetter"/>
      <w:start w:val="8"/>
    </w:lvl>
  </w:abstractNum>
  <w:abstractNum w:abstractNumId="219">
    <w:nsid w:val="7F618FCD"/>
    <w:multiLevelType w:val="hybridMultilevel"/>
    <w:lvl w:ilvl="0">
      <w:lvlJc w:val="left"/>
      <w:lvlText w:val="•"/>
      <w:numFmt w:val="bullet"/>
      <w:start w:val="1"/>
    </w:lvl>
  </w:abstractNum>
  <w:abstractNum w:abstractNumId="220">
    <w:nsid w:val="7843E45"/>
    <w:multiLevelType w:val="hybridMultilevel"/>
    <w:lvl w:ilvl="0">
      <w:lvlJc w:val="left"/>
      <w:lvlText w:val="•"/>
      <w:numFmt w:val="bullet"/>
      <w:start w:val="1"/>
    </w:lvl>
  </w:abstractNum>
  <w:abstractNum w:abstractNumId="221">
    <w:nsid w:val="9815DA3"/>
    <w:multiLevelType w:val="hybridMultilevel"/>
    <w:lvl w:ilvl="0">
      <w:lvlJc w:val="left"/>
      <w:lvlText w:val="(%1)"/>
      <w:numFmt w:val="lowerRoman"/>
      <w:start w:val="2"/>
    </w:lvl>
  </w:abstractNum>
  <w:abstractNum w:abstractNumId="222">
    <w:nsid w:val="5204A191"/>
    <w:multiLevelType w:val="hybridMultilevel"/>
    <w:lvl w:ilvl="0">
      <w:lvlJc w:val="left"/>
      <w:lvlText w:val="•"/>
      <w:numFmt w:val="bullet"/>
      <w:start w:val="1"/>
    </w:lvl>
  </w:abstractNum>
  <w:abstractNum w:abstractNumId="223">
    <w:nsid w:val="4C73A9C6"/>
    <w:multiLevelType w:val="hybridMultilevel"/>
    <w:lvl w:ilvl="0">
      <w:lvlJc w:val="left"/>
      <w:lvlText w:val="•"/>
      <w:numFmt w:val="bullet"/>
      <w:start w:val="1"/>
    </w:lvl>
  </w:abstractNum>
  <w:abstractNum w:abstractNumId="224">
    <w:nsid w:val="1C7E3C01"/>
    <w:multiLevelType w:val="hybridMultilevel"/>
    <w:lvl w:ilvl="0">
      <w:lvlJc w:val="left"/>
      <w:lvlText w:val="•"/>
      <w:numFmt w:val="bullet"/>
      <w:start w:val="1"/>
    </w:lvl>
  </w:abstractNum>
  <w:abstractNum w:abstractNumId="225">
    <w:nsid w:val="1C2201FF"/>
    <w:multiLevelType w:val="hybridMultilevel"/>
    <w:lvl w:ilvl="0">
      <w:lvlJc w:val="left"/>
      <w:lvlText w:val="•"/>
      <w:numFmt w:val="bullet"/>
      <w:start w:val="1"/>
    </w:lvl>
  </w:abstractNum>
  <w:abstractNum w:abstractNumId="226">
    <w:nsid w:val="50ABCEC9"/>
    <w:multiLevelType w:val="hybridMultilevel"/>
    <w:lvl w:ilvl="0">
      <w:lvlJc w:val="left"/>
      <w:lvlText w:val="•"/>
      <w:numFmt w:val="bullet"/>
      <w:start w:val="1"/>
    </w:lvl>
  </w:abstractNum>
  <w:abstractNum w:abstractNumId="227">
    <w:nsid w:val="7635AA2A"/>
    <w:multiLevelType w:val="hybridMultilevel"/>
    <w:lvl w:ilvl="0">
      <w:lvlJc w:val="left"/>
      <w:lvlText w:val="•"/>
      <w:numFmt w:val="bullet"/>
      <w:start w:val="1"/>
    </w:lvl>
  </w:abstractNum>
  <w:abstractNum w:abstractNumId="228">
    <w:nsid w:val="5E74C4D9"/>
    <w:multiLevelType w:val="hybridMultilevel"/>
    <w:lvl w:ilvl="0">
      <w:lvlJc w:val="left"/>
      <w:lvlText w:val="•"/>
      <w:numFmt w:val="bullet"/>
      <w:start w:val="1"/>
    </w:lvl>
  </w:abstractNum>
  <w:abstractNum w:abstractNumId="229">
    <w:nsid w:val="3B3EBE15"/>
    <w:multiLevelType w:val="hybridMultilevel"/>
    <w:lvl w:ilvl="0">
      <w:lvlJc w:val="left"/>
      <w:lvlText w:val="•"/>
      <w:numFmt w:val="bullet"/>
      <w:start w:val="1"/>
    </w:lvl>
  </w:abstractNum>
  <w:abstractNum w:abstractNumId="230">
    <w:nsid w:val="3822CB01"/>
    <w:multiLevelType w:val="hybridMultilevel"/>
    <w:lvl w:ilvl="0">
      <w:lvlJc w:val="left"/>
      <w:lvlText w:val="•"/>
      <w:numFmt w:val="bullet"/>
      <w:start w:val="1"/>
    </w:lvl>
  </w:abstractNum>
  <w:abstractNum w:abstractNumId="231">
    <w:nsid w:val="6CE00443"/>
    <w:multiLevelType w:val="hybridMultilevel"/>
    <w:lvl w:ilvl="0">
      <w:lvlJc w:val="left"/>
      <w:lvlText w:val="•"/>
      <w:numFmt w:val="bullet"/>
      <w:start w:val="1"/>
    </w:lvl>
  </w:abstractNum>
  <w:abstractNum w:abstractNumId="232">
    <w:nsid w:val="79F0D62F"/>
    <w:multiLevelType w:val="hybridMultilevel"/>
    <w:lvl w:ilvl="0">
      <w:lvlJc w:val="left"/>
      <w:lvlText w:val="•"/>
      <w:numFmt w:val="bullet"/>
      <w:start w:val="1"/>
    </w:lvl>
  </w:abstractNum>
  <w:abstractNum w:abstractNumId="233">
    <w:nsid w:val="7975E8EE"/>
    <w:multiLevelType w:val="hybridMultilevel"/>
    <w:lvl w:ilvl="0">
      <w:lvlJc w:val="left"/>
      <w:lvlText w:val="•"/>
      <w:numFmt w:val="bullet"/>
      <w:start w:val="1"/>
    </w:lvl>
  </w:abstractNum>
  <w:abstractNum w:abstractNumId="234">
    <w:nsid w:val="73154115"/>
    <w:multiLevelType w:val="hybridMultilevel"/>
    <w:lvl w:ilvl="0">
      <w:lvlJc w:val="left"/>
      <w:lvlText w:val="(%1)"/>
      <w:numFmt w:val="lowerRoman"/>
      <w:start w:val="1"/>
    </w:lvl>
  </w:abstractNum>
  <w:abstractNum w:abstractNumId="235">
    <w:nsid w:val="622D8102"/>
    <w:multiLevelType w:val="hybridMultilevel"/>
    <w:lvl w:ilvl="0">
      <w:lvlJc w:val="left"/>
      <w:lvlText w:val="(%1)"/>
      <w:numFmt w:val="lowerRoman"/>
      <w:start w:val="4"/>
    </w:lvl>
  </w:abstractNum>
  <w:abstractNum w:abstractNumId="236">
    <w:nsid w:val="2AB26587"/>
    <w:multiLevelType w:val="hybridMultilevel"/>
    <w:lvl w:ilvl="0">
      <w:lvlJc w:val="left"/>
      <w:lvlText w:val="%1."/>
      <w:numFmt w:val="upperLetter"/>
      <w:start w:val="1"/>
    </w:lvl>
  </w:abstractNum>
  <w:abstractNum w:abstractNumId="237">
    <w:nsid w:val="44B3FA61"/>
    <w:multiLevelType w:val="hybridMultilevel"/>
    <w:lvl w:ilvl="0">
      <w:lvlJc w:val="left"/>
      <w:lvlText w:val="%1."/>
      <w:numFmt w:val="upperLetter"/>
      <w:start w:val="2"/>
    </w:lvl>
  </w:abstractNum>
  <w:abstractNum w:abstractNumId="238">
    <w:nsid w:val="1C0CA67C"/>
    <w:multiLevelType w:val="hybridMultilevel"/>
    <w:lvl w:ilvl="0">
      <w:lvlJc w:val="left"/>
      <w:lvlText w:val="%1."/>
      <w:numFmt w:val="decimal"/>
      <w:start w:val="1"/>
    </w:lvl>
  </w:abstractNum>
  <w:abstractNum w:abstractNumId="239">
    <w:nsid w:val="3D206613"/>
    <w:multiLevelType w:val="hybridMultilevel"/>
    <w:lvl w:ilvl="0">
      <w:lvlJc w:val="left"/>
      <w:lvlText w:val="%1."/>
      <w:numFmt w:val="decimal"/>
      <w:start w:val="2"/>
    </w:lvl>
  </w:abstractNum>
  <w:abstractNum w:abstractNumId="240">
    <w:nsid w:val="7993B662"/>
    <w:multiLevelType w:val="hybridMultilevel"/>
    <w:lvl w:ilvl="0">
      <w:lvlJc w:val="left"/>
      <w:lvlText w:val="%1."/>
      <w:numFmt w:val="decimal"/>
      <w:start w:val="3"/>
    </w:lvl>
  </w:abstractNum>
  <w:abstractNum w:abstractNumId="241">
    <w:nsid w:val="3BAB699E"/>
    <w:multiLevelType w:val="hybridMultilevel"/>
    <w:lvl w:ilvl="0">
      <w:lvlJc w:val="left"/>
      <w:lvlText w:val="%1."/>
      <w:numFmt w:val="decimal"/>
      <w:start w:val="4"/>
    </w:lvl>
  </w:abstractNum>
  <w:abstractNum w:abstractNumId="242">
    <w:nsid w:val="71315369"/>
    <w:multiLevelType w:val="hybridMultilevel"/>
    <w:lvl w:ilvl="0">
      <w:lvlJc w:val="left"/>
      <w:lvlText w:val="%1."/>
      <w:numFmt w:val="upperLetter"/>
      <w:start w:val="3"/>
    </w:lvl>
  </w:abstractNum>
  <w:abstractNum w:abstractNumId="243">
    <w:nsid w:val="7BCFBAFC"/>
    <w:multiLevelType w:val="hybridMultilevel"/>
    <w:lvl w:ilvl="0">
      <w:lvlJc w:val="left"/>
      <w:lvlText w:val="%1."/>
      <w:numFmt w:val="upperLetter"/>
      <w:start w:val="4"/>
    </w:lvl>
  </w:abstractNum>
  <w:abstractNum w:abstractNumId="244">
    <w:nsid w:val="17859F72"/>
    <w:multiLevelType w:val="hybridMultilevel"/>
    <w:lvl w:ilvl="0">
      <w:lvlJc w:val="left"/>
      <w:lvlText w:val="%1."/>
      <w:numFmt w:val="upperLetter"/>
      <w:start w:val="5"/>
    </w:lvl>
  </w:abstractNum>
  <w:abstractNum w:abstractNumId="245">
    <w:nsid w:val="3AA10581"/>
    <w:multiLevelType w:val="hybridMultilevel"/>
    <w:lvl w:ilvl="0">
      <w:lvlJc w:val="left"/>
      <w:lvlText w:val="•"/>
      <w:numFmt w:val="bullet"/>
      <w:start w:val="1"/>
    </w:lvl>
  </w:abstractNum>
  <w:abstractNum w:abstractNumId="246">
    <w:nsid w:val="63DE60CD"/>
    <w:multiLevelType w:val="hybridMultilevel"/>
    <w:lvl w:ilvl="0">
      <w:lvlJc w:val="left"/>
      <w:lvlText w:val="•"/>
      <w:numFmt w:val="bullet"/>
      <w:start w:val="1"/>
    </w:lvl>
  </w:abstractNum>
  <w:abstractNum w:abstractNumId="247">
    <w:nsid w:val="621AF471"/>
    <w:multiLevelType w:val="hybridMultilevel"/>
    <w:lvl w:ilvl="0">
      <w:lvlJc w:val="left"/>
      <w:lvlText w:val="•"/>
      <w:numFmt w:val="bullet"/>
      <w:start w:val="1"/>
    </w:lvl>
  </w:abstractNum>
  <w:abstractNum w:abstractNumId="248">
    <w:nsid w:val="73CFE165"/>
    <w:multiLevelType w:val="hybridMultilevel"/>
    <w:lvl w:ilvl="0">
      <w:lvlJc w:val="left"/>
      <w:lvlText w:val="•"/>
      <w:numFmt w:val="bullet"/>
      <w:start w:val="1"/>
    </w:lvl>
  </w:abstractNum>
  <w:abstractNum w:abstractNumId="249">
    <w:nsid w:val="20F88EA6"/>
    <w:multiLevelType w:val="hybridMultilevel"/>
    <w:lvl w:ilvl="0">
      <w:lvlJc w:val="left"/>
      <w:lvlText w:val="%1."/>
      <w:numFmt w:val="upperLetter"/>
      <w:start w:val="50"/>
    </w:lvl>
  </w:abstractNum>
  <w:abstractNum w:abstractNumId="250">
    <w:nsid w:val="617C843E"/>
    <w:multiLevelType w:val="hybridMultilevel"/>
    <w:lvl w:ilvl="0">
      <w:lvlJc w:val="left"/>
      <w:lvlText w:val="•"/>
      <w:numFmt w:val="bullet"/>
      <w:start w:val="1"/>
    </w:lvl>
  </w:abstractNum>
  <w:abstractNum w:abstractNumId="251">
    <w:nsid w:val="7B541FAB"/>
    <w:multiLevelType w:val="hybridMultilevel"/>
    <w:lvl w:ilvl="0">
      <w:lvlJc w:val="left"/>
      <w:lvlText w:val="•"/>
      <w:numFmt w:val="bullet"/>
      <w:start w:val="1"/>
    </w:lvl>
  </w:abstractNum>
  <w:abstractNum w:abstractNumId="252">
    <w:nsid w:val="2A79EC49"/>
    <w:multiLevelType w:val="hybridMultilevel"/>
    <w:lvl w:ilvl="0">
      <w:lvlJc w:val="left"/>
      <w:lvlText w:val="•"/>
      <w:numFmt w:val="bullet"/>
      <w:start w:val="1"/>
    </w:lvl>
  </w:abstractNum>
  <w:abstractNum w:abstractNumId="253">
    <w:nsid w:val="338125CF"/>
    <w:multiLevelType w:val="hybridMultilevel"/>
    <w:lvl w:ilvl="0">
      <w:lvlJc w:val="left"/>
      <w:lvlText w:val="•"/>
      <w:numFmt w:val="bullet"/>
      <w:start w:val="1"/>
    </w:lvl>
  </w:abstractNum>
  <w:abstractNum w:abstractNumId="254">
    <w:nsid w:val="47C7C971"/>
    <w:multiLevelType w:val="hybridMultilevel"/>
    <w:lvl w:ilvl="0">
      <w:lvlJc w:val="left"/>
      <w:lvlText w:val="•"/>
      <w:numFmt w:val="bullet"/>
      <w:start w:val="1"/>
    </w:lvl>
  </w:abstractNum>
  <w:abstractNum w:abstractNumId="255">
    <w:nsid w:val="46F8284B"/>
    <w:multiLevelType w:val="hybridMultilevel"/>
    <w:lvl w:ilvl="0">
      <w:lvlJc w:val="left"/>
      <w:lvlText w:val="•"/>
      <w:numFmt w:val="bullet"/>
      <w:start w:val="1"/>
    </w:lvl>
  </w:abstractNum>
  <w:abstractNum w:abstractNumId="256">
    <w:nsid w:val="4FA327CE"/>
    <w:multiLevelType w:val="hybridMultilevel"/>
    <w:lvl w:ilvl="0">
      <w:lvlJc w:val="left"/>
      <w:lvlText w:val="(%1)"/>
      <w:numFmt w:val="decimal"/>
      <w:start w:val="1"/>
    </w:lvl>
  </w:abstractNum>
  <w:abstractNum w:abstractNumId="257">
    <w:nsid w:val="1873983A"/>
    <w:multiLevelType w:val="hybridMultilevel"/>
    <w:lvl w:ilvl="0">
      <w:lvlJc w:val="left"/>
      <w:lvlText w:val="(%1)"/>
      <w:numFmt w:val="decimal"/>
      <w:start w:val="1"/>
    </w:lvl>
  </w:abstractNum>
  <w:abstractNum w:abstractNumId="258">
    <w:nsid w:val="3D2DD275"/>
    <w:multiLevelType w:val="hybridMultilevel"/>
    <w:lvl w:ilvl="0">
      <w:lvlJc w:val="left"/>
      <w:lvlText w:val="(%1)"/>
      <w:numFmt w:val="lowerRoman"/>
      <w:start w:val="2"/>
    </w:lvl>
  </w:abstractNum>
  <w:abstractNum w:abstractNumId="259">
    <w:nsid w:val="2E17ECA7"/>
    <w:multiLevelType w:val="hybridMultilevel"/>
    <w:lvl w:ilvl="0">
      <w:lvlJc w:val="left"/>
      <w:lvlText w:val="•"/>
      <w:numFmt w:val="bullet"/>
      <w:start w:val="1"/>
    </w:lvl>
  </w:abstractNum>
  <w:abstractNum w:abstractNumId="260">
    <w:nsid w:val="53B2564F"/>
    <w:multiLevelType w:val="hybridMultilevel"/>
    <w:lvl w:ilvl="0">
      <w:lvlJc w:val="left"/>
      <w:lvlText w:val="(%1)"/>
      <w:numFmt w:val="decimal"/>
      <w:start w:val="1"/>
    </w:lvl>
  </w:abstractNum>
  <w:abstractNum w:abstractNumId="261">
    <w:nsid w:val="75509D76"/>
    <w:multiLevelType w:val="hybridMultilevel"/>
    <w:lvl w:ilvl="0">
      <w:lvlJc w:val="left"/>
      <w:lvlText w:val="(%1)"/>
      <w:numFmt w:val="decimal"/>
      <w:start w:val="1"/>
    </w:lvl>
  </w:abstractNum>
  <w:abstractNum w:abstractNumId="262">
    <w:nsid w:val="1AF7F0EA"/>
    <w:multiLevelType w:val="hybridMultilevel"/>
    <w:lvl w:ilvl="0">
      <w:lvlJc w:val="left"/>
      <w:lvlText w:val="•"/>
      <w:numFmt w:val="bullet"/>
      <w:start w:val="1"/>
    </w:lvl>
  </w:abstractNum>
  <w:abstractNum w:abstractNumId="263">
    <w:nsid w:val="4DA32C7E"/>
    <w:multiLevelType w:val="hybridMultilevel"/>
    <w:lvl w:ilvl="0">
      <w:lvlJc w:val="left"/>
      <w:lvlText w:val="*"/>
      <w:numFmt w:val="bullet"/>
      <w:start w:val="1"/>
    </w:lvl>
  </w:abstractNum>
  <w:abstractNum w:abstractNumId="264">
    <w:nsid w:val="6EC68664"/>
    <w:multiLevelType w:val="hybridMultilevel"/>
    <w:lvl w:ilvl="0">
      <w:lvlJc w:val="left"/>
      <w:lvlText w:val="(%1)"/>
      <w:numFmt w:val="decimal"/>
      <w:start w:val="1"/>
    </w:lvl>
  </w:abstractNum>
  <w:abstractNum w:abstractNumId="265">
    <w:nsid w:val="E0D31FF"/>
    <w:multiLevelType w:val="hybridMultilevel"/>
    <w:lvl w:ilvl="0">
      <w:lvlJc w:val="left"/>
      <w:lvlText w:val="(%1)"/>
      <w:numFmt w:val="decimal"/>
      <w:start w:val="8"/>
    </w:lvl>
  </w:abstractNum>
  <w:abstractNum w:abstractNumId="266">
    <w:nsid w:val="2FD0AD81"/>
    <w:multiLevelType w:val="hybridMultilevel"/>
    <w:lvl w:ilvl="0">
      <w:lvlJc w:val="left"/>
      <w:lvlText w:val="•"/>
      <w:numFmt w:val="bullet"/>
      <w:start w:val="1"/>
    </w:lvl>
  </w:abstractNum>
  <w:abstractNum w:abstractNumId="267">
    <w:nsid w:val="1978EBEB"/>
    <w:multiLevelType w:val="hybridMultilevel"/>
    <w:lvl w:ilvl="0">
      <w:lvlJc w:val="left"/>
      <w:lvlText w:val="•"/>
      <w:numFmt w:val="bullet"/>
      <w:start w:val="1"/>
    </w:lvl>
  </w:abstractNum>
  <w:abstractNum w:abstractNumId="268">
    <w:nsid w:val="52C12C61"/>
    <w:multiLevelType w:val="hybridMultilevel"/>
    <w:lvl w:ilvl="0">
      <w:lvlJc w:val="left"/>
      <w:lvlText w:val="(%1)"/>
      <w:numFmt w:val="lowerRoman"/>
      <w:start w:val="1"/>
    </w:lvl>
  </w:abstractNum>
  <w:abstractNum w:abstractNumId="269">
    <w:nsid w:val="4BDD53FD"/>
    <w:multiLevelType w:val="hybridMultilevel"/>
    <w:lvl w:ilvl="0">
      <w:lvlJc w:val="left"/>
      <w:lvlText w:val="•"/>
      <w:numFmt w:val="bullet"/>
      <w:start w:val="1"/>
    </w:lvl>
  </w:abstractNum>
  <w:abstractNum w:abstractNumId="270">
    <w:nsid w:val="569951FE"/>
    <w:multiLevelType w:val="hybridMultilevel"/>
    <w:lvl w:ilvl="0">
      <w:lvlJc w:val="left"/>
      <w:lvlText w:val="•"/>
      <w:numFmt w:val="bullet"/>
      <w:start w:val="1"/>
    </w:lvl>
  </w:abstractNum>
  <w:abstractNum w:abstractNumId="271">
    <w:nsid w:val="4C54E2C3"/>
    <w:multiLevelType w:val="hybridMultilevel"/>
    <w:lvl w:ilvl="0">
      <w:lvlJc w:val="left"/>
      <w:lvlText w:val="•"/>
      <w:numFmt w:val="bullet"/>
      <w:start w:val="1"/>
    </w:lvl>
  </w:abstractNum>
  <w:abstractNum w:abstractNumId="272">
    <w:nsid w:val="788BD9B"/>
    <w:multiLevelType w:val="hybridMultilevel"/>
    <w:lvl w:ilvl="0">
      <w:lvlJc w:val="left"/>
      <w:lvlText w:val="•"/>
      <w:numFmt w:val="bullet"/>
      <w:start w:val="1"/>
    </w:lvl>
  </w:abstractNum>
  <w:abstractNum w:abstractNumId="273">
    <w:nsid w:val="47CAA567"/>
    <w:multiLevelType w:val="hybridMultilevel"/>
    <w:lvl w:ilvl="0">
      <w:lvlJc w:val="left"/>
      <w:lvlText w:val="•"/>
      <w:numFmt w:val="bullet"/>
      <w:start w:val="1"/>
    </w:lvl>
  </w:abstractNum>
  <w:abstractNum w:abstractNumId="274">
    <w:nsid w:val="48249DBF"/>
    <w:multiLevelType w:val="hybridMultilevel"/>
    <w:lvl w:ilvl="0">
      <w:lvlJc w:val="left"/>
      <w:lvlText w:val="•"/>
      <w:numFmt w:val="bullet"/>
      <w:start w:val="1"/>
    </w:lvl>
  </w:abstractNum>
  <w:abstractNum w:abstractNumId="275">
    <w:nsid w:val="1F0E5D0D"/>
    <w:multiLevelType w:val="hybridMultilevel"/>
    <w:lvl w:ilvl="0">
      <w:lvlJc w:val="left"/>
      <w:lvlText w:val="•"/>
      <w:numFmt w:val="bullet"/>
      <w:start w:val="1"/>
    </w:lvl>
  </w:abstractNum>
  <w:abstractNum w:abstractNumId="276">
    <w:nsid w:val="26BAAE9"/>
    <w:multiLevelType w:val="hybridMultilevel"/>
    <w:lvl w:ilvl="0">
      <w:lvlJc w:val="left"/>
      <w:lvlText w:val="•"/>
      <w:numFmt w:val="bullet"/>
      <w:start w:val="1"/>
    </w:lvl>
  </w:abstractNum>
  <w:abstractNum w:abstractNumId="277">
    <w:nsid w:val="2C02FE8C"/>
    <w:multiLevelType w:val="hybridMultilevel"/>
    <w:lvl w:ilvl="0">
      <w:lvlJc w:val="left"/>
      <w:lvlText w:val="•"/>
      <w:numFmt w:val="bullet"/>
      <w:start w:val="1"/>
    </w:lvl>
  </w:abstractNum>
  <w:abstractNum w:abstractNumId="278">
    <w:nsid w:val="129517E"/>
    <w:multiLevelType w:val="hybridMultilevel"/>
    <w:lvl w:ilvl="0">
      <w:lvlJc w:val="left"/>
      <w:lvlText w:val="•"/>
      <w:numFmt w:val="bullet"/>
      <w:start w:val="1"/>
    </w:lvl>
  </w:abstractNum>
  <w:abstractNum w:abstractNumId="279">
    <w:nsid w:val="763B8C4E"/>
    <w:multiLevelType w:val="hybridMultilevel"/>
    <w:lvl w:ilvl="0">
      <w:lvlJc w:val="left"/>
      <w:lvlText w:val="•"/>
      <w:numFmt w:val="bullet"/>
      <w:start w:val="1"/>
    </w:lvl>
  </w:abstractNum>
  <w:abstractNum w:abstractNumId="280">
    <w:nsid w:val="4CFB8D32"/>
    <w:multiLevelType w:val="hybridMultilevel"/>
    <w:lvl w:ilvl="0">
      <w:lvlJc w:val="left"/>
      <w:lvlText w:val="•"/>
      <w:numFmt w:val="bullet"/>
      <w:start w:val="1"/>
    </w:lvl>
  </w:abstractNum>
  <w:abstractNum w:abstractNumId="281">
    <w:nsid w:val="62A5D5BD"/>
    <w:multiLevelType w:val="hybridMultilevel"/>
    <w:lvl w:ilvl="0">
      <w:lvlJc w:val="left"/>
      <w:lvlText w:val="•"/>
      <w:numFmt w:val="bullet"/>
      <w:start w:val="1"/>
    </w:lvl>
  </w:abstractNum>
  <w:abstractNum w:abstractNumId="282">
    <w:nsid w:val="718FABF9"/>
    <w:multiLevelType w:val="hybridMultilevel"/>
    <w:lvl w:ilvl="0">
      <w:lvlJc w:val="left"/>
      <w:lvlText w:val="(%1)"/>
      <w:numFmt w:val="lowerLetter"/>
      <w:start w:val="25"/>
    </w:lvl>
  </w:abstractNum>
  <w:abstractNum w:abstractNumId="283">
    <w:nsid w:val="7775797C"/>
    <w:multiLevelType w:val="hybridMultilevel"/>
    <w:lvl w:ilvl="0">
      <w:lvlJc w:val="left"/>
      <w:lvlText w:val="•"/>
      <w:numFmt w:val="bullet"/>
      <w:start w:val="1"/>
    </w:lvl>
  </w:abstractNum>
  <w:abstractNum w:abstractNumId="284">
    <w:nsid w:val="1626FB8C"/>
    <w:multiLevelType w:val="hybridMultilevel"/>
    <w:lvl w:ilvl="0">
      <w:lvlJc w:val="left"/>
      <w:lvlText w:val="•"/>
      <w:numFmt w:val="bullet"/>
      <w:start w:val="1"/>
    </w:lvl>
  </w:abstractNum>
  <w:abstractNum w:abstractNumId="285">
    <w:nsid w:val="3957756A"/>
    <w:multiLevelType w:val="hybridMultilevel"/>
    <w:lvl w:ilvl="0">
      <w:lvlJc w:val="left"/>
      <w:lvlText w:val="•"/>
      <w:numFmt w:val="bullet"/>
      <w:start w:val="1"/>
    </w:lvl>
  </w:abstractNum>
  <w:abstractNum w:abstractNumId="286">
    <w:nsid w:val="3E6DA1C7"/>
    <w:multiLevelType w:val="hybridMultilevel"/>
    <w:lvl w:ilvl="0">
      <w:lvlJc w:val="left"/>
      <w:lvlText w:val="(%1)"/>
      <w:numFmt w:val="lowerRoman"/>
      <w:start w:val="1"/>
    </w:lvl>
  </w:abstractNum>
  <w:abstractNum w:abstractNumId="287">
    <w:nsid w:val="65CA235B"/>
    <w:multiLevelType w:val="hybridMultilevel"/>
    <w:lvl w:ilvl="0">
      <w:lvlJc w:val="left"/>
      <w:lvlText w:val="(%1)"/>
      <w:numFmt w:val="lowerRoman"/>
      <w:start w:val="2"/>
    </w:lvl>
  </w:abstractNum>
  <w:abstractNum w:abstractNumId="288">
    <w:nsid w:val="51CB0DA4"/>
    <w:multiLevelType w:val="hybridMultilevel"/>
    <w:lvl w:ilvl="0">
      <w:lvlJc w:val="left"/>
      <w:lvlText w:val="•"/>
      <w:numFmt w:val="bullet"/>
      <w:start w:val="1"/>
    </w:lvl>
  </w:abstractNum>
  <w:abstractNum w:abstractNumId="289">
    <w:nsid w:val="7B9B743C"/>
    <w:multiLevelType w:val="hybridMultilevel"/>
    <w:lvl w:ilvl="0">
      <w:lvlJc w:val="left"/>
      <w:lvlText w:val="(%1)"/>
      <w:numFmt w:val="lowerRoman"/>
      <w:start w:val="2"/>
    </w:lvl>
  </w:abstractNum>
  <w:abstractNum w:abstractNumId="290">
    <w:nsid w:val="13E21002"/>
    <w:multiLevelType w:val="hybridMultilevel"/>
    <w:lvl w:ilvl="0">
      <w:lvlJc w:val="left"/>
      <w:lvlText w:val="$"/>
      <w:numFmt w:val="bullet"/>
      <w:start w:val="1"/>
    </w:lvl>
  </w:abstractNum>
  <w:abstractNum w:abstractNumId="291">
    <w:nsid w:val="257D63F4"/>
    <w:multiLevelType w:val="hybridMultilevel"/>
    <w:lvl w:ilvl="0">
      <w:lvlJc w:val="left"/>
      <w:lvlText w:val="•"/>
      <w:numFmt w:val="bullet"/>
      <w:start w:val="1"/>
    </w:lvl>
  </w:abstractNum>
  <w:abstractNum w:abstractNumId="292">
    <w:nsid w:val="70EC11B2"/>
    <w:multiLevelType w:val="hybridMultilevel"/>
    <w:lvl w:ilvl="0">
      <w:lvlJc w:val="left"/>
      <w:lvlText w:val="•"/>
      <w:numFmt w:val="bullet"/>
      <w:start w:val="1"/>
    </w:lvl>
  </w:abstractNum>
  <w:abstractNum w:abstractNumId="293">
    <w:nsid w:val="2EDA00ED"/>
    <w:multiLevelType w:val="hybridMultilevel"/>
    <w:lvl w:ilvl="0">
      <w:lvlJc w:val="left"/>
      <w:lvlText w:val="•"/>
      <w:numFmt w:val="bullet"/>
      <w:start w:val="1"/>
    </w:lvl>
  </w:abstractNum>
  <w:abstractNum w:abstractNumId="294">
    <w:nsid w:val="73209072"/>
    <w:multiLevelType w:val="hybridMultilevel"/>
    <w:lvl w:ilvl="0">
      <w:lvlJc w:val="left"/>
      <w:lvlText w:val="%1."/>
      <w:numFmt w:val="upperLetter"/>
      <w:start w:val="1"/>
    </w:lvl>
  </w:abstractNum>
  <w:abstractNum w:abstractNumId="295">
    <w:nsid w:val="5FB29816"/>
    <w:multiLevelType w:val="hybridMultilevel"/>
    <w:lvl w:ilvl="0">
      <w:lvlJc w:val="left"/>
      <w:lvlText w:val="•"/>
      <w:numFmt w:val="bullet"/>
      <w:start w:val="1"/>
    </w:lvl>
  </w:abstractNum>
  <w:abstractNum w:abstractNumId="296">
    <w:nsid w:val="3CE732EC"/>
    <w:multiLevelType w:val="hybridMultilevel"/>
    <w:lvl w:ilvl="0">
      <w:lvlJc w:val="left"/>
      <w:lvlText w:val="•"/>
      <w:numFmt w:val="bullet"/>
      <w:start w:val="1"/>
    </w:lvl>
  </w:abstractNum>
  <w:abstractNum w:abstractNumId="297">
    <w:nsid w:val="22F13DF3"/>
    <w:multiLevelType w:val="hybridMultilevel"/>
    <w:lvl w:ilvl="0">
      <w:lvlJc w:val="left"/>
      <w:lvlText w:val="1"/>
      <w:numFmt w:val="bullet"/>
      <w:start w:val="1"/>
    </w:lvl>
  </w:abstractNum>
  <w:abstractNum w:abstractNumId="298">
    <w:nsid w:val="792B8401"/>
    <w:multiLevelType w:val="hybridMultilevel"/>
    <w:lvl w:ilvl="0">
      <w:lvlJc w:val="left"/>
      <w:lvlText w:val="2"/>
      <w:numFmt w:val="bullet"/>
      <w:start w:val="1"/>
    </w:lvl>
  </w:abstractNum>
  <w:abstractNum w:abstractNumId="299">
    <w:nsid w:val="FA85F4D"/>
    <w:multiLevelType w:val="hybridMultilevel"/>
    <w:lvl w:ilvl="0">
      <w:lvlJc w:val="left"/>
      <w:lvlText w:val="3"/>
      <w:numFmt w:val="bullet"/>
      <w:start w:val="1"/>
    </w:lvl>
  </w:abstractNum>
  <w:abstractNum w:abstractNumId="300">
    <w:nsid w:val="6ECE91F0"/>
    <w:multiLevelType w:val="hybridMultilevel"/>
    <w:lvl w:ilvl="0">
      <w:lvlJc w:val="left"/>
      <w:lvlText w:val="4"/>
      <w:numFmt w:val="bullet"/>
      <w:start w:val="1"/>
    </w:lvl>
  </w:abstractNum>
  <w:abstractNum w:abstractNumId="301">
    <w:nsid w:val="4FC4D600"/>
    <w:multiLevelType w:val="hybridMultilevel"/>
    <w:lvl w:ilvl="0">
      <w:lvlJc w:val="left"/>
      <w:lvlText w:val="5"/>
      <w:numFmt w:val="bullet"/>
      <w:start w:val="1"/>
    </w:lvl>
  </w:abstractNum>
  <w:abstractNum w:abstractNumId="302">
    <w:nsid w:val="5BFD4210"/>
    <w:multiLevelType w:val="hybridMultilevel"/>
    <w:lvl w:ilvl="0">
      <w:lvlJc w:val="left"/>
      <w:lvlText w:val="6"/>
      <w:numFmt w:val="bullet"/>
      <w:start w:val="1"/>
    </w:lvl>
  </w:abstractNum>
  <w:abstractNum w:abstractNumId="303">
    <w:nsid w:val="76574F8B"/>
    <w:multiLevelType w:val="hybridMultilevel"/>
    <w:lvl w:ilvl="0">
      <w:lvlJc w:val="left"/>
      <w:lvlText w:val="7"/>
      <w:numFmt w:val="bullet"/>
      <w:start w:val="1"/>
    </w:lvl>
  </w:abstractNum>
  <w:abstractNum w:abstractNumId="304">
    <w:nsid w:val="178F7B67"/>
    <w:multiLevelType w:val="hybridMultilevel"/>
    <w:lvl w:ilvl="0">
      <w:lvlJc w:val="left"/>
      <w:lvlText w:val="8"/>
      <w:numFmt w:val="bullet"/>
      <w:start w:val="1"/>
    </w:lvl>
  </w:abstractNum>
  <w:abstractNum w:abstractNumId="305">
    <w:nsid w:val="2421DFCF"/>
    <w:multiLevelType w:val="hybridMultilevel"/>
    <w:lvl w:ilvl="0">
      <w:lvlJc w:val="left"/>
      <w:lvlText w:val="9"/>
      <w:numFmt w:val="bullet"/>
      <w:start w:val="1"/>
    </w:lvl>
  </w:abstractNum>
  <w:abstractNum w:abstractNumId="306">
    <w:nsid w:val="1565AC99"/>
    <w:multiLevelType w:val="hybridMultilevel"/>
    <w:lvl w:ilvl="0">
      <w:lvlJc w:val="left"/>
      <w:lvlText w:val="€"/>
      <w:numFmt w:val="bullet"/>
      <w:start w:val="1"/>
    </w:lvl>
    <w:lvl w:ilvl="1">
      <w:lvlJc w:val="left"/>
      <w:lvlText w:val="\emdash "/>
      <w:numFmt w:val="bullet"/>
      <w:start w:val="1"/>
    </w:lvl>
  </w:abstractNum>
  <w:abstractNum w:abstractNumId="307">
    <w:nsid w:val="19FB2650"/>
    <w:multiLevelType w:val="hybridMultilevel"/>
    <w:lvl w:ilvl="0">
      <w:lvlJc w:val="left"/>
      <w:lvlText w:val="1"/>
      <w:numFmt w:val="bullet"/>
      <w:start w:val="1"/>
    </w:lvl>
  </w:abstractNum>
  <w:abstractNum w:abstractNumId="308">
    <w:nsid w:val="5024DE5B"/>
    <w:multiLevelType w:val="hybridMultilevel"/>
    <w:lvl w:ilvl="0">
      <w:lvlJc w:val="left"/>
      <w:lvlText w:val="2"/>
      <w:numFmt w:val="bullet"/>
      <w:start w:val="1"/>
    </w:lvl>
  </w:abstractNum>
  <w:abstractNum w:abstractNumId="309">
    <w:nsid w:val="168EFE17"/>
    <w:multiLevelType w:val="hybridMultilevel"/>
    <w:lvl w:ilvl="0">
      <w:lvlJc w:val="left"/>
      <w:lvlText w:val="•"/>
      <w:numFmt w:val="bullet"/>
      <w:start w:val="1"/>
    </w:lvl>
  </w:abstractNum>
  <w:abstractNum w:abstractNumId="310">
    <w:nsid w:val="1036B29F"/>
    <w:multiLevelType w:val="hybridMultilevel"/>
    <w:lvl w:ilvl="0">
      <w:lvlJc w:val="left"/>
      <w:lvlText w:val="•"/>
      <w:numFmt w:val="bullet"/>
      <w:start w:val="1"/>
    </w:lvl>
  </w:abstractNum>
  <w:abstractNum w:abstractNumId="311">
    <w:nsid w:val="1D206B8E"/>
    <w:multiLevelType w:val="hybridMultilevel"/>
    <w:lvl w:ilvl="0">
      <w:lvlJc w:val="left"/>
      <w:lvlText w:val="•"/>
      <w:numFmt w:val="bullet"/>
      <w:start w:val="1"/>
    </w:lvl>
  </w:abstractNum>
  <w:abstractNum w:abstractNumId="312">
    <w:nsid w:val="7934D3D4"/>
    <w:multiLevelType w:val="hybridMultilevel"/>
    <w:lvl w:ilvl="0">
      <w:lvlJc w:val="left"/>
      <w:lvlText w:val="•"/>
      <w:numFmt w:val="bullet"/>
      <w:start w:val="1"/>
    </w:lvl>
  </w:abstractNum>
  <w:abstractNum w:abstractNumId="313">
    <w:nsid w:val="1C65E98"/>
    <w:multiLevelType w:val="hybridMultilevel"/>
    <w:lvl w:ilvl="0">
      <w:lvlJc w:val="left"/>
      <w:lvlText w:val="•"/>
      <w:numFmt w:val="bullet"/>
      <w:start w:val="1"/>
    </w:lvl>
  </w:abstractNum>
  <w:abstractNum w:abstractNumId="314">
    <w:nsid w:val="1495E50A"/>
    <w:multiLevelType w:val="hybridMultilevel"/>
    <w:lvl w:ilvl="0">
      <w:lvlJc w:val="left"/>
      <w:lvlText w:val="•"/>
      <w:numFmt w:val="bullet"/>
      <w:start w:val="1"/>
    </w:lvl>
    <w:lvl w:ilvl="1">
      <w:lvlJc w:val="left"/>
      <w:lvlText w:val="•"/>
      <w:numFmt w:val="bullet"/>
      <w:start w:val="1"/>
    </w:lvl>
  </w:abstractNum>
  <w:abstractNum w:abstractNumId="315">
    <w:nsid w:val="F5BCF61"/>
    <w:multiLevelType w:val="hybridMultilevel"/>
    <w:lvl w:ilvl="0">
      <w:lvlJc w:val="left"/>
      <w:lvlText w:val="•"/>
      <w:numFmt w:val="bullet"/>
      <w:start w:val="1"/>
    </w:lvl>
  </w:abstractNum>
  <w:abstractNum w:abstractNumId="316">
    <w:nsid w:val="3B1DD403"/>
    <w:multiLevelType w:val="hybridMultilevel"/>
    <w:lvl w:ilvl="0">
      <w:lvlJc w:val="left"/>
      <w:lvlText w:val="•"/>
      <w:numFmt w:val="bullet"/>
      <w:start w:val="1"/>
    </w:lvl>
  </w:abstractNum>
  <w:abstractNum w:abstractNumId="317">
    <w:nsid w:val="530386D1"/>
    <w:multiLevelType w:val="hybridMultilevel"/>
    <w:lvl w:ilvl="0">
      <w:lvlJc w:val="left"/>
      <w:lvlText w:val="•"/>
      <w:numFmt w:val="bullet"/>
      <w:start w:val="1"/>
    </w:lvl>
  </w:abstractNum>
  <w:abstractNum w:abstractNumId="318">
    <w:nsid w:val="7525F2BC"/>
    <w:multiLevelType w:val="hybridMultilevel"/>
    <w:lvl w:ilvl="0">
      <w:lvlJc w:val="left"/>
      <w:lvlText w:val="•"/>
      <w:numFmt w:val="bullet"/>
      <w:start w:val="1"/>
    </w:lvl>
  </w:abstractNum>
  <w:abstractNum w:abstractNumId="319">
    <w:nsid w:val="CE8E1A7"/>
    <w:multiLevelType w:val="hybridMultilevel"/>
    <w:lvl w:ilvl="0">
      <w:lvlJc w:val="left"/>
      <w:lvlText w:val="•"/>
      <w:numFmt w:val="bullet"/>
      <w:start w:val="1"/>
    </w:lvl>
  </w:abstractNum>
  <w:abstractNum w:abstractNumId="320">
    <w:nsid w:val="4E9EFB0D"/>
    <w:multiLevelType w:val="hybridMultilevel"/>
    <w:lvl w:ilvl="0">
      <w:lvlJc w:val="left"/>
      <w:lvlText w:val="•"/>
      <w:numFmt w:val="bullet"/>
      <w:start w:val="1"/>
    </w:lvl>
  </w:abstractNum>
  <w:abstractNum w:abstractNumId="321">
    <w:nsid w:val="90802BE"/>
    <w:multiLevelType w:val="hybridMultilevel"/>
    <w:lvl w:ilvl="0">
      <w:lvlJc w:val="left"/>
      <w:lvlText w:val="•"/>
      <w:numFmt w:val="bullet"/>
      <w:start w:val="1"/>
    </w:lvl>
  </w:abstractNum>
  <w:abstractNum w:abstractNumId="322">
    <w:nsid w:val="3266459B"/>
    <w:multiLevelType w:val="hybridMultilevel"/>
    <w:lvl w:ilvl="0">
      <w:lvlJc w:val="left"/>
      <w:lvlText w:val="•"/>
      <w:numFmt w:val="bullet"/>
      <w:start w:val="1"/>
    </w:lvl>
  </w:abstractNum>
  <w:abstractNum w:abstractNumId="323">
    <w:nsid w:val="3F8B0CBF"/>
    <w:multiLevelType w:val="hybridMultilevel"/>
    <w:lvl w:ilvl="0">
      <w:lvlJc w:val="left"/>
      <w:lvlText w:val="•"/>
      <w:numFmt w:val="bullet"/>
      <w:start w:val="1"/>
    </w:lvl>
  </w:abstractNum>
  <w:abstractNum w:abstractNumId="324">
    <w:nsid w:val="37E203AB"/>
    <w:multiLevelType w:val="hybridMultilevel"/>
    <w:lvl w:ilvl="0">
      <w:lvlJc w:val="left"/>
      <w:lvlText w:val="•"/>
      <w:numFmt w:val="bullet"/>
      <w:start w:val="1"/>
    </w:lvl>
  </w:abstractNum>
  <w:abstractNum w:abstractNumId="325">
    <w:nsid w:val="2586D60E"/>
    <w:multiLevelType w:val="hybridMultilevel"/>
    <w:lvl w:ilvl="0">
      <w:lvlJc w:val="left"/>
      <w:lvlText w:val="•"/>
      <w:numFmt w:val="bullet"/>
      <w:start w:val="1"/>
    </w:lvl>
  </w:abstractNum>
  <w:abstractNum w:abstractNumId="326">
    <w:nsid w:val="1F3DA4D5"/>
    <w:multiLevelType w:val="hybridMultilevel"/>
    <w:lvl w:ilvl="0">
      <w:lvlJc w:val="left"/>
      <w:lvlText w:val="3"/>
      <w:numFmt w:val="bullet"/>
      <w:start w:val="1"/>
    </w:lvl>
  </w:abstractNum>
  <w:abstractNum w:abstractNumId="327">
    <w:nsid w:val="74C93698"/>
    <w:multiLevelType w:val="hybridMultilevel"/>
    <w:lvl w:ilvl="0">
      <w:lvlJc w:val="left"/>
      <w:lvlText w:val="•"/>
      <w:numFmt w:val="bullet"/>
      <w:start w:val="1"/>
    </w:lvl>
  </w:abstractNum>
  <w:abstractNum w:abstractNumId="328">
    <w:nsid w:val="48781401"/>
    <w:multiLevelType w:val="hybridMultilevel"/>
    <w:lvl w:ilvl="0">
      <w:lvlJc w:val="left"/>
      <w:lvlText w:val="•"/>
      <w:numFmt w:val="bullet"/>
      <w:start w:val="1"/>
    </w:lvl>
  </w:abstractNum>
  <w:abstractNum w:abstractNumId="329">
    <w:nsid w:val="186928D6"/>
    <w:multiLevelType w:val="hybridMultilevel"/>
    <w:lvl w:ilvl="0">
      <w:lvlJc w:val="left"/>
      <w:lvlText w:val="4"/>
      <w:numFmt w:val="bullet"/>
      <w:start w:val="1"/>
    </w:lvl>
  </w:abstractNum>
  <w:abstractNum w:abstractNumId="330">
    <w:nsid w:val="47195E5"/>
    <w:multiLevelType w:val="hybridMultilevel"/>
    <w:lvl w:ilvl="0">
      <w:lvlJc w:val="left"/>
      <w:lvlText w:val="5"/>
      <w:numFmt w:val="bullet"/>
      <w:start w:val="1"/>
    </w:lvl>
  </w:abstractNum>
  <w:abstractNum w:abstractNumId="331">
    <w:nsid w:val="3746A5F2"/>
    <w:multiLevelType w:val="hybridMultilevel"/>
    <w:lvl w:ilvl="0">
      <w:lvlJc w:val="left"/>
      <w:lvlText w:val="6"/>
      <w:numFmt w:val="bullet"/>
      <w:start w:val="1"/>
    </w:lvl>
  </w:abstractNum>
  <w:abstractNum w:abstractNumId="332">
    <w:nsid w:val="682DFED6"/>
    <w:multiLevelType w:val="hybridMultilevel"/>
    <w:lvl w:ilvl="0">
      <w:lvlJc w:val="left"/>
      <w:lvlText w:val="8"/>
      <w:numFmt w:val="bullet"/>
      <w:start w:val="1"/>
    </w:lvl>
  </w:abstractNum>
  <w:abstractNum w:abstractNumId="333">
    <w:nsid w:val="606ED7F6"/>
    <w:multiLevelType w:val="hybridMultilevel"/>
    <w:lvl w:ilvl="0">
      <w:lvlJc w:val="left"/>
      <w:lvlText w:val="%1"/>
      <w:numFmt w:val="decimal"/>
      <w:start w:val="11"/>
    </w:lvl>
  </w:abstractNum>
  <w:abstractNum w:abstractNumId="334">
    <w:nsid w:val="2D9DF57D"/>
    <w:multiLevelType w:val="hybridMultilevel"/>
    <w:lvl w:ilvl="0">
      <w:lvlJc w:val="left"/>
      <w:lvlText w:val="%1"/>
      <w:numFmt w:val="decimal"/>
      <w:start w:val="15"/>
    </w:lvl>
  </w:abstractNum>
  <w:abstractNum w:abstractNumId="335">
    <w:nsid w:val="7FBD7A3E"/>
    <w:multiLevelType w:val="hybridMultilevel"/>
    <w:lvl w:ilvl="0">
      <w:lvlJc w:val="left"/>
      <w:lvlText w:val="*"/>
      <w:numFmt w:val="bullet"/>
      <w:start w:val="1"/>
    </w:lvl>
  </w:abstractNum>
  <w:abstractNum w:abstractNumId="336">
    <w:nsid w:val="490B7C5"/>
    <w:multiLevelType w:val="hybridMultilevel"/>
    <w:lvl w:ilvl="0">
      <w:lvlJc w:val="left"/>
      <w:lvlText w:val="•"/>
      <w:numFmt w:val="bullet"/>
      <w:start w:val="1"/>
    </w:lvl>
  </w:abstractNum>
  <w:abstractNum w:abstractNumId="337">
    <w:nsid w:val="4303A216"/>
    <w:multiLevelType w:val="hybridMultilevel"/>
    <w:lvl w:ilvl="0">
      <w:lvlJc w:val="left"/>
      <w:lvlText w:val="•"/>
      <w:numFmt w:val="bullet"/>
      <w:start w:val="1"/>
    </w:lvl>
  </w:abstractNum>
  <w:abstractNum w:abstractNumId="338">
    <w:nsid w:val="19B8A08E"/>
    <w:multiLevelType w:val="hybridMultilevel"/>
    <w:lvl w:ilvl="0">
      <w:lvlJc w:val="left"/>
      <w:lvlText w:val="*"/>
      <w:numFmt w:val="bullet"/>
      <w:start w:val="1"/>
    </w:lvl>
  </w:abstractNum>
  <w:abstractNum w:abstractNumId="339">
    <w:nsid w:val="54B59621"/>
    <w:multiLevelType w:val="hybridMultilevel"/>
    <w:lvl w:ilvl="0">
      <w:lvlJc w:val="left"/>
      <w:lvlText w:val="(%1)"/>
      <w:numFmt w:val="lowerLetter"/>
      <w:start w:val="1"/>
    </w:lvl>
    <w:lvl w:ilvl="1">
      <w:lvlJc w:val="left"/>
      <w:lvlText w:val="(%2)"/>
      <w:numFmt w:val="decimal"/>
      <w:start w:val="1"/>
    </w:lvl>
  </w:abstractNum>
  <w:abstractNum w:abstractNumId="340">
    <w:nsid w:val="5992A02E"/>
    <w:multiLevelType w:val="hybridMultilevel"/>
    <w:lvl w:ilvl="0">
      <w:lvlJc w:val="left"/>
      <w:lvlText w:val="%1."/>
      <w:numFmt w:val="decimal"/>
      <w:start w:val="1"/>
    </w:lvl>
  </w:abstractNum>
  <w:abstractNum w:abstractNumId="341">
    <w:nsid w:val="29EF532D"/>
    <w:multiLevelType w:val="hybridMultilevel"/>
    <w:lvl w:ilvl="0">
      <w:lvlJc w:val="left"/>
      <w:lvlText w:val="(%1)"/>
      <w:numFmt w:val="lowerLetter"/>
      <w:start w:val="1"/>
    </w:lvl>
  </w:abstractNum>
  <w:abstractNum w:abstractNumId="342">
    <w:nsid w:val="71D601AF"/>
    <w:multiLevelType w:val="hybridMultilevel"/>
    <w:lvl w:ilvl="0">
      <w:lvlJc w:val="left"/>
      <w:lvlText w:val="(%1)"/>
      <w:numFmt w:val="lowerLetter"/>
      <w:start w:val="4"/>
    </w:lvl>
  </w:abstractNum>
  <w:abstractNum w:abstractNumId="343">
    <w:nsid w:val="52C77402"/>
    <w:multiLevelType w:val="hybridMultilevel"/>
    <w:lvl w:ilvl="0">
      <w:lvlJc w:val="left"/>
      <w:lvlText w:val="%1."/>
      <w:numFmt w:val="decimal"/>
      <w:start w:val="2"/>
    </w:lvl>
  </w:abstractNum>
  <w:abstractNum w:abstractNumId="344">
    <w:nsid w:val="2BB5B1C6"/>
    <w:multiLevelType w:val="hybridMultilevel"/>
    <w:lvl w:ilvl="0">
      <w:lvlJc w:val="left"/>
      <w:lvlText w:val="(%1)"/>
      <w:numFmt w:val="lowerLetter"/>
      <w:start w:val="1"/>
    </w:lvl>
  </w:abstractNum>
  <w:abstractNum w:abstractNumId="345">
    <w:nsid w:val="66BE6B9"/>
    <w:multiLevelType w:val="hybridMultilevel"/>
    <w:lvl w:ilvl="0">
      <w:lvlJc w:val="left"/>
      <w:lvlText w:val="(%1)"/>
      <w:numFmt w:val="lowerLetter"/>
      <w:start w:val="7"/>
    </w:lvl>
  </w:abstractNum>
  <w:abstractNum w:abstractNumId="346">
    <w:nsid w:val="62234363"/>
    <w:multiLevelType w:val="hybridMultilevel"/>
    <w:lvl w:ilvl="0">
      <w:lvlJc w:val="left"/>
      <w:lvlText w:val="%1."/>
      <w:numFmt w:val="decimal"/>
      <w:start w:val="3"/>
    </w:lvl>
  </w:abstractNum>
  <w:abstractNum w:abstractNumId="347">
    <w:nsid w:val="66D385C9"/>
    <w:multiLevelType w:val="hybridMultilevel"/>
    <w:lvl w:ilvl="0">
      <w:lvlJc w:val="left"/>
      <w:lvlText w:val="%1."/>
      <w:numFmt w:val="decimal"/>
      <w:start w:val="4"/>
    </w:lvl>
  </w:abstractNum>
  <w:abstractNum w:abstractNumId="348">
    <w:nsid w:val="596F6D8A"/>
    <w:multiLevelType w:val="hybridMultilevel"/>
    <w:lvl w:ilvl="0">
      <w:lvlJc w:val="left"/>
      <w:lvlText w:val="(%1)"/>
      <w:numFmt w:val="lowerLetter"/>
      <w:start w:val="1"/>
    </w:lvl>
  </w:abstractNum>
  <w:abstractNum w:abstractNumId="349">
    <w:nsid w:val="5749361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9" Type="http://schemas.openxmlformats.org/officeDocument/2006/relationships/image" Target="media/image495.png"/><Relationship Id="rId528" Type="http://schemas.openxmlformats.org/officeDocument/2006/relationships/image" Target="media/image496.png"/><Relationship Id="rId550" Type="http://schemas.openxmlformats.org/officeDocument/2006/relationships/image" Target="media/image497.png"/><Relationship Id="rId551" Type="http://schemas.openxmlformats.org/officeDocument/2006/relationships/image" Target="media/image498.png"/><Relationship Id="rId552" Type="http://schemas.openxmlformats.org/officeDocument/2006/relationships/image" Target="media/image499.png"/><Relationship Id="rId553" Type="http://schemas.openxmlformats.org/officeDocument/2006/relationships/image" Target="media/image500.png"/><Relationship Id="rId554" Type="http://schemas.openxmlformats.org/officeDocument/2006/relationships/image" Target="media/image501.png"/><Relationship Id="rId555" Type="http://schemas.openxmlformats.org/officeDocument/2006/relationships/image" Target="media/image502.png"/><Relationship Id="rId556" Type="http://schemas.openxmlformats.org/officeDocument/2006/relationships/image" Target="media/image503.jpeg"/><Relationship Id="rId557" Type="http://schemas.openxmlformats.org/officeDocument/2006/relationships/image" Target="media/image504.jpeg"/><Relationship Id="rId558" Type="http://schemas.openxmlformats.org/officeDocument/2006/relationships/image" Target="media/image505.jpeg"/><Relationship Id="rId559" Type="http://schemas.openxmlformats.org/officeDocument/2006/relationships/image" Target="media/image506.png"/><Relationship Id="rId560" Type="http://schemas.openxmlformats.org/officeDocument/2006/relationships/image" Target="media/image507.png"/><Relationship Id="rId561" Type="http://schemas.openxmlformats.org/officeDocument/2006/relationships/image" Target="media/image508.png"/><Relationship Id="rId502" Type="http://schemas.openxmlformats.org/officeDocument/2006/relationships/hyperlink" Target="http://www.sec.gov/Archives/edgar/data/1776985/000119312519262865/d635330dex11.htm" TargetMode="External"/><Relationship Id="rId503" Type="http://schemas.openxmlformats.org/officeDocument/2006/relationships/hyperlink" Target="http://www.sec.gov/Archives/edgar/data/0001776985/000119312519252726/d635330dex31.htm" TargetMode="External"/><Relationship Id="rId504" Type="http://schemas.openxmlformats.org/officeDocument/2006/relationships/hyperlink" Target="http://www.sec.gov/Archives/edgar/data/1201935/000101915519000234/biontechdep.htm" TargetMode="External"/><Relationship Id="rId505" Type="http://schemas.openxmlformats.org/officeDocument/2006/relationships/hyperlink" Target="http://www.sec.gov/Archives/edgar/data/0001776985/000119312519252726/d635330dex42.htm" TargetMode="External"/><Relationship Id="rId506" Type="http://schemas.openxmlformats.org/officeDocument/2006/relationships/hyperlink" Target="http://www.sec.gov/Archives/edgar/data/0001776985/000119312519241112/d635330dex101.htm" TargetMode="External"/><Relationship Id="rId507" Type="http://schemas.openxmlformats.org/officeDocument/2006/relationships/hyperlink" Target="http://www.sec.gov/Archives/edgar/data/0001776985/000119312519241112/d635330dex102.htm" TargetMode="External"/><Relationship Id="rId508" Type="http://schemas.openxmlformats.org/officeDocument/2006/relationships/hyperlink" Target="http://www.sec.gov/Archives/edgar/data/0001776985/000119312519241112/d635330dex103.htm" TargetMode="External"/><Relationship Id="rId510" Type="http://schemas.openxmlformats.org/officeDocument/2006/relationships/hyperlink" Target="http://www.sec.gov/Archives/edgar/data/0001776985/000119312519241112/d635330dex104.htm" TargetMode="External"/><Relationship Id="rId511" Type="http://schemas.openxmlformats.org/officeDocument/2006/relationships/hyperlink" Target="http://www.sec.gov/Archives/edgar/data/0001776985/000119312519241112/d635330dex105.htm" TargetMode="External"/><Relationship Id="rId512" Type="http://schemas.openxmlformats.org/officeDocument/2006/relationships/hyperlink" Target="http://www.sec.gov/Archives/edgar/data/0001776985/000119312519241112/d635330dex106.htm" TargetMode="External"/><Relationship Id="rId513" Type="http://schemas.openxmlformats.org/officeDocument/2006/relationships/hyperlink" Target="http://www.sec.gov/Archives/edgar/data/0001776985/000119312519241112/d635330dex107.htm" TargetMode="External"/><Relationship Id="rId514" Type="http://schemas.openxmlformats.org/officeDocument/2006/relationships/hyperlink" Target="http://www.sec.gov/Archives/edgar/data/0001776985/000119312519241112/d635330dex108.htm" TargetMode="External"/><Relationship Id="rId515" Type="http://schemas.openxmlformats.org/officeDocument/2006/relationships/hyperlink" Target="http://www.sec.gov/Archives/edgar/data/0001776985/000119312519241112/d635330dex109.htm" TargetMode="External"/><Relationship Id="rId516" Type="http://schemas.openxmlformats.org/officeDocument/2006/relationships/hyperlink" Target="http://www.sec.gov/Archives/edgar/data/0001776985/000119312519241112/d635330dex1010.htm" TargetMode="External"/><Relationship Id="rId517" Type="http://schemas.openxmlformats.org/officeDocument/2006/relationships/hyperlink" Target="http://www.sec.gov/Archives/edgar/data/0001776985/000119312519241112/d635330dex1011.htm" TargetMode="External"/><Relationship Id="rId518" Type="http://schemas.openxmlformats.org/officeDocument/2006/relationships/hyperlink" Target="http://www.sec.gov/Archives/edgar/data/0001776985/000119312519241112/d635330dex1012.htm" TargetMode="External"/><Relationship Id="rId519" Type="http://schemas.openxmlformats.org/officeDocument/2006/relationships/hyperlink" Target="http://www.sec.gov/Archives/edgar/data/0001776985/000119312519241112/d635330dex1013.htm" TargetMode="External"/><Relationship Id="rId520" Type="http://schemas.openxmlformats.org/officeDocument/2006/relationships/hyperlink" Target="http://www.sec.gov/Archives/edgar/data/0001776985/000119312519241112/d635330dex1014.htm" TargetMode="External"/><Relationship Id="rId521" Type="http://schemas.openxmlformats.org/officeDocument/2006/relationships/hyperlink" Target="http://www.sec.gov/Archives/edgar/data/0001776985/000119312519241112/d635330dex1015.htm" TargetMode="External"/><Relationship Id="rId522" Type="http://schemas.openxmlformats.org/officeDocument/2006/relationships/hyperlink" Target="http://www.sec.gov/Archives/edgar/data/0001776985/000119312519241112/d635330dex1016.htm" TargetMode="External"/><Relationship Id="rId523" Type="http://schemas.openxmlformats.org/officeDocument/2006/relationships/hyperlink" Target="http://www.sec.gov/Archives/edgar/data/0001776985/000119312519241112/d635330dex1017.htm" TargetMode="External"/><Relationship Id="rId524" Type="http://schemas.openxmlformats.org/officeDocument/2006/relationships/hyperlink" Target="http://www.sec.gov/Archives/edgar/data/0001776985/000119312519241112/d635330dex1018.htm" TargetMode="External"/><Relationship Id="rId525" Type="http://schemas.openxmlformats.org/officeDocument/2006/relationships/hyperlink" Target="http://www.sec.gov/Archives/edgar/data/0001776985/000119312519241112/d635330dex1019.htm" TargetMode="External"/><Relationship Id="rId526" Type="http://schemas.openxmlformats.org/officeDocument/2006/relationships/hyperlink" Target="http://www.sec.gov/Archives/edgar/data/0001776985/000119312519241112/d635330dex1020.htm" TargetMode="External"/><Relationship Id="rId527" Type="http://schemas.openxmlformats.org/officeDocument/2006/relationships/hyperlink" Target="http://www.sec.gov/Archives/edgar/data/0001776985/000119312519241112/d635330dex1021.htm" TargetMode="External"/><Relationship Id="rId529" Type="http://schemas.openxmlformats.org/officeDocument/2006/relationships/hyperlink" Target="http://www.sec.gov/Archives/edgar/data/0001776985/000119312519241112/d635330dex1022.htm" TargetMode="External"/><Relationship Id="rId530" Type="http://schemas.openxmlformats.org/officeDocument/2006/relationships/hyperlink" Target="http://www.sec.gov/Archives/edgar/data/0001776985/000119312519241112/d635330dex1023.htm" TargetMode="External"/><Relationship Id="rId531" Type="http://schemas.openxmlformats.org/officeDocument/2006/relationships/hyperlink" Target="http://www.sec.gov/Archives/edgar/data/0001776985/000119312519241112/d635330dex1024.htm" TargetMode="External"/><Relationship Id="rId532" Type="http://schemas.openxmlformats.org/officeDocument/2006/relationships/hyperlink" Target="http://www.sec.gov/Archives/edgar/data/0001776985/000119312519241112/d635330dex1025.htm" TargetMode="External"/><Relationship Id="rId533" Type="http://schemas.openxmlformats.org/officeDocument/2006/relationships/hyperlink" Target="http://www.sec.gov/Archives/edgar/data/0001776985/000119312519241112/d635330dex1026.htm" TargetMode="External"/><Relationship Id="rId534" Type="http://schemas.openxmlformats.org/officeDocument/2006/relationships/hyperlink" Target="http://www.sec.gov/Archives/edgar/data/0001776985/000119312519241112/d635330dex1027.htm" TargetMode="External"/><Relationship Id="rId535" Type="http://schemas.openxmlformats.org/officeDocument/2006/relationships/hyperlink" Target="http://www.sec.gov/Archives/edgar/data/0001776985/000119312519241112/d635330dex1028.htm" TargetMode="External"/><Relationship Id="rId536" Type="http://schemas.openxmlformats.org/officeDocument/2006/relationships/hyperlink" Target="http://www.sec.gov/Archives/edgar/data/0001776985/000119312519241112/d635330dex1029.htm" TargetMode="External"/><Relationship Id="rId537" Type="http://schemas.openxmlformats.org/officeDocument/2006/relationships/hyperlink" Target="http://www.sec.gov/Archives/edgar/data/0001776985/000119312519241112/d635330dex1030.htm" TargetMode="External"/><Relationship Id="rId538" Type="http://schemas.openxmlformats.org/officeDocument/2006/relationships/hyperlink" Target="http://www.sec.gov/Archives/edgar/data/0001776985/000119312519241112/d635330dex1031.htm" TargetMode="External"/><Relationship Id="rId539" Type="http://schemas.openxmlformats.org/officeDocument/2006/relationships/hyperlink" Target="http://www.sec.gov/Archives/edgar/data/0001776985/000119312519241112/d635330dex1032.htm" TargetMode="External"/><Relationship Id="rId540" Type="http://schemas.openxmlformats.org/officeDocument/2006/relationships/hyperlink" Target="http://www.sec.gov/Archives/edgar/data/0001776985/000119312519241112/d635330dex1033.htm" TargetMode="External"/><Relationship Id="rId541" Type="http://schemas.openxmlformats.org/officeDocument/2006/relationships/hyperlink" Target="http://www.sec.gov/Archives/edgar/data/0001776985/000119312519241112/d635330dex1034.htm" TargetMode="External"/><Relationship Id="rId542" Type="http://schemas.openxmlformats.org/officeDocument/2006/relationships/hyperlink" Target="http://www.sec.gov/Archives/edgar/data/0001776985/000119312519241112/d635330dex1035.htm" TargetMode="External"/><Relationship Id="rId543" Type="http://schemas.openxmlformats.org/officeDocument/2006/relationships/hyperlink" Target="http://www.sec.gov/Archives/edgar/data/0001776985/000119312519241112/d635330dex1036.htm" TargetMode="External"/><Relationship Id="rId544" Type="http://schemas.openxmlformats.org/officeDocument/2006/relationships/hyperlink" Target="http://www.sec.gov/Archives/edgar/data/0001776985/000119312519241112/d635330dex1037.htm" TargetMode="External"/><Relationship Id="rId545" Type="http://schemas.openxmlformats.org/officeDocument/2006/relationships/hyperlink" Target="http://www.sec.gov/Archives/edgar/data/0001776985/000119312519252726/d635330dex1038.htm" TargetMode="External"/><Relationship Id="rId546" Type="http://schemas.openxmlformats.org/officeDocument/2006/relationships/hyperlink" Target="http://www.sec.gov/Archives/edgar/data/0001776985/000119312519241112/d635330dex161.htm" TargetMode="External"/><Relationship Id="rId547" Type="http://schemas.openxmlformats.org/officeDocument/2006/relationships/hyperlink" Target="http://www.sec.gov/Archives/edgar/data/0001776985/000119312519241112/d635330dex211.htm" TargetMode="External"/><Relationship Id="rId548" Type="http://schemas.openxmlformats.org/officeDocument/2006/relationships/hyperlink" Target="http://www.sec.gov/Archives/edgar/data/0001776985/000119312519252726/d635330dex51.htm" TargetMode="External"/><Relationship Id="rId549" Type="http://schemas.openxmlformats.org/officeDocument/2006/relationships/hyperlink" Target="http://www.sec.gov/Archives/edgar/data/1776985/000119312519241112/d635330df1.htm#ii635330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2019-12-04T23:03:36Z</dcterms:created>
  <dcterms:modified xsi:type="dcterms:W3CDTF">2019-12-04T23:03:36Z</dcterms:modified>
</cp:coreProperties>
</file>