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6211dsctota.htm"/>
      <w:bookmarkStart w:id="1" w:name="ksd66211dsctot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TO </w:t>
      </w:r>
    </w:p>
    <w:p>
      <w:pPr>
        <w:pStyle w:val="TextBody"/>
        <w:bidi w:val="0"/>
        <w:spacing w:before="240" w:after="0"/>
        <w:jc w:val="center"/>
        <w:rPr>
          <w:rFonts w:ascii="Times New Roman" w:hAnsi="Times New Roman"/>
          <w:b/>
          <w:sz w:val="24"/>
        </w:rPr>
      </w:pPr>
      <w:r>
        <w:rPr>
          <w:rFonts w:ascii="Times New Roman" w:hAnsi="Times New Roman"/>
          <w:b/>
          <w:sz w:val="24"/>
        </w:rPr>
        <w:t xml:space="preserve">Tender Offer Statement under Section 14(d)(1) or 13(e)(1)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(Rule 14d-100)</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CureVac N.V.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Subject Company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BioNTech SE </w:t>
      </w:r>
    </w:p>
    <w:p>
      <w:pPr>
        <w:pStyle w:val="TextBody"/>
        <w:bidi w:val="0"/>
        <w:spacing w:before="0" w:after="0"/>
        <w:jc w:val="center"/>
        <w:rPr>
          <w:rFonts w:ascii="Times New Roman" w:hAnsi="Times New Roman"/>
          <w:b/>
          <w:sz w:val="16"/>
        </w:rPr>
      </w:pPr>
      <w:r>
        <w:rPr>
          <w:rFonts w:ascii="Times New Roman" w:hAnsi="Times New Roman"/>
          <w:b/>
          <w:sz w:val="16"/>
        </w:rPr>
        <w:t xml:space="preserve">(Name of Filing Person (Offeror))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Shares, 0.12 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N2451R105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Prof. Ugur Sahin, M.D. </w:t>
      </w:r>
    </w:p>
    <w:p>
      <w:pPr>
        <w:pStyle w:val="TextBody"/>
        <w:bidi w:val="0"/>
        <w:spacing w:before="0" w:after="0"/>
        <w:jc w:val="center"/>
        <w:rPr>
          <w:rFonts w:ascii="Times New Roman" w:hAnsi="Times New Roman"/>
          <w:b/>
          <w:sz w:val="20"/>
        </w:rPr>
      </w:pPr>
      <w:r>
        <w:rPr>
          <w:rFonts w:ascii="Times New Roman" w:hAnsi="Times New Roman"/>
          <w:b/>
          <w:sz w:val="20"/>
        </w:rPr>
        <w:t xml:space="preserve">An der Goldgrube 12 </w:t>
      </w:r>
    </w:p>
    <w:p>
      <w:pPr>
        <w:pStyle w:val="TextBody"/>
        <w:bidi w:val="0"/>
        <w:spacing w:before="0" w:after="0"/>
        <w:jc w:val="center"/>
        <w:rPr>
          <w:rFonts w:ascii="Times New Roman" w:hAnsi="Times New Roman"/>
          <w:b/>
          <w:sz w:val="20"/>
        </w:rPr>
      </w:pPr>
      <w:r>
        <w:rPr>
          <w:rFonts w:ascii="Times New Roman" w:hAnsi="Times New Roman"/>
          <w:b/>
          <w:sz w:val="20"/>
        </w:rPr>
        <w:t xml:space="preserve">D-55131 Mainz </w:t>
      </w:r>
    </w:p>
    <w:p>
      <w:pPr>
        <w:pStyle w:val="TextBody"/>
        <w:bidi w:val="0"/>
        <w:spacing w:before="0" w:after="0"/>
        <w:jc w:val="center"/>
        <w:rPr>
          <w:rFonts w:ascii="Times New Roman" w:hAnsi="Times New Roman"/>
          <w:b/>
          <w:sz w:val="20"/>
        </w:rPr>
      </w:pPr>
      <w:r>
        <w:rPr>
          <w:rFonts w:ascii="Times New Roman" w:hAnsi="Times New Roman"/>
          <w:b/>
          <w:sz w:val="20"/>
        </w:rPr>
        <w:t xml:space="preserve">Germany </w:t>
      </w:r>
    </w:p>
    <w:p>
      <w:pPr>
        <w:pStyle w:val="TextBody"/>
        <w:bidi w:val="0"/>
        <w:spacing w:before="0" w:after="0"/>
        <w:jc w:val="center"/>
        <w:rPr>
          <w:rFonts w:ascii="Times New Roman" w:hAnsi="Times New Roman"/>
          <w:b/>
          <w:sz w:val="20"/>
        </w:rPr>
      </w:pPr>
      <w:r>
        <w:rPr>
          <w:rFonts w:ascii="Times New Roman" w:hAnsi="Times New Roman"/>
          <w:b/>
          <w:sz w:val="20"/>
        </w:rPr>
        <w:t>Telephone: +49 6131-9084-0</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person authorized to receive notices and communications on behalf of filing persons)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Paul Claydon</w:t>
            </w:r>
          </w:p>
          <w:p>
            <w:pPr>
              <w:pStyle w:val="TableContents"/>
              <w:bidi w:val="0"/>
              <w:spacing w:before="0" w:after="0"/>
              <w:jc w:val="center"/>
              <w:rPr>
                <w:rFonts w:ascii="Times New Roman" w:hAnsi="Times New Roman"/>
                <w:b/>
                <w:sz w:val="20"/>
              </w:rPr>
            </w:pPr>
            <w:r>
              <w:rPr>
                <w:rFonts w:ascii="Times New Roman" w:hAnsi="Times New Roman"/>
                <w:b/>
                <w:sz w:val="20"/>
              </w:rPr>
              <w:t>Jack S. Bodner</w:t>
            </w:r>
          </w:p>
          <w:p>
            <w:pPr>
              <w:pStyle w:val="TableContents"/>
              <w:bidi w:val="0"/>
              <w:spacing w:before="0" w:after="0"/>
              <w:jc w:val="center"/>
              <w:rPr>
                <w:rFonts w:ascii="Times New Roman" w:hAnsi="Times New Roman"/>
                <w:b/>
                <w:sz w:val="20"/>
              </w:rPr>
            </w:pPr>
            <w:r>
              <w:rPr>
                <w:rFonts w:ascii="Times New Roman" w:hAnsi="Times New Roman"/>
                <w:b/>
                <w:sz w:val="20"/>
              </w:rPr>
              <w:t>Matthew T. Gehl</w:t>
            </w:r>
          </w:p>
          <w:p>
            <w:pPr>
              <w:pStyle w:val="TableContents"/>
              <w:bidi w:val="0"/>
              <w:spacing w:before="0" w:after="0"/>
              <w:jc w:val="center"/>
              <w:rPr>
                <w:rFonts w:ascii="Times New Roman" w:hAnsi="Times New Roman"/>
                <w:b/>
                <w:sz w:val="20"/>
              </w:rPr>
            </w:pPr>
            <w:r>
              <w:rPr>
                <w:rFonts w:ascii="Times New Roman" w:hAnsi="Times New Roman"/>
                <w:b/>
                <w:sz w:val="20"/>
              </w:rPr>
              <w:t>Charles A. Dobb</w:t>
            </w:r>
          </w:p>
          <w:p>
            <w:pPr>
              <w:pStyle w:val="TableContents"/>
              <w:bidi w:val="0"/>
              <w:spacing w:before="0" w:after="0"/>
              <w:jc w:val="center"/>
              <w:rPr>
                <w:rFonts w:ascii="Times New Roman" w:hAnsi="Times New Roman"/>
                <w:b/>
                <w:sz w:val="20"/>
              </w:rPr>
            </w:pPr>
            <w:r>
              <w:rPr>
                <w:rFonts w:ascii="Times New Roman" w:hAnsi="Times New Roman"/>
                <w:b/>
                <w:sz w:val="20"/>
              </w:rPr>
              <w:t>Brian K. Rosenzweig</w:t>
            </w:r>
          </w:p>
          <w:p>
            <w:pPr>
              <w:pStyle w:val="TableContents"/>
              <w:bidi w:val="0"/>
              <w:spacing w:before="0" w:after="0"/>
              <w:jc w:val="center"/>
              <w:rPr>
                <w:rFonts w:ascii="Times New Roman" w:hAnsi="Times New Roman"/>
                <w:b/>
                <w:sz w:val="20"/>
              </w:rPr>
            </w:pPr>
            <w:r>
              <w:rPr>
                <w:rFonts w:ascii="Times New Roman" w:hAnsi="Times New Roman"/>
                <w:b/>
                <w:sz w:val="20"/>
              </w:rPr>
              <w:t>Covington &amp; Burling LLP</w:t>
            </w:r>
          </w:p>
          <w:p>
            <w:pPr>
              <w:pStyle w:val="TableContents"/>
              <w:bidi w:val="0"/>
              <w:spacing w:before="0" w:after="0"/>
              <w:jc w:val="center"/>
              <w:rPr>
                <w:rFonts w:ascii="Times New Roman" w:hAnsi="Times New Roman"/>
                <w:b/>
                <w:sz w:val="20"/>
              </w:rPr>
            </w:pPr>
            <w:r>
              <w:rPr>
                <w:rFonts w:ascii="Times New Roman" w:hAnsi="Times New Roman"/>
                <w:b/>
                <w:sz w:val="20"/>
              </w:rPr>
              <w:t>30 Hudson Yards</w:t>
            </w:r>
          </w:p>
          <w:p>
            <w:pPr>
              <w:pStyle w:val="TableContents"/>
              <w:bidi w:val="0"/>
              <w:spacing w:before="0" w:after="0"/>
              <w:jc w:val="center"/>
              <w:rPr>
                <w:rFonts w:ascii="Times New Roman" w:hAnsi="Times New Roman"/>
                <w:b/>
                <w:sz w:val="20"/>
              </w:rPr>
            </w:pPr>
            <w:r>
              <w:rPr>
                <w:rFonts w:ascii="Times New Roman" w:hAnsi="Times New Roman"/>
                <w:b/>
                <w:sz w:val="20"/>
              </w:rPr>
              <w:t>New York, New York 10001-2170</w:t>
            </w:r>
          </w:p>
          <w:p>
            <w:pPr>
              <w:pStyle w:val="TableContents"/>
              <w:bidi w:val="0"/>
              <w:spacing w:before="0" w:after="20"/>
              <w:jc w:val="center"/>
              <w:rPr>
                <w:rFonts w:ascii="Times New Roman" w:hAnsi="Times New Roman"/>
                <w:b/>
                <w:sz w:val="20"/>
              </w:rPr>
            </w:pPr>
            <w:r>
              <w:rPr>
                <w:rFonts w:ascii="Times New Roman" w:hAnsi="Times New Roman"/>
                <w:b/>
                <w:sz w:val="20"/>
              </w:rPr>
              <w:t>Telephone: (212) 841-1000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Howard L. Ellin</w:t>
            </w:r>
          </w:p>
          <w:p>
            <w:pPr>
              <w:pStyle w:val="TableContents"/>
              <w:bidi w:val="0"/>
              <w:spacing w:before="0" w:after="0"/>
              <w:jc w:val="center"/>
              <w:rPr>
                <w:rFonts w:ascii="Times New Roman" w:hAnsi="Times New Roman"/>
                <w:b/>
                <w:sz w:val="20"/>
              </w:rPr>
            </w:pPr>
            <w:r>
              <w:rPr>
                <w:rFonts w:ascii="Times New Roman" w:hAnsi="Times New Roman"/>
                <w:b/>
                <w:sz w:val="20"/>
              </w:rPr>
              <w:t>June S. Dipchand</w:t>
            </w:r>
          </w:p>
          <w:p>
            <w:pPr>
              <w:pStyle w:val="TableContents"/>
              <w:bidi w:val="0"/>
              <w:spacing w:before="0" w:after="0"/>
              <w:jc w:val="center"/>
              <w:rPr>
                <w:rFonts w:ascii="Times New Roman" w:hAnsi="Times New Roman"/>
                <w:b/>
                <w:sz w:val="20"/>
              </w:rPr>
            </w:pPr>
            <w:r>
              <w:rPr>
                <w:rFonts w:ascii="Times New Roman" w:hAnsi="Times New Roman"/>
                <w:b/>
                <w:sz w:val="20"/>
              </w:rPr>
              <w:t>Stephan Hutter</w:t>
            </w:r>
          </w:p>
          <w:p>
            <w:pPr>
              <w:pStyle w:val="TableContents"/>
              <w:bidi w:val="0"/>
              <w:spacing w:before="0" w:after="0"/>
              <w:jc w:val="center"/>
              <w:rPr>
                <w:rFonts w:ascii="Times New Roman" w:hAnsi="Times New Roman"/>
                <w:b/>
                <w:sz w:val="20"/>
              </w:rPr>
            </w:pPr>
            <w:r>
              <w:rPr>
                <w:rFonts w:ascii="Times New Roman" w:hAnsi="Times New Roman"/>
                <w:b/>
                <w:sz w:val="20"/>
              </w:rPr>
              <w:t>Holger Hofmeister</w:t>
            </w:r>
          </w:p>
          <w:p>
            <w:pPr>
              <w:pStyle w:val="TableContents"/>
              <w:bidi w:val="0"/>
              <w:spacing w:before="0" w:after="0"/>
              <w:jc w:val="center"/>
              <w:rPr>
                <w:rFonts w:ascii="Times New Roman" w:hAnsi="Times New Roman"/>
                <w:b/>
                <w:sz w:val="20"/>
              </w:rPr>
            </w:pPr>
            <w:r>
              <w:rPr>
                <w:rFonts w:ascii="Times New Roman" w:hAnsi="Times New Roman"/>
                <w:b/>
                <w:sz w:val="20"/>
              </w:rPr>
              <w:t>Skadden, Arps, Slate, Meagher &amp; Flom LLP</w:t>
            </w:r>
          </w:p>
          <w:p>
            <w:pPr>
              <w:pStyle w:val="TableContents"/>
              <w:bidi w:val="0"/>
              <w:spacing w:before="0" w:after="0"/>
              <w:jc w:val="center"/>
              <w:rPr>
                <w:rFonts w:ascii="Times New Roman" w:hAnsi="Times New Roman"/>
                <w:b/>
                <w:sz w:val="20"/>
              </w:rPr>
            </w:pPr>
            <w:r>
              <w:rPr>
                <w:rFonts w:ascii="Times New Roman" w:hAnsi="Times New Roman"/>
                <w:b/>
                <w:sz w:val="20"/>
              </w:rPr>
              <w:t>One Manhattan West</w:t>
            </w:r>
          </w:p>
          <w:p>
            <w:pPr>
              <w:pStyle w:val="TableContents"/>
              <w:bidi w:val="0"/>
              <w:spacing w:before="0" w:after="0"/>
              <w:jc w:val="center"/>
              <w:rPr>
                <w:rFonts w:ascii="Times New Roman" w:hAnsi="Times New Roman"/>
                <w:b/>
                <w:sz w:val="20"/>
              </w:rPr>
            </w:pPr>
            <w:r>
              <w:rPr>
                <w:rFonts w:ascii="Times New Roman" w:hAnsi="Times New Roman"/>
                <w:b/>
                <w:sz w:val="20"/>
              </w:rPr>
              <w:t>395 Ninth Avenue</w:t>
            </w:r>
          </w:p>
          <w:p>
            <w:pPr>
              <w:pStyle w:val="TableContents"/>
              <w:bidi w:val="0"/>
              <w:spacing w:before="0" w:after="0"/>
              <w:jc w:val="center"/>
              <w:rPr>
                <w:rFonts w:ascii="Times New Roman" w:hAnsi="Times New Roman"/>
                <w:b/>
                <w:sz w:val="20"/>
              </w:rPr>
            </w:pPr>
            <w:r>
              <w:rPr>
                <w:rFonts w:ascii="Times New Roman" w:hAnsi="Times New Roman"/>
                <w:b/>
                <w:sz w:val="20"/>
              </w:rPr>
              <w:t>New York, New York 10001</w:t>
            </w:r>
          </w:p>
          <w:p>
            <w:pPr>
              <w:pStyle w:val="TableContents"/>
              <w:bidi w:val="0"/>
              <w:spacing w:before="0" w:after="20"/>
              <w:jc w:val="center"/>
              <w:rPr>
                <w:rFonts w:ascii="Times New Roman" w:hAnsi="Times New Roman"/>
                <w:b/>
                <w:sz w:val="20"/>
              </w:rPr>
            </w:pPr>
            <w:r>
              <w:rPr>
                <w:rFonts w:ascii="Times New Roman" w:hAnsi="Times New Roman"/>
                <w:b/>
                <w:sz w:val="20"/>
              </w:rPr>
              <w:t>Telephone: (212) 735-3000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the box if the filing relates solely to preliminary communications made before the commencement of a tender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boxes below to designate any transactions to which the statement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third-party tender offer subject to Rule 14d-1.</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issuer tender offer subject to Rule 13e-4.</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going-private transaction subject to Rule 13e-3.</w:t>
            </w:r>
          </w:p>
        </w:tc>
      </w:tr>
    </w:tbl>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amendment to Schedule 13D under Rule 13d-2.</w:t>
            </w:r>
          </w:p>
        </w:tc>
      </w:tr>
    </w:tbl>
    <w:p>
      <w:pPr>
        <w:pStyle w:val="TextBody"/>
        <w:bidi w:val="0"/>
        <w:spacing w:before="240" w:after="0"/>
        <w:jc w:val="left"/>
        <w:rPr>
          <w:rFonts w:ascii="Times New Roman" w:hAnsi="Times New Roman"/>
          <w:sz w:val="20"/>
        </w:rPr>
      </w:pPr>
      <w:r>
        <w:rPr>
          <w:rFonts w:ascii="Times New Roman" w:hAnsi="Times New Roman"/>
          <w:sz w:val="20"/>
        </w:rPr>
        <w:t xml:space="preserve">Check the following box if the filing is a final amendment reporting the results of the tender offer:  ☒ </w:t>
      </w:r>
    </w:p>
    <w:p>
      <w:pPr>
        <w:pStyle w:val="TextBody"/>
        <w:bidi w:val="0"/>
        <w:spacing w:before="240" w:after="0"/>
        <w:jc w:val="left"/>
        <w:rPr>
          <w:rFonts w:ascii="Times New Roman" w:hAnsi="Times New Roman"/>
          <w:sz w:val="20"/>
        </w:rPr>
      </w:pPr>
      <w:r>
        <w:rPr>
          <w:rFonts w:ascii="Times New Roman" w:hAnsi="Times New Roman"/>
          <w:sz w:val="20"/>
        </w:rPr>
        <w:t xml:space="preserve">If applicable, check the appropriate box(es) below to designate the appropriate rule provision(s) relied upon: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 </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13e-4(i) (Cross-Border Issuer Tender Offer) </w:t>
            </w:r>
          </w:p>
        </w:tc>
      </w:tr>
    </w:tbl>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14d-1(d) (Cross-Border Third-Party Tender Offer)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Amendment No. 4 amends and supplements the Tender Offer Statement on Schedule TO filed by BioNTech SE, a European stock corporation (</w:t>
      </w:r>
      <w:r>
        <w:rPr>
          <w:rFonts w:ascii="Times New Roman" w:hAnsi="Times New Roman"/>
          <w:i/>
          <w:sz w:val="20"/>
        </w:rPr>
        <w:t>Societas Europaea</w:t>
      </w:r>
      <w:r>
        <w:rPr>
          <w:rFonts w:ascii="Times New Roman" w:hAnsi="Times New Roman"/>
          <w:sz w:val="20"/>
        </w:rPr>
        <w:t>, or SE) organized under the laws of Germany and the European Union (“</w:t>
      </w:r>
      <w:r>
        <w:rPr>
          <w:rFonts w:ascii="Times New Roman" w:hAnsi="Times New Roman"/>
          <w:i/>
          <w:sz w:val="20"/>
        </w:rPr>
        <w:t>BioNTech</w:t>
      </w:r>
      <w:r>
        <w:rPr>
          <w:rFonts w:ascii="Times New Roman" w:hAnsi="Times New Roman"/>
          <w:sz w:val="20"/>
        </w:rPr>
        <w:t>”), on October 21, 2025 (the “</w:t>
      </w:r>
      <w:r>
        <w:rPr>
          <w:rFonts w:ascii="Times New Roman" w:hAnsi="Times New Roman"/>
          <w:i/>
          <w:sz w:val="20"/>
        </w:rPr>
        <w:t>Schedule TO</w:t>
      </w:r>
      <w:r>
        <w:rPr>
          <w:rFonts w:ascii="Times New Roman" w:hAnsi="Times New Roman"/>
          <w:sz w:val="20"/>
        </w:rPr>
        <w:t>”). The Schedule TO relates to the offer by BioNTech to exchange American Depositary Shares, each representing one ordinary share, no par value, with a notional amount attributable to each ordinary share of 1, of BioNTech, for all of the outstanding ordinary shares, par value 0.12 per share, of CureVac N.V., a public limited liability company (</w:t>
      </w:r>
      <w:r>
        <w:rPr>
          <w:rFonts w:ascii="Times New Roman" w:hAnsi="Times New Roman"/>
          <w:i/>
          <w:sz w:val="20"/>
        </w:rPr>
        <w:t>naamloze vennootschap</w:t>
      </w:r>
      <w:r>
        <w:rPr>
          <w:rFonts w:ascii="Times New Roman" w:hAnsi="Times New Roman"/>
          <w:sz w:val="20"/>
        </w:rPr>
        <w:t xml:space="preserve">) incorporated under the laws of the Netherlands, upon the terms and subject to the conditions set forth in the Exchange Offer Prospectus and the related Letter of Transmittal, each as defined in the Schedule TO. The Exchange Offer Prospectus and Letter of Transmittal are incorporated by reference to Exhibit (a)(1)(A) and (a)(4) of the Schedule TO.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in the Exchange Offer Prospectus, including all annexes thereto, is hereby expressly incorporated by reference in response to all of the items of the Schedule TO, and is supplemented by the information specifically provided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Items 1, 4, and 11.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Offer Prospectus and Items 1, 4, and 11 of the Schedule TO, to the extent such Items incorporate by reference the information contained in the Exchange Offer Prospectus referenced below, are hereby amended and supplemented as follows: </w:t>
      </w:r>
    </w:p>
    <w:p>
      <w:pPr>
        <w:pStyle w:val="TextBody"/>
        <w:bidi w:val="0"/>
        <w:spacing w:before="120" w:after="0"/>
        <w:jc w:val="left"/>
        <w:rPr>
          <w:rFonts w:ascii="Times New Roman" w:hAnsi="Times New Roman"/>
          <w:i/>
          <w:sz w:val="20"/>
        </w:rPr>
      </w:pPr>
      <w:r>
        <w:rPr>
          <w:rFonts w:ascii="Times New Roman" w:hAnsi="Times New Roman"/>
          <w:i/>
          <w:sz w:val="20"/>
        </w:rPr>
        <w:t xml:space="preserve">The information set forth in the sections of the Exchange Offer Prospectus entitled “Questions and Answers,” “Summary,” and “The Offer” are hereby amended and supplemented by inserting the following paragraphs at the end of the section: </w:t>
      </w:r>
    </w:p>
    <w:p>
      <w:pPr>
        <w:pStyle w:val="TextBody"/>
        <w:bidi w:val="0"/>
        <w:spacing w:before="120" w:after="0"/>
        <w:jc w:val="left"/>
        <w:rPr/>
      </w:pPr>
      <w:r>
        <w:rPr/>
        <w:t>“</w:t>
      </w:r>
      <w:r>
        <w:rPr>
          <w:rFonts w:ascii="Times New Roman" w:hAnsi="Times New Roman"/>
          <w:sz w:val="20"/>
        </w:rPr>
        <w:t xml:space="preserve">At 12:01 a.m. (New York City Time) on December 18, 2025, the subsequent offering period expired. The exchange agent advised BioNTech that, as of the expiration time of the subsequent offering period, a total of 195,341,219 CureVac shares, collectively representing approximately 86.75% of CureVac’s issued and outstanding capital, were validly tendered in the offer. </w:t>
      </w:r>
    </w:p>
    <w:p>
      <w:pPr>
        <w:pStyle w:val="TextBody"/>
        <w:bidi w:val="0"/>
        <w:spacing w:before="240" w:after="0"/>
        <w:jc w:val="left"/>
        <w:rPr>
          <w:rFonts w:ascii="Times New Roman" w:hAnsi="Times New Roman"/>
          <w:sz w:val="20"/>
        </w:rPr>
      </w:pPr>
      <w:r>
        <w:rPr>
          <w:rFonts w:ascii="Times New Roman" w:hAnsi="Times New Roman"/>
          <w:sz w:val="20"/>
        </w:rPr>
        <w:t xml:space="preserve">BioNTech expects to promptly pay for all CureVac shares validly tendered prior to the expiration time of the subsequent offering period. </w:t>
      </w:r>
    </w:p>
    <w:p>
      <w:pPr>
        <w:pStyle w:val="TextBody"/>
        <w:bidi w:val="0"/>
        <w:spacing w:before="240" w:after="0"/>
        <w:jc w:val="left"/>
        <w:rPr>
          <w:rFonts w:ascii="Times New Roman" w:hAnsi="Times New Roman"/>
          <w:sz w:val="20"/>
        </w:rPr>
      </w:pPr>
      <w:r>
        <w:rPr>
          <w:rFonts w:ascii="Times New Roman" w:hAnsi="Times New Roman"/>
          <w:sz w:val="20"/>
        </w:rPr>
        <w:t xml:space="preserve">The offer has concluded, and BioNTech expects to consummate the post-offer reorganization as promptly as practicable. Promptly following the completion of the post-offer reorganization, CureVac will no longer be a publicly traded company, the listing of the CureVac shares on Nasdaq will be terminated, and the CureVac shares will be deregistered under the Exchange Act, resulting in the cessation of CureVac’s reporting obligations with respect to the CureVac shares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Item 12. Exhibits. </w:t>
      </w:r>
    </w:p>
    <w:p>
      <w:pPr>
        <w:pStyle w:val="TextBody"/>
        <w:bidi w:val="0"/>
        <w:spacing w:before="120" w:after="0"/>
        <w:jc w:val="left"/>
        <w:rPr>
          <w:rFonts w:ascii="Times New Roman" w:hAnsi="Times New Roman"/>
          <w:sz w:val="20"/>
        </w:rPr>
      </w:pPr>
      <w:r>
        <w:rPr>
          <w:rFonts w:ascii="Times New Roman" w:hAnsi="Times New Roman"/>
          <w:sz w:val="20"/>
        </w:rPr>
        <w:t xml:space="preserve">Item 12 of the Schedule TO is hereby amended and supplemented by adding the following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5"/>
        <w:gridCol w:w="599"/>
        <w:gridCol w:w="8411"/>
      </w:tblGrid>
      <w:tr>
        <w:trPr/>
        <w:tc>
          <w:tcPr>
            <w:tcW w:w="1195" w:type="dxa"/>
            <w:tcBorders/>
            <w:vAlign w:val="center"/>
          </w:tcPr>
          <w:p>
            <w:pPr>
              <w:pStyle w:val="TableContents"/>
              <w:bidi w:val="0"/>
              <w:spacing w:before="0" w:after="283"/>
              <w:jc w:val="left"/>
              <w:rPr>
                <w:sz w:val="4"/>
                <w:szCs w:val="4"/>
              </w:rPr>
            </w:pPr>
            <w:r>
              <w:rPr>
                <w:sz w:val="4"/>
                <w:szCs w:val="4"/>
              </w:rPr>
            </w:r>
          </w:p>
        </w:tc>
        <w:tc>
          <w:tcPr>
            <w:tcW w:w="599" w:type="dxa"/>
            <w:tcBorders/>
            <w:vAlign w:val="bottom"/>
          </w:tcPr>
          <w:p>
            <w:pPr>
              <w:pStyle w:val="TableContents"/>
              <w:bidi w:val="0"/>
              <w:spacing w:before="0" w:after="283"/>
              <w:jc w:val="left"/>
              <w:rPr>
                <w:sz w:val="4"/>
                <w:szCs w:val="4"/>
              </w:rPr>
            </w:pPr>
            <w:r>
              <w:rPr>
                <w:sz w:val="4"/>
                <w:szCs w:val="4"/>
              </w:rPr>
            </w:r>
          </w:p>
        </w:tc>
        <w:tc>
          <w:tcPr>
            <w:tcW w:w="8411" w:type="dxa"/>
            <w:tcBorders/>
            <w:vAlign w:val="center"/>
          </w:tcPr>
          <w:p>
            <w:pPr>
              <w:pStyle w:val="TableContents"/>
              <w:bidi w:val="0"/>
              <w:spacing w:before="0" w:after="283"/>
              <w:jc w:val="left"/>
              <w:rPr>
                <w:sz w:val="4"/>
                <w:szCs w:val="4"/>
              </w:rPr>
            </w:pPr>
            <w:r>
              <w:rPr>
                <w:sz w:val="4"/>
                <w:szCs w:val="4"/>
              </w:rPr>
            </w:r>
          </w:p>
        </w:tc>
      </w:tr>
      <w:tr>
        <w:trPr/>
        <w:tc>
          <w:tcPr>
            <w:tcW w:w="1195"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599" w:type="dxa"/>
            <w:tcBorders/>
            <w:vAlign w:val="bottom"/>
          </w:tcPr>
          <w:p>
            <w:pPr>
              <w:pStyle w:val="TableContents"/>
              <w:bidi w:val="0"/>
              <w:spacing w:before="0" w:after="283"/>
              <w:jc w:val="left"/>
              <w:rPr/>
            </w:pPr>
            <w:r>
              <w:rPr/>
              <w:t> </w:t>
            </w:r>
          </w:p>
        </w:tc>
        <w:tc>
          <w:tcPr>
            <w:tcW w:w="841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1195"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r>
      <w:tr>
        <w:trPr/>
        <w:tc>
          <w:tcPr>
            <w:tcW w:w="1195" w:type="dxa"/>
            <w:tcBorders/>
          </w:tcPr>
          <w:p>
            <w:pPr>
              <w:pStyle w:val="TableContents"/>
              <w:bidi w:val="0"/>
              <w:spacing w:before="0" w:after="283"/>
              <w:jc w:val="left"/>
              <w:rPr/>
            </w:pPr>
            <w:r>
              <w:rPr/>
              <w:t>(a)(5)(O)</w:t>
            </w:r>
          </w:p>
        </w:tc>
        <w:tc>
          <w:tcPr>
            <w:tcW w:w="599" w:type="dxa"/>
            <w:tcBorders/>
            <w:vAlign w:val="bottom"/>
          </w:tcPr>
          <w:p>
            <w:pPr>
              <w:pStyle w:val="TableContents"/>
              <w:bidi w:val="0"/>
              <w:spacing w:before="0" w:after="283"/>
              <w:jc w:val="left"/>
              <w:rPr/>
            </w:pPr>
            <w:r>
              <w:rPr/>
              <w:t> </w:t>
            </w:r>
          </w:p>
        </w:tc>
        <w:tc>
          <w:tcPr>
            <w:tcW w:w="8411" w:type="dxa"/>
            <w:tcBorders/>
          </w:tcPr>
          <w:p>
            <w:pPr>
              <w:pStyle w:val="TableContents"/>
              <w:bidi w:val="0"/>
              <w:spacing w:before="0" w:after="283"/>
              <w:jc w:val="left"/>
              <w:rPr/>
            </w:pPr>
            <w:hyperlink r:id="rId2">
              <w:r>
                <w:rPr>
                  <w:rStyle w:val="InternetLink"/>
                </w:rPr>
                <w:t xml:space="preserve">Press Release issued by BioNTech SE, dated December 18, 2025 (incorporated by reference to Exhibit 99.1 to the Report on Form 6-K filed by BioNTech SE with the SEC on December 18, 2025).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due inquiry and to the best of my knowledge and belief, I certify that the information set forth in this statement is true, complete and correct.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Dated: December 18, 2025</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BioNTech SE</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Prof. Ugur Sahin, M.D.</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Prof. Ugur Sahin, M.D.</w:t>
            </w:r>
          </w:p>
        </w:tc>
      </w:tr>
      <w:tr>
        <w:trPr/>
        <w:tc>
          <w:tcPr>
            <w:tcW w:w="3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Chief Executive Offer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76985/000119312525246740/d42810dex99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801</Words>
  <Characters>4334</Characters>
  <CharactersWithSpaces>5133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TO-T/A</dc:title>
</cp:coreProperties>
</file>