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February 13, 2023</w:t>
      </w:r>
    </w:p>
    <w:p>
      <w:pPr>
        <w:spacing w:after="0" w:line="31"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39"/>
        <w:spacing w:after="0" w:line="230"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BioNTech SE</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80" w:type="dxa"/>
        <w:tblCellMar>
          <w:top w:w="0" w:type="dxa"/>
          <w:left w:w="0" w:type="dxa"/>
          <w:bottom w:w="0" w:type="dxa"/>
          <w:right w:w="0" w:type="dxa"/>
        </w:tblCellMar>
      </w:tblPr>
      <w:tr>
        <w:trPr>
          <w:trHeight w:val="214"/>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Federal Republic of Germany</w:t>
            </w:r>
          </w:p>
        </w:tc>
        <w:tc>
          <w:tcPr>
            <w:tcW w:w="5320" w:type="dxa"/>
            <w:vAlign w:val="bottom"/>
            <w:gridSpan w:val="3"/>
          </w:tcPr>
          <w:p>
            <w:pPr>
              <w:jc w:val="right"/>
              <w:ind w:right="475"/>
              <w:spacing w:after="0"/>
              <w:rPr>
                <w:sz w:val="20"/>
                <w:szCs w:val="20"/>
                <w:color w:val="auto"/>
              </w:rPr>
            </w:pPr>
            <w:r>
              <w:rPr>
                <w:rFonts w:ascii="Times New Roman" w:cs="Times New Roman" w:eastAsia="Times New Roman" w:hAnsi="Times New Roman"/>
                <w:sz w:val="18"/>
                <w:szCs w:val="18"/>
                <w:b w:val="1"/>
                <w:bCs w:val="1"/>
                <w:color w:val="auto"/>
              </w:rPr>
              <w:t>98-151-1032</w:t>
            </w:r>
          </w:p>
        </w:tc>
        <w:tc>
          <w:tcPr>
            <w:tcW w:w="0" w:type="dxa"/>
            <w:vAlign w:val="bottom"/>
          </w:tcPr>
          <w:p>
            <w:pPr>
              <w:spacing w:after="0"/>
              <w:rPr>
                <w:sz w:val="1"/>
                <w:szCs w:val="1"/>
                <w:color w:val="auto"/>
              </w:rPr>
            </w:pPr>
          </w:p>
        </w:tc>
      </w:tr>
      <w:tr>
        <w:trPr>
          <w:trHeight w:val="149"/>
        </w:trPr>
        <w:tc>
          <w:tcPr>
            <w:tcW w:w="2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700" w:type="dxa"/>
            <w:vAlign w:val="bottom"/>
          </w:tcPr>
          <w:p>
            <w:pPr>
              <w:jc w:val="center"/>
              <w:ind w:left="57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c>
          <w:tcPr>
            <w:tcW w:w="0" w:type="dxa"/>
            <w:vAlign w:val="bottom"/>
          </w:tcPr>
          <w:p>
            <w:pPr>
              <w:spacing w:after="0"/>
              <w:rPr>
                <w:sz w:val="1"/>
                <w:szCs w:val="1"/>
                <w:color w:val="auto"/>
              </w:rPr>
            </w:pPr>
          </w:p>
        </w:tc>
      </w:tr>
      <w:tr>
        <w:trPr>
          <w:trHeight w:val="433"/>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 der Goldgrube 12</w:t>
            </w: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D-55131 Mainz</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tc>
        <w:tc>
          <w:tcPr>
            <w:tcW w:w="30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70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0" w:type="dxa"/>
            <w:vAlign w:val="bottom"/>
          </w:tcPr>
          <w:p>
            <w:pPr>
              <w:spacing w:after="0"/>
              <w:rPr>
                <w:sz w:val="1"/>
                <w:szCs w:val="1"/>
                <w:color w:val="auto"/>
              </w:rPr>
            </w:pPr>
          </w:p>
        </w:tc>
      </w:tr>
      <w:tr>
        <w:trPr>
          <w:trHeight w:val="190"/>
        </w:trPr>
        <w:tc>
          <w:tcPr>
            <w:tcW w:w="2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700" w:type="dxa"/>
            <w:vAlign w:val="bottom"/>
          </w:tcPr>
          <w:p>
            <w:pPr>
              <w:jc w:val="center"/>
              <w:ind w:left="635"/>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393"/>
        </w:trPr>
        <w:tc>
          <w:tcPr>
            <w:tcW w:w="2460" w:type="dxa"/>
            <w:vAlign w:val="bottom"/>
          </w:tcPr>
          <w:p>
            <w:pPr>
              <w:spacing w:after="0"/>
              <w:rPr>
                <w:sz w:val="24"/>
                <w:szCs w:val="24"/>
                <w:color w:val="auto"/>
              </w:rPr>
            </w:pPr>
          </w:p>
        </w:tc>
        <w:tc>
          <w:tcPr>
            <w:tcW w:w="5320" w:type="dxa"/>
            <w:vAlign w:val="bottom"/>
            <w:gridSpan w:val="3"/>
          </w:tcPr>
          <w:p>
            <w:pPr>
              <w:jc w:val="center"/>
              <w:ind w:right="2315"/>
              <w:spacing w:after="0"/>
              <w:rPr>
                <w:sz w:val="20"/>
                <w:szCs w:val="20"/>
                <w:color w:val="auto"/>
              </w:rPr>
            </w:pPr>
            <w:r>
              <w:rPr>
                <w:rFonts w:ascii="Times New Roman" w:cs="Times New Roman" w:eastAsia="Times New Roman" w:hAnsi="Times New Roman"/>
                <w:sz w:val="18"/>
                <w:szCs w:val="18"/>
                <w:b w:val="1"/>
                <w:bCs w:val="1"/>
                <w:color w:val="auto"/>
                <w:w w:val="99"/>
              </w:rPr>
              <w:t>2017 Employee Stock Ownership Plan</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gridSpan w:val="2"/>
          </w:tcPr>
          <w:p>
            <w:pPr>
              <w:jc w:val="center"/>
              <w:ind w:right="2615"/>
              <w:spacing w:after="0"/>
              <w:rPr>
                <w:sz w:val="20"/>
                <w:szCs w:val="20"/>
                <w:color w:val="auto"/>
              </w:rPr>
            </w:pPr>
            <w:r>
              <w:rPr>
                <w:rFonts w:ascii="Times New Roman" w:cs="Times New Roman" w:eastAsia="Times New Roman" w:hAnsi="Times New Roman"/>
                <w:sz w:val="18"/>
                <w:szCs w:val="18"/>
                <w:b w:val="1"/>
                <w:bCs w:val="1"/>
                <w:color w:val="auto"/>
                <w:w w:val="99"/>
              </w:rPr>
              <w:t>2020 Employee Equity Plan</w:t>
            </w:r>
          </w:p>
        </w:tc>
        <w:tc>
          <w:tcPr>
            <w:tcW w:w="0" w:type="dxa"/>
            <w:vAlign w:val="bottom"/>
          </w:tcPr>
          <w:p>
            <w:pPr>
              <w:spacing w:after="0"/>
              <w:rPr>
                <w:sz w:val="1"/>
                <w:szCs w:val="1"/>
                <w:color w:val="auto"/>
              </w:rPr>
            </w:pPr>
          </w:p>
        </w:tc>
      </w:tr>
      <w:tr>
        <w:trPr>
          <w:trHeight w:val="216"/>
        </w:trPr>
        <w:tc>
          <w:tcPr>
            <w:tcW w:w="778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 Restricted Stock Unit Plan for North America Employees</w:t>
            </w:r>
          </w:p>
        </w:tc>
        <w:tc>
          <w:tcPr>
            <w:tcW w:w="0" w:type="dxa"/>
            <w:vAlign w:val="bottom"/>
          </w:tcPr>
          <w:p>
            <w:pPr>
              <w:spacing w:after="0"/>
              <w:rPr>
                <w:sz w:val="1"/>
                <w:szCs w:val="1"/>
                <w:color w:val="auto"/>
              </w:rPr>
            </w:pPr>
          </w:p>
        </w:tc>
      </w:tr>
      <w:tr>
        <w:trPr>
          <w:trHeight w:val="214"/>
        </w:trPr>
        <w:tc>
          <w:tcPr>
            <w:tcW w:w="2460" w:type="dxa"/>
            <w:vAlign w:val="bottom"/>
          </w:tcPr>
          <w:p>
            <w:pPr>
              <w:spacing w:after="0"/>
              <w:rPr>
                <w:sz w:val="18"/>
                <w:szCs w:val="18"/>
                <w:color w:val="auto"/>
              </w:rPr>
            </w:pPr>
          </w:p>
        </w:tc>
        <w:tc>
          <w:tcPr>
            <w:tcW w:w="5320" w:type="dxa"/>
            <w:vAlign w:val="bottom"/>
            <w:gridSpan w:val="3"/>
          </w:tcPr>
          <w:p>
            <w:pPr>
              <w:jc w:val="center"/>
              <w:ind w:right="2315"/>
              <w:spacing w:after="0"/>
              <w:rPr>
                <w:sz w:val="20"/>
                <w:szCs w:val="20"/>
                <w:color w:val="auto"/>
              </w:rPr>
            </w:pPr>
            <w:r>
              <w:rPr>
                <w:rFonts w:ascii="Times New Roman" w:cs="Times New Roman" w:eastAsia="Times New Roman" w:hAnsi="Times New Roman"/>
                <w:sz w:val="18"/>
                <w:szCs w:val="18"/>
                <w:b w:val="1"/>
                <w:bCs w:val="1"/>
                <w:color w:val="auto"/>
                <w:w w:val="99"/>
              </w:rPr>
              <w:t>2021 Employee Stock Ownership Plan</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20" w:type="dxa"/>
            <w:vAlign w:val="bottom"/>
            <w:gridSpan w:val="2"/>
          </w:tcPr>
          <w:p>
            <w:pPr>
              <w:jc w:val="center"/>
              <w:ind w:right="2615"/>
              <w:spacing w:after="0"/>
              <w:rPr>
                <w:sz w:val="20"/>
                <w:szCs w:val="20"/>
                <w:color w:val="auto"/>
              </w:rPr>
            </w:pPr>
            <w:r>
              <w:rPr>
                <w:rFonts w:ascii="Times New Roman" w:cs="Times New Roman" w:eastAsia="Times New Roman" w:hAnsi="Times New Roman"/>
                <w:sz w:val="14"/>
                <w:szCs w:val="14"/>
                <w:b w:val="1"/>
                <w:bCs w:val="1"/>
                <w:color w:val="auto"/>
              </w:rPr>
              <w:t>(Full title of the plans)</w:t>
            </w:r>
          </w:p>
        </w:tc>
        <w:tc>
          <w:tcPr>
            <w:tcW w:w="0" w:type="dxa"/>
            <w:vAlign w:val="bottom"/>
          </w:tcPr>
          <w:p>
            <w:pPr>
              <w:spacing w:after="0"/>
              <w:rPr>
                <w:sz w:val="1"/>
                <w:szCs w:val="1"/>
                <w:color w:val="auto"/>
              </w:rPr>
            </w:pPr>
          </w:p>
        </w:tc>
      </w:tr>
      <w:tr>
        <w:trPr>
          <w:trHeight w:val="393"/>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gridSpan w:val="2"/>
          </w:tcPr>
          <w:p>
            <w:pPr>
              <w:jc w:val="center"/>
              <w:ind w:right="2615"/>
              <w:spacing w:after="0"/>
              <w:rPr>
                <w:sz w:val="20"/>
                <w:szCs w:val="20"/>
                <w:color w:val="auto"/>
              </w:rPr>
            </w:pPr>
            <w:r>
              <w:rPr>
                <w:rFonts w:ascii="Times New Roman" w:cs="Times New Roman" w:eastAsia="Times New Roman" w:hAnsi="Times New Roman"/>
                <w:sz w:val="18"/>
                <w:szCs w:val="18"/>
                <w:b w:val="1"/>
                <w:bCs w:val="1"/>
                <w:color w:val="auto"/>
                <w:w w:val="98"/>
              </w:rPr>
              <w:t>BioNTech US Inc.</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gridSpan w:val="2"/>
          </w:tcPr>
          <w:p>
            <w:pPr>
              <w:jc w:val="center"/>
              <w:ind w:right="2615"/>
              <w:spacing w:after="0"/>
              <w:rPr>
                <w:sz w:val="20"/>
                <w:szCs w:val="20"/>
                <w:color w:val="auto"/>
              </w:rPr>
            </w:pPr>
            <w:r>
              <w:rPr>
                <w:rFonts w:ascii="Times New Roman" w:cs="Times New Roman" w:eastAsia="Times New Roman" w:hAnsi="Times New Roman"/>
                <w:sz w:val="18"/>
                <w:szCs w:val="18"/>
                <w:b w:val="1"/>
                <w:bCs w:val="1"/>
                <w:color w:val="auto"/>
                <w:w w:val="99"/>
              </w:rPr>
              <w:t>40 Erie St., Suite 110</w:t>
            </w:r>
          </w:p>
        </w:tc>
        <w:tc>
          <w:tcPr>
            <w:tcW w:w="0" w:type="dxa"/>
            <w:vAlign w:val="bottom"/>
          </w:tcPr>
          <w:p>
            <w:pPr>
              <w:spacing w:after="0"/>
              <w:rPr>
                <w:sz w:val="1"/>
                <w:szCs w:val="1"/>
                <w:color w:val="auto"/>
              </w:rPr>
            </w:pPr>
          </w:p>
        </w:tc>
      </w:tr>
      <w:tr>
        <w:trPr>
          <w:trHeight w:val="214"/>
        </w:trPr>
        <w:tc>
          <w:tcPr>
            <w:tcW w:w="2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20" w:type="dxa"/>
            <w:vAlign w:val="bottom"/>
            <w:gridSpan w:val="2"/>
          </w:tcPr>
          <w:p>
            <w:pPr>
              <w:jc w:val="center"/>
              <w:ind w:right="2615"/>
              <w:spacing w:after="0"/>
              <w:rPr>
                <w:sz w:val="20"/>
                <w:szCs w:val="20"/>
                <w:color w:val="auto"/>
              </w:rPr>
            </w:pPr>
            <w:r>
              <w:rPr>
                <w:rFonts w:ascii="Times New Roman" w:cs="Times New Roman" w:eastAsia="Times New Roman" w:hAnsi="Times New Roman"/>
                <w:sz w:val="18"/>
                <w:szCs w:val="18"/>
                <w:b w:val="1"/>
                <w:bCs w:val="1"/>
                <w:color w:val="auto"/>
              </w:rPr>
              <w:t>Cambridge, MA 02139</w:t>
            </w:r>
          </w:p>
        </w:tc>
        <w:tc>
          <w:tcPr>
            <w:tcW w:w="0" w:type="dxa"/>
            <w:vAlign w:val="bottom"/>
          </w:tcPr>
          <w:p>
            <w:pPr>
              <w:spacing w:after="0"/>
              <w:rPr>
                <w:sz w:val="1"/>
                <w:szCs w:val="1"/>
                <w:color w:val="auto"/>
              </w:rPr>
            </w:pPr>
          </w:p>
        </w:tc>
      </w:tr>
      <w:tr>
        <w:trPr>
          <w:trHeight w:val="190"/>
        </w:trPr>
        <w:tc>
          <w:tcPr>
            <w:tcW w:w="2460" w:type="dxa"/>
            <w:vAlign w:val="bottom"/>
          </w:tcPr>
          <w:p>
            <w:pPr>
              <w:spacing w:after="0"/>
              <w:rPr>
                <w:sz w:val="16"/>
                <w:szCs w:val="16"/>
                <w:color w:val="auto"/>
              </w:rPr>
            </w:pPr>
          </w:p>
        </w:tc>
        <w:tc>
          <w:tcPr>
            <w:tcW w:w="5320" w:type="dxa"/>
            <w:vAlign w:val="bottom"/>
            <w:gridSpan w:val="3"/>
          </w:tcPr>
          <w:p>
            <w:pPr>
              <w:jc w:val="center"/>
              <w:ind w:right="2315"/>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tc>
        <w:tc>
          <w:tcPr>
            <w:tcW w:w="0" w:type="dxa"/>
            <w:vAlign w:val="bottom"/>
          </w:tcPr>
          <w:p>
            <w:pPr>
              <w:spacing w:after="0"/>
              <w:rPr>
                <w:sz w:val="1"/>
                <w:szCs w:val="1"/>
                <w:color w:val="auto"/>
              </w:rPr>
            </w:pPr>
          </w:p>
        </w:tc>
      </w:tr>
      <w:tr>
        <w:trPr>
          <w:trHeight w:val="390"/>
        </w:trPr>
        <w:tc>
          <w:tcPr>
            <w:tcW w:w="2460" w:type="dxa"/>
            <w:vAlign w:val="bottom"/>
          </w:tcPr>
          <w:p>
            <w:pPr>
              <w:spacing w:after="0"/>
              <w:rPr>
                <w:sz w:val="24"/>
                <w:szCs w:val="24"/>
                <w:color w:val="auto"/>
              </w:rPr>
            </w:pPr>
          </w:p>
        </w:tc>
        <w:tc>
          <w:tcPr>
            <w:tcW w:w="2620" w:type="dxa"/>
            <w:vAlign w:val="bottom"/>
            <w:gridSpan w:val="2"/>
          </w:tcPr>
          <w:p>
            <w:pPr>
              <w:jc w:val="center"/>
              <w:ind w:left="213"/>
              <w:spacing w:after="0"/>
              <w:rPr>
                <w:sz w:val="20"/>
                <w:szCs w:val="20"/>
                <w:color w:val="auto"/>
              </w:rPr>
            </w:pPr>
            <w:r>
              <w:rPr>
                <w:rFonts w:ascii="Times New Roman" w:cs="Times New Roman" w:eastAsia="Times New Roman" w:hAnsi="Times New Roman"/>
                <w:sz w:val="18"/>
                <w:szCs w:val="18"/>
                <w:b w:val="1"/>
                <w:bCs w:val="1"/>
                <w:color w:val="auto"/>
                <w:w w:val="99"/>
              </w:rPr>
              <w:t>+1 (617) 337-4701</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77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tc>
        <w:tc>
          <w:tcPr>
            <w:tcW w:w="0" w:type="dxa"/>
            <w:vAlign w:val="bottom"/>
          </w:tcPr>
          <w:p>
            <w:pPr>
              <w:spacing w:after="0"/>
              <w:rPr>
                <w:sz w:val="1"/>
                <w:szCs w:val="1"/>
                <w:color w:val="auto"/>
              </w:rPr>
            </w:pPr>
          </w:p>
        </w:tc>
      </w:tr>
      <w:tr>
        <w:trPr>
          <w:trHeight w:val="415"/>
        </w:trPr>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gridSpan w:val="2"/>
          </w:tcPr>
          <w:p>
            <w:pPr>
              <w:jc w:val="center"/>
              <w:ind w:right="2595"/>
              <w:spacing w:after="0"/>
              <w:rPr>
                <w:sz w:val="20"/>
                <w:szCs w:val="20"/>
                <w:color w:val="auto"/>
              </w:rPr>
            </w:pPr>
            <w:r>
              <w:rPr>
                <w:rFonts w:ascii="Times New Roman" w:cs="Times New Roman" w:eastAsia="Times New Roman" w:hAnsi="Times New Roman"/>
                <w:sz w:val="18"/>
                <w:szCs w:val="18"/>
                <w:b w:val="1"/>
                <w:bCs w:val="1"/>
                <w:i w:val="1"/>
                <w:iCs w:val="1"/>
                <w:color w:val="auto"/>
                <w:w w:val="99"/>
              </w:rPr>
              <w:t>Copies to:</w:t>
            </w:r>
          </w:p>
        </w:tc>
        <w:tc>
          <w:tcPr>
            <w:tcW w:w="0" w:type="dxa"/>
            <w:vAlign w:val="bottom"/>
          </w:tcPr>
          <w:p>
            <w:pPr>
              <w:spacing w:after="0"/>
              <w:rPr>
                <w:sz w:val="1"/>
                <w:szCs w:val="1"/>
                <w:color w:val="auto"/>
              </w:rPr>
            </w:pPr>
          </w:p>
        </w:tc>
      </w:tr>
      <w:tr>
        <w:trPr>
          <w:trHeight w:val="365"/>
        </w:trPr>
        <w:tc>
          <w:tcPr>
            <w:tcW w:w="2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Paul Claydon</w:t>
            </w:r>
          </w:p>
        </w:tc>
        <w:tc>
          <w:tcPr>
            <w:tcW w:w="3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700" w:type="dxa"/>
            <w:vAlign w:val="bottom"/>
            <w:vMerge w:val="restart"/>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rPr>
              <w:t>Henning Bloss</w:t>
            </w:r>
          </w:p>
        </w:tc>
        <w:tc>
          <w:tcPr>
            <w:tcW w:w="0" w:type="dxa"/>
            <w:vAlign w:val="bottom"/>
          </w:tcPr>
          <w:p>
            <w:pPr>
              <w:spacing w:after="0"/>
              <w:rPr>
                <w:sz w:val="1"/>
                <w:szCs w:val="1"/>
                <w:color w:val="auto"/>
              </w:rPr>
            </w:pPr>
          </w:p>
        </w:tc>
      </w:tr>
      <w:tr>
        <w:trPr>
          <w:trHeight w:val="457"/>
        </w:trPr>
        <w:tc>
          <w:tcPr>
            <w:tcW w:w="2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Brian K. Rosenzweig</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00" w:type="dxa"/>
            <w:vAlign w:val="bottom"/>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9"/>
              </w:rPr>
              <w:t>Jörn Hirschmann</w:t>
            </w:r>
          </w:p>
        </w:tc>
        <w:tc>
          <w:tcPr>
            <w:tcW w:w="0" w:type="dxa"/>
            <w:vAlign w:val="bottom"/>
          </w:tcPr>
          <w:p>
            <w:pPr>
              <w:spacing w:after="0"/>
              <w:rPr>
                <w:sz w:val="1"/>
                <w:szCs w:val="1"/>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Matthew T. Gehl</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00" w:type="dxa"/>
            <w:vAlign w:val="bottom"/>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rPr>
              <w:t>Covington &amp; Burling LLP</w:t>
            </w:r>
          </w:p>
        </w:tc>
        <w:tc>
          <w:tcPr>
            <w:tcW w:w="0" w:type="dxa"/>
            <w:vAlign w:val="bottom"/>
          </w:tcPr>
          <w:p>
            <w:pPr>
              <w:spacing w:after="0"/>
              <w:rPr>
                <w:sz w:val="1"/>
                <w:szCs w:val="1"/>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Covington &amp; Burling LLP</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00" w:type="dxa"/>
            <w:vAlign w:val="bottom"/>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9"/>
              </w:rPr>
              <w:t>Marienturm</w:t>
            </w:r>
          </w:p>
        </w:tc>
        <w:tc>
          <w:tcPr>
            <w:tcW w:w="0" w:type="dxa"/>
            <w:vAlign w:val="bottom"/>
          </w:tcPr>
          <w:p>
            <w:pPr>
              <w:spacing w:after="0"/>
              <w:rPr>
                <w:sz w:val="1"/>
                <w:szCs w:val="1"/>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 Bishopsgate</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00" w:type="dxa"/>
            <w:vAlign w:val="bottom"/>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8"/>
              </w:rPr>
              <w:t>Taunusanlage 9-10</w:t>
            </w:r>
          </w:p>
        </w:tc>
        <w:tc>
          <w:tcPr>
            <w:tcW w:w="0" w:type="dxa"/>
            <w:vAlign w:val="bottom"/>
          </w:tcPr>
          <w:p>
            <w:pPr>
              <w:spacing w:after="0"/>
              <w:rPr>
                <w:sz w:val="1"/>
                <w:szCs w:val="1"/>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London EC2N 4BQ</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00" w:type="dxa"/>
            <w:vAlign w:val="bottom"/>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9"/>
              </w:rPr>
              <w:t>60329 Frankfurt am Main</w:t>
            </w:r>
          </w:p>
        </w:tc>
        <w:tc>
          <w:tcPr>
            <w:tcW w:w="0" w:type="dxa"/>
            <w:vAlign w:val="bottom"/>
          </w:tcPr>
          <w:p>
            <w:pPr>
              <w:spacing w:after="0"/>
              <w:rPr>
                <w:sz w:val="1"/>
                <w:szCs w:val="1"/>
                <w:color w:val="auto"/>
              </w:rPr>
            </w:pPr>
          </w:p>
        </w:tc>
      </w:tr>
      <w:tr>
        <w:trPr>
          <w:trHeight w:val="216"/>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700" w:type="dxa"/>
            <w:vAlign w:val="bottom"/>
          </w:tcPr>
          <w:p>
            <w:pPr>
              <w:jc w:val="center"/>
              <w:ind w:left="575"/>
              <w:spacing w:after="0"/>
              <w:rPr>
                <w:sz w:val="20"/>
                <w:szCs w:val="20"/>
                <w:color w:val="auto"/>
              </w:rPr>
            </w:pPr>
            <w:r>
              <w:rPr>
                <w:rFonts w:ascii="Times New Roman" w:cs="Times New Roman" w:eastAsia="Times New Roman" w:hAnsi="Times New Roman"/>
                <w:sz w:val="18"/>
                <w:szCs w:val="18"/>
                <w:b w:val="1"/>
                <w:bCs w:val="1"/>
                <w:color w:val="auto"/>
                <w:w w:val="98"/>
              </w:rPr>
              <w:t>Germany</w:t>
            </w:r>
          </w:p>
        </w:tc>
        <w:tc>
          <w:tcPr>
            <w:tcW w:w="0" w:type="dxa"/>
            <w:vAlign w:val="bottom"/>
          </w:tcPr>
          <w:p>
            <w:pPr>
              <w:spacing w:after="0"/>
              <w:rPr>
                <w:sz w:val="1"/>
                <w:szCs w:val="1"/>
                <w:color w:val="auto"/>
              </w:rPr>
            </w:pPr>
          </w:p>
        </w:tc>
      </w:tr>
      <w:tr>
        <w:trPr>
          <w:trHeight w:val="238"/>
        </w:trPr>
        <w:tc>
          <w:tcPr>
            <w:tcW w:w="2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+44 20 7067 2000</w:t>
            </w:r>
          </w:p>
        </w:tc>
        <w:tc>
          <w:tcPr>
            <w:tcW w:w="5320" w:type="dxa"/>
            <w:vAlign w:val="bottom"/>
            <w:gridSpan w:val="3"/>
          </w:tcPr>
          <w:p>
            <w:pPr>
              <w:jc w:val="right"/>
              <w:ind w:right="315"/>
              <w:spacing w:after="0"/>
              <w:rPr>
                <w:sz w:val="20"/>
                <w:szCs w:val="20"/>
                <w:color w:val="auto"/>
              </w:rPr>
            </w:pPr>
            <w:r>
              <w:rPr>
                <w:rFonts w:ascii="Times New Roman" w:cs="Times New Roman" w:eastAsia="Times New Roman" w:hAnsi="Times New Roman"/>
                <w:sz w:val="18"/>
                <w:szCs w:val="18"/>
                <w:b w:val="1"/>
                <w:bCs w:val="1"/>
                <w:color w:val="auto"/>
              </w:rPr>
              <w:t>+49 69 768063 0</w:t>
            </w:r>
          </w:p>
        </w:tc>
        <w:tc>
          <w:tcPr>
            <w:tcW w:w="0" w:type="dxa"/>
            <w:vAlign w:val="bottom"/>
          </w:tcPr>
          <w:p>
            <w:pPr>
              <w:spacing w:after="0"/>
              <w:rPr>
                <w:sz w:val="1"/>
                <w:szCs w:val="1"/>
                <w:color w:val="auto"/>
              </w:rPr>
            </w:pPr>
          </w:p>
        </w:tc>
      </w:tr>
    </w:tbl>
    <w:p>
      <w:pPr>
        <w:spacing w:after="0" w:line="211" w:lineRule="exact"/>
        <w:rPr>
          <w:sz w:val="24"/>
          <w:szCs w:val="24"/>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142240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185420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25" w:right="499" w:bottom="887"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This Registration Statement on Form S-8, or the Registration Statement, is filed by BioNTech SE, or the Registrant, for the purpose of registering additional ordinary shares, no par value per share, of the Registrant, or the Ordinary Shares, to be issued under the Registrant’s 2020 Employee Equity Plan and 2020 Restricted Stock Unit Plan for North America Employees, and for registering Ordinary Shares to be issued under the Registrant’s 2021 Employee Stock Ownership Plan.</w:t>
      </w:r>
    </w:p>
    <w:p>
      <w:pPr>
        <w:spacing w:after="0" w:line="180"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In addition to the shares being registered hereby, pursuant to the Registrant’s Registration Statement on Form S-8 (File No. 333-253263), filed with the Securities and Exchange Commission, or the SEC, on February 18, 2021, or the 2021 Registration Statement, 2,000,000 Ordinary Shares were registered under the 2020 Employee Equity Plan, 230,000 Ordinary Shares were registered under the 2020 Restricted Stock Unit Plan for North America Employees, 16,001,019 Ordinary Shares were registered under the 2017 Employee Stock Ownership Plan, and 472,370 Ordinary Shares were registered under the 2020 Management Board ESOP.</w:t>
      </w:r>
    </w:p>
    <w:p>
      <w:pPr>
        <w:spacing w:after="0" w:line="183" w:lineRule="exact"/>
        <w:rPr>
          <w:sz w:val="20"/>
          <w:szCs w:val="20"/>
          <w:color w:val="auto"/>
        </w:rPr>
      </w:pPr>
    </w:p>
    <w:p>
      <w:pPr>
        <w:ind w:left="4" w:right="160"/>
        <w:spacing w:after="0" w:line="261" w:lineRule="auto"/>
        <w:rPr>
          <w:sz w:val="20"/>
          <w:szCs w:val="20"/>
          <w:color w:val="auto"/>
        </w:rPr>
      </w:pPr>
      <w:r>
        <w:rPr>
          <w:rFonts w:ascii="Times New Roman" w:cs="Times New Roman" w:eastAsia="Times New Roman" w:hAnsi="Times New Roman"/>
          <w:sz w:val="18"/>
          <w:szCs w:val="18"/>
          <w:color w:val="auto"/>
        </w:rPr>
        <w:t>A post-effective amendment to the 2021 Registration Statement was previously filed by the Registrant to indicate that the 2021 Registration Statement will also cover the issuance of 211,898 Ordinary Shares under the 2017 Employee Stock Ownership Plan and the issuance of 260,472 Ordinary Shares under the 2020 Restricted Stock Unit Plan for North America Employees, representing an aggregate of 472,370 Ordinary Shares that are no longer otherwise issuable pursuant to the 2020 Management Board ESOP.</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information specified in Item 1 and Item 2 of Part I of Form S-8 is omitted from this Registration Statement in accordance with the provisions of Rule 428 under the Securities Act of 1933, as amended, or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w:t>
      </w:r>
    </w:p>
    <w:p>
      <w:pPr>
        <w:spacing w:after="0" w:line="117" w:lineRule="exact"/>
        <w:rPr>
          <w:sz w:val="20"/>
          <w:szCs w:val="20"/>
          <w:color w:val="auto"/>
        </w:rPr>
      </w:pPr>
    </w:p>
    <w:p>
      <w:pPr>
        <w:ind w:left="4" w:right="680" w:hanging="4"/>
        <w:spacing w:after="0" w:line="28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6">
        <w:r>
          <w:rPr>
            <w:rFonts w:ascii="Times New Roman" w:cs="Times New Roman" w:eastAsia="Times New Roman" w:hAnsi="Times New Roman"/>
            <w:sz w:val="18"/>
            <w:szCs w:val="18"/>
            <w:u w:val="single" w:color="auto"/>
            <w:color w:val="0000EE"/>
          </w:rPr>
          <w:t>Form 20-F</w:t>
        </w:r>
      </w:hyperlink>
      <w:r>
        <w:rPr>
          <w:rFonts w:ascii="Times New Roman" w:cs="Times New Roman" w:eastAsia="Times New Roman" w:hAnsi="Times New Roman"/>
          <w:sz w:val="18"/>
          <w:szCs w:val="18"/>
          <w:color w:val="auto"/>
        </w:rPr>
        <w:t>, filed with the SEC on March 30, 2022, as amended on October 26, 2022, which contains the Registrant’s audited financial statements for the latest fiscal year for which such statements have been filed;</w:t>
      </w:r>
    </w:p>
    <w:p>
      <w:pPr>
        <w:spacing w:after="0" w:line="161" w:lineRule="exact"/>
        <w:rPr>
          <w:rFonts w:ascii="Times New Roman" w:cs="Times New Roman" w:eastAsia="Times New Roman" w:hAnsi="Times New Roman"/>
          <w:sz w:val="18"/>
          <w:szCs w:val="18"/>
          <w:color w:val="auto"/>
        </w:rPr>
      </w:pPr>
    </w:p>
    <w:p>
      <w:pPr>
        <w:ind w:left="4" w:right="100" w:hanging="4"/>
        <w:spacing w:after="0" w:line="282" w:lineRule="auto"/>
        <w:tabs>
          <w:tab w:leader="none" w:pos="25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with the SEC by the Registrant pursuant to Section 13(a) or 15(d) of the Securities Exchange Act of 1934, as amended, or the Exchange Act, since December 31, 2021; and</w:t>
      </w:r>
    </w:p>
    <w:p>
      <w:pPr>
        <w:spacing w:after="0" w:line="161" w:lineRule="exact"/>
        <w:rPr>
          <w:rFonts w:ascii="Times New Roman" w:cs="Times New Roman" w:eastAsia="Times New Roman" w:hAnsi="Times New Roman"/>
          <w:sz w:val="18"/>
          <w:szCs w:val="18"/>
          <w:color w:val="auto"/>
        </w:rPr>
      </w:pPr>
    </w:p>
    <w:p>
      <w:pPr>
        <w:ind w:left="4" w:hanging="4"/>
        <w:spacing w:after="0" w:line="312" w:lineRule="auto"/>
        <w:tabs>
          <w:tab w:leader="none" w:pos="259"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description of the Ordinary Shares contained in the Registrant’s Registration Statement on </w:t>
      </w:r>
      <w:hyperlink r:id="rId17">
        <w:r>
          <w:rPr>
            <w:rFonts w:ascii="Times New Roman" w:cs="Times New Roman" w:eastAsia="Times New Roman" w:hAnsi="Times New Roman"/>
            <w:sz w:val="17"/>
            <w:szCs w:val="17"/>
            <w:u w:val="single" w:color="auto"/>
            <w:color w:val="0000EE"/>
          </w:rPr>
          <w:t>Form 8-A</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(File No. 001-39081) filed with the SEC on October 7, 2019, pursuant to Section 12(b) of the Exchange Act, including any amendment or report filed for the purpose of updating such description.</w:t>
      </w:r>
    </w:p>
    <w:p>
      <w:pPr>
        <w:sectPr>
          <w:pgSz w:w="11900" w:h="16838" w:orient="portrait"/>
          <w:cols w:equalWidth="0" w:num="1">
            <w:col w:w="11004"/>
          </w:cols>
          <w:pgMar w:left="436" w:top="266" w:right="459" w:bottom="1440" w:gutter="0" w:footer="0" w:header="0"/>
        </w:sectPr>
      </w:pPr>
    </w:p>
    <w:bookmarkStart w:id="2" w:name="page3"/>
    <w:bookmarkEnd w:id="2"/>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a German European public company with limited liability, the Registrant is—insofar as applicable pursuant to the SE Regulation and the German law on the implementation of the SE (SEAG)—subject to the German Stock Corporation Act (Aktiengesetz), as amended. Under German law, the Registrant may not indemnify members of its Management Board and Supervisory Board to the extent the relevant claim or loss has arisen as a result of the breach by the member of his or her duties owed to the Registrant. Otherwise the Registrant is required under the law to indemnify its Management Board and Supervisory Board members from and against any liabilities arising out of or in connection with their services to the Registrant.</w:t>
      </w:r>
    </w:p>
    <w:p>
      <w:pPr>
        <w:spacing w:after="0" w:line="1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Registrant provides directors’ and officers’ liability insurance for the members of its Management and Supervisory Boards against civil liabilities, which they may incur in connection with their activities on behalf of the Registrant.</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Insofar as indemnification of liabilities arising under the Securities Act may be permitted to the Registrant’s board, executive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7980" w:type="dxa"/>
            <w:vAlign w:val="bottom"/>
            <w:gridSpan w:val="8"/>
            <w:vMerge w:val="restart"/>
          </w:tcPr>
          <w:p>
            <w:pPr>
              <w:ind w:left="2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420" w:type="dxa"/>
            <w:vAlign w:val="bottom"/>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798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2"/>
                <w:szCs w:val="22"/>
                <w:color w:val="auto"/>
              </w:rPr>
            </w:pPr>
          </w:p>
        </w:tc>
        <w:tc>
          <w:tcPr>
            <w:tcW w:w="952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rPr>
            </w:pPr>
            <w:hyperlink r:id="rId19">
              <w:r>
                <w:rPr>
                  <w:rFonts w:ascii="Times New Roman" w:cs="Times New Roman" w:eastAsia="Times New Roman" w:hAnsi="Times New Roman"/>
                  <w:sz w:val="18"/>
                  <w:szCs w:val="18"/>
                  <w:color w:val="0000EE"/>
                </w:rPr>
                <w:t>Articles of Association of the Registrant (incorporated herein by reference to Exhibit 4.1 to Post-Effective Amendment No. 1 to the</w:t>
              </w:r>
            </w:hyperlink>
          </w:p>
        </w:tc>
        <w:tc>
          <w:tcPr>
            <w:tcW w:w="580" w:type="dxa"/>
            <w:vAlign w:val="bottom"/>
            <w:gridSpan w:val="4"/>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19">
              <w:r>
                <w:rPr>
                  <w:rFonts w:ascii="Times New Roman" w:cs="Times New Roman" w:eastAsia="Times New Roman" w:hAnsi="Times New Roman"/>
                  <w:sz w:val="18"/>
                  <w:szCs w:val="18"/>
                  <w:color w:val="0000EE"/>
                  <w:w w:val="99"/>
                </w:rPr>
                <w:t>Registrant’s Registration Statement on Form S-8 (File No. 333-253263), filed with the SEC on February 13, 2023)</w:t>
              </w:r>
            </w:hyperlink>
          </w:p>
        </w:tc>
        <w:tc>
          <w:tcPr>
            <w:tcW w:w="18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Deposit Agreement among the Registrant, the depositary and holders and beneficial owners of the American Depositary Shares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9"/>
          </w:tcPr>
          <w:p>
            <w:pPr>
              <w:spacing w:after="0" w:line="196" w:lineRule="exact"/>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(incorporated herein by reference to Exhibit 1 to the Registrant’s Registration Statement on Form F-6 (File No. 333-233898), filed with the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SEC on September 23, 2019)</w:t>
              </w:r>
            </w:hyperlink>
          </w:p>
        </w:tc>
        <w:tc>
          <w:tcPr>
            <w:tcW w:w="7900" w:type="dxa"/>
            <w:vAlign w:val="bottom"/>
            <w:tcBorders>
              <w:top w:val="single" w:sz="8" w:color="0000EE"/>
            </w:tcBorders>
            <w:gridSpan w:val="7"/>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00" w:type="dxa"/>
            <w:vAlign w:val="bottom"/>
            <w:gridSpan w:val="9"/>
          </w:tcPr>
          <w:p>
            <w:pPr>
              <w:spacing w:after="0"/>
              <w:rPr>
                <w:rFonts w:ascii="Times New Roman" w:cs="Times New Roman" w:eastAsia="Times New Roman" w:hAnsi="Times New Roman"/>
                <w:sz w:val="18"/>
                <w:szCs w:val="18"/>
                <w:color w:val="0000EE"/>
              </w:rPr>
            </w:pPr>
            <w:hyperlink r:id="rId20">
              <w:r>
                <w:rPr>
                  <w:rFonts w:ascii="Times New Roman" w:cs="Times New Roman" w:eastAsia="Times New Roman" w:hAnsi="Times New Roman"/>
                  <w:sz w:val="18"/>
                  <w:szCs w:val="18"/>
                  <w:color w:val="0000EE"/>
                </w:rPr>
                <w:t>Form of Specimen American Depositary Receipt (included in Exhibit 4.2)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340" w:type="dxa"/>
            <w:vAlign w:val="bottom"/>
            <w:gridSpan w:val="2"/>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966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Registrant’s Specimen Certificate for Ordinary Shares (incorporated herein by reference to Exhibit 4.2 to the Registrant’s Registration</w:t>
              </w:r>
            </w:hyperlink>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Statement on Form F-1 (File No. 333-233688), filed with the SEC on September 9, 2019)</w:t>
              </w:r>
            </w:hyperlink>
          </w:p>
        </w:tc>
        <w:tc>
          <w:tcPr>
            <w:tcW w:w="36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ind w:left="784" w:right="680" w:hanging="602"/>
        <w:spacing w:after="0" w:line="282" w:lineRule="auto"/>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4.5</w:t>
      </w:r>
      <w:r>
        <w:rPr>
          <w:sz w:val="20"/>
          <w:szCs w:val="20"/>
          <w:color w:val="auto"/>
        </w:rPr>
        <w:tab/>
      </w:r>
      <w:hyperlink r:id="rId23">
        <w:r>
          <w:rPr>
            <w:rFonts w:ascii="Times New Roman" w:cs="Times New Roman" w:eastAsia="Times New Roman" w:hAnsi="Times New Roman"/>
            <w:sz w:val="18"/>
            <w:szCs w:val="18"/>
            <w:u w:val="single" w:color="auto"/>
            <w:color w:val="0000EE"/>
          </w:rPr>
          <w:t>2020 Employee Equity Plan (incorporated herein by reference to Exhibit 4.5 to Post-Effective Amendment No. 1 to the Registrant’s</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Registration Statement on Form S-8 (File No. 333-253263), filed with the SEC on February 13, 2023)</w:t>
        </w:r>
      </w:hyperlink>
    </w:p>
    <w:p>
      <w:pPr>
        <w:spacing w:after="0" w:line="54" w:lineRule="exact"/>
        <w:rPr>
          <w:sz w:val="20"/>
          <w:szCs w:val="20"/>
          <w:color w:val="auto"/>
        </w:rPr>
      </w:pPr>
    </w:p>
    <w:p>
      <w:pPr>
        <w:ind w:left="784" w:hanging="602"/>
        <w:spacing w:after="0" w:line="282" w:lineRule="auto"/>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4.6</w:t>
      </w:r>
      <w:r>
        <w:rPr>
          <w:sz w:val="20"/>
          <w:szCs w:val="20"/>
          <w:color w:val="auto"/>
        </w:rPr>
        <w:tab/>
      </w:r>
      <w:hyperlink r:id="rId24">
        <w:r>
          <w:rPr>
            <w:rFonts w:ascii="Times New Roman" w:cs="Times New Roman" w:eastAsia="Times New Roman" w:hAnsi="Times New Roman"/>
            <w:sz w:val="18"/>
            <w:szCs w:val="18"/>
            <w:u w:val="single" w:color="auto"/>
            <w:color w:val="0000EE"/>
          </w:rPr>
          <w:t>2020 Restricted Stock Unit Plan for North America Employees (incorporated herein by reference to Exhibit 4.6 to Post-Effective Amendment</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No. 1 to the Registrant’s Registration Statement on Form S-8 (File No. 333-253263), filed with the SEC on February 13, 2023)</w:t>
        </w:r>
      </w:hyperlink>
    </w:p>
    <w:p>
      <w:pPr>
        <w:spacing w:after="0" w:line="54" w:lineRule="exact"/>
        <w:rPr>
          <w:sz w:val="20"/>
          <w:szCs w:val="20"/>
          <w:color w:val="auto"/>
        </w:rPr>
      </w:pPr>
    </w:p>
    <w:p>
      <w:pPr>
        <w:ind w:left="184"/>
        <w:spacing w:after="0"/>
        <w:tabs>
          <w:tab w:leader="none" w:pos="764"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0000EE"/>
        </w:rPr>
        <w:t>Opinion of Covington &amp; Burling LLP</w:t>
      </w:r>
    </w:p>
    <w:p>
      <w:pPr>
        <w:spacing w:after="0" w:line="117" w:lineRule="exact"/>
        <w:rPr>
          <w:sz w:val="20"/>
          <w:szCs w:val="20"/>
          <w:color w:val="auto"/>
        </w:rPr>
      </w:pPr>
    </w:p>
    <w:p>
      <w:pPr>
        <w:ind w:left="84"/>
        <w:spacing w:after="0"/>
        <w:tabs>
          <w:tab w:leader="none" w:pos="7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Covington &amp; Burling LLP (contained in Exhibit 5.1)</w:t>
      </w:r>
    </w:p>
    <w:p>
      <w:pPr>
        <w:spacing w:after="0" w:line="117" w:lineRule="exact"/>
        <w:rPr>
          <w:sz w:val="20"/>
          <w:szCs w:val="20"/>
          <w:color w:val="auto"/>
        </w:rPr>
      </w:pPr>
    </w:p>
    <w:p>
      <w:pPr>
        <w:ind w:left="84"/>
        <w:spacing w:after="0"/>
        <w:tabs>
          <w:tab w:leader="none" w:pos="764"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u w:val="single" w:color="auto"/>
          <w:color w:val="0000EE"/>
        </w:rPr>
        <w:t>Consent of Ernst &amp; Young GmbH Wirtschaftsprüfungsgesellschaft, Independent Registered Public Accounting Firm</w:t>
      </w:r>
    </w:p>
    <w:p>
      <w:pPr>
        <w:spacing w:after="0" w:line="117" w:lineRule="exact"/>
        <w:rPr>
          <w:sz w:val="20"/>
          <w:szCs w:val="20"/>
          <w:color w:val="auto"/>
        </w:rPr>
      </w:pPr>
    </w:p>
    <w:p>
      <w:pPr>
        <w:ind w:left="84"/>
        <w:spacing w:after="0"/>
        <w:tabs>
          <w:tab w:leader="none" w:pos="764"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u w:val="single" w:color="auto"/>
          <w:color w:val="0000EE"/>
        </w:rPr>
        <w:t>Power of Attorney (included on signature page)</w:t>
      </w:r>
    </w:p>
    <w:p>
      <w:pPr>
        <w:spacing w:after="0" w:line="117" w:lineRule="exact"/>
        <w:rPr>
          <w:sz w:val="20"/>
          <w:szCs w:val="20"/>
          <w:color w:val="auto"/>
        </w:rPr>
      </w:pPr>
    </w:p>
    <w:p>
      <w:pPr>
        <w:ind w:left="784" w:hanging="784"/>
        <w:spacing w:after="0"/>
        <w:tabs>
          <w:tab w:leader="none" w:pos="78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30" w:lineRule="exact"/>
        <w:rPr>
          <w:rFonts w:ascii="Times New Roman" w:cs="Times New Roman" w:eastAsia="Times New Roman" w:hAnsi="Times New Roman"/>
          <w:sz w:val="18"/>
          <w:szCs w:val="18"/>
          <w:color w:val="auto"/>
        </w:rPr>
      </w:pPr>
    </w:p>
    <w:p>
      <w:pPr>
        <w:ind w:left="1424" w:right="80" w:hanging="439"/>
        <w:spacing w:after="0" w:line="255"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94" w:lineRule="exact"/>
        <w:rPr>
          <w:rFonts w:ascii="Times New Roman" w:cs="Times New Roman" w:eastAsia="Times New Roman" w:hAnsi="Times New Roman"/>
          <w:sz w:val="18"/>
          <w:szCs w:val="18"/>
          <w:color w:val="auto"/>
        </w:rPr>
      </w:pPr>
    </w:p>
    <w:p>
      <w:pPr>
        <w:ind w:left="1424" w:right="60" w:hanging="439"/>
        <w:spacing w:after="0" w:line="282" w:lineRule="auto"/>
        <w:tabs>
          <w:tab w:leader="none" w:pos="142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SEC by the Registrant pursuant to Section 13 or Section 15(d) of the Exchange Act that are incorporated by reference in this Registration Statement.</w:t>
      </w:r>
    </w:p>
    <w:p>
      <w:pPr>
        <w:spacing w:after="0" w:line="81" w:lineRule="exact"/>
        <w:rPr>
          <w:sz w:val="20"/>
          <w:szCs w:val="20"/>
          <w:color w:val="auto"/>
        </w:rPr>
      </w:pPr>
    </w:p>
    <w:p>
      <w:pPr>
        <w:ind w:left="964" w:hanging="532"/>
        <w:spacing w:after="0" w:line="266"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004"/>
          </w:cols>
          <w:pgMar w:left="436" w:top="270" w:right="459" w:bottom="1440" w:gutter="0" w:footer="0" w:header="0"/>
        </w:sectPr>
      </w:pPr>
    </w:p>
    <w:bookmarkStart w:id="4" w:name="page5"/>
    <w:bookmarkEnd w:id="4"/>
    <w:p>
      <w:pPr>
        <w:ind w:left="424"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Mainz, Germany, on February 13, 2023.</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P</w:t>
      </w:r>
      <w:r>
        <w:rPr>
          <w:rFonts w:ascii="Times New Roman" w:cs="Times New Roman" w:eastAsia="Times New Roman" w:hAnsi="Times New Roman"/>
          <w:sz w:val="14"/>
          <w:szCs w:val="14"/>
          <w:color w:val="auto"/>
        </w:rPr>
        <w:t>ROF</w:t>
      </w:r>
      <w:r>
        <w:rPr>
          <w:rFonts w:ascii="Times New Roman" w:cs="Times New Roman" w:eastAsia="Times New Roman" w:hAnsi="Times New Roman"/>
          <w:sz w:val="18"/>
          <w:szCs w:val="18"/>
          <w:color w:val="auto"/>
        </w:rPr>
        <w:t>. U</w:t>
      </w:r>
      <w:r>
        <w:rPr>
          <w:rFonts w:ascii="Times New Roman" w:cs="Times New Roman" w:eastAsia="Times New Roman" w:hAnsi="Times New Roman"/>
          <w:sz w:val="14"/>
          <w:szCs w:val="14"/>
          <w:color w:val="auto"/>
        </w:rPr>
        <w:t>GUR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AHIN</w:t>
      </w:r>
      <w:r>
        <w:rPr>
          <w:rFonts w:ascii="Times New Roman" w:cs="Times New Roman" w:eastAsia="Times New Roman" w:hAnsi="Times New Roman"/>
          <w:sz w:val="18"/>
          <w:szCs w:val="18"/>
          <w:color w:val="auto"/>
        </w:rPr>
        <w:t>,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Prof. Ugur Sahin, M.D.</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Prof. Ugur Sahin, M.D., Özlem Türeci, Sean Marett, Sierk Poetting, Ryan Richardson and Jens Holstein and each of them, individually, as his or her true and lawful attorneys-in-fact and agents, with full power of substitution and resubstitution, for him or her and in his or her name, place and stead in any and all capacities, in connection with this registration statement, including to sign in the name and on behalf of the undersigned, this registration statement and any and all amendments hereto, including post-effective amendments and registration statements filed pursuant to Rule 462 under the Securities Act of 1933, as amended, and to file the same, with all exhibits thereto, and other documents in connection therewith, with the U.S. Securities and Exchange Commission, granting unto such attorneys-in-fact and agents, and each of them, full power and authority to do and perform each and every act and thing requisite and necessary to be done in connection therewith, as fully for all intents and purposes as he or she might or could do in person, hereby ratifying and confirming all that said attorneys-in-fact and agents, or his or her substitute, may lawfully do or cause to be done by virtue hereof.</w:t>
      </w:r>
    </w:p>
    <w:p>
      <w:pPr>
        <w:spacing w:after="0" w:line="188"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on February 13, 2023 in the capacities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100" w:type="dxa"/>
            <w:vAlign w:val="bottom"/>
          </w:tcPr>
          <w:p>
            <w:pPr>
              <w:spacing w:after="0"/>
              <w:rPr>
                <w:sz w:val="16"/>
                <w:szCs w:val="16"/>
                <w:color w:val="auto"/>
              </w:rPr>
            </w:pPr>
          </w:p>
        </w:tc>
        <w:tc>
          <w:tcPr>
            <w:tcW w:w="6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412"/>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ROF</w:t>
            </w:r>
            <w:r>
              <w:rPr>
                <w:rFonts w:ascii="Times New Roman" w:cs="Times New Roman" w:eastAsia="Times New Roman" w:hAnsi="Times New Roman"/>
                <w:sz w:val="18"/>
                <w:szCs w:val="18"/>
                <w:color w:val="auto"/>
              </w:rPr>
              <w:t>. U</w:t>
            </w:r>
            <w:r>
              <w:rPr>
                <w:rFonts w:ascii="Times New Roman" w:cs="Times New Roman" w:eastAsia="Times New Roman" w:hAnsi="Times New Roman"/>
                <w:sz w:val="14"/>
                <w:szCs w:val="14"/>
                <w:color w:val="auto"/>
              </w:rPr>
              <w:t>GUR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AHIN</w:t>
            </w:r>
            <w:r>
              <w:rPr>
                <w:rFonts w:ascii="Times New Roman" w:cs="Times New Roman" w:eastAsia="Times New Roman" w:hAnsi="Times New Roman"/>
                <w:sz w:val="18"/>
                <w:szCs w:val="18"/>
                <w:color w:val="auto"/>
              </w:rPr>
              <w:t>, M.D.</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Prof. Ugur Sahin, M.D.</w:t>
            </w:r>
          </w:p>
        </w:tc>
        <w:tc>
          <w:tcPr>
            <w:tcW w:w="10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J</w:t>
            </w:r>
            <w:r>
              <w:rPr>
                <w:rFonts w:ascii="Times New Roman" w:cs="Times New Roman" w:eastAsia="Times New Roman" w:hAnsi="Times New Roman"/>
                <w:sz w:val="14"/>
                <w:szCs w:val="14"/>
                <w:color w:val="auto"/>
              </w:rPr>
              <w:t>ENS</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OLSTEIN</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Jens Holstein</w:t>
            </w:r>
          </w:p>
        </w:tc>
        <w:tc>
          <w:tcPr>
            <w:tcW w:w="100" w:type="dxa"/>
            <w:vAlign w:val="bottom"/>
          </w:tcPr>
          <w:p>
            <w:pPr>
              <w:spacing w:after="0"/>
              <w:rPr>
                <w:sz w:val="19"/>
                <w:szCs w:val="19"/>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H</w:t>
            </w:r>
            <w:r>
              <w:rPr>
                <w:rFonts w:ascii="Times New Roman" w:cs="Times New Roman" w:eastAsia="Times New Roman" w:hAnsi="Times New Roman"/>
                <w:sz w:val="14"/>
                <w:szCs w:val="14"/>
                <w:color w:val="auto"/>
              </w:rPr>
              <w:t>ELMUT</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4"/>
                <w:szCs w:val="14"/>
                <w:color w:val="auto"/>
              </w:rPr>
              <w:t>EGGLE</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Chair of the Supervisory Board</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Helmut Jeggle</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P</w:t>
            </w:r>
            <w:r>
              <w:rPr>
                <w:rFonts w:ascii="Times New Roman" w:cs="Times New Roman" w:eastAsia="Times New Roman" w:hAnsi="Times New Roman"/>
                <w:sz w:val="14"/>
                <w:szCs w:val="14"/>
                <w:color w:val="auto"/>
              </w:rPr>
              <w:t>ROF</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HRISTOPH</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4"/>
                <w:szCs w:val="14"/>
                <w:color w:val="auto"/>
              </w:rPr>
              <w:t>UBER</w:t>
            </w:r>
            <w:r>
              <w:rPr>
                <w:rFonts w:ascii="Times New Roman" w:cs="Times New Roman" w:eastAsia="Times New Roman" w:hAnsi="Times New Roman"/>
                <w:sz w:val="18"/>
                <w:szCs w:val="18"/>
                <w:color w:val="auto"/>
              </w:rPr>
              <w:t>, M.D.</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Prof. Christoph Huber, M.D.</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ICHAEL</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4"/>
                <w:szCs w:val="14"/>
                <w:color w:val="auto"/>
              </w:rPr>
              <w:t>OTSCHMANN</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Motschmann</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r>
        <w:trPr>
          <w:trHeight w:val="427"/>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D</w:t>
            </w:r>
            <w:r>
              <w:rPr>
                <w:rFonts w:ascii="Times New Roman" w:cs="Times New Roman" w:eastAsia="Times New Roman" w:hAnsi="Times New Roman"/>
                <w:sz w:val="14"/>
                <w:szCs w:val="14"/>
                <w:color w:val="auto"/>
              </w:rPr>
              <w:t>R</w:t>
            </w:r>
            <w:r>
              <w:rPr>
                <w:rFonts w:ascii="Times New Roman" w:cs="Times New Roman" w:eastAsia="Times New Roman" w:hAnsi="Times New Roman"/>
                <w:sz w:val="18"/>
                <w:szCs w:val="18"/>
                <w:color w:val="auto"/>
              </w:rPr>
              <w:t>. U</w:t>
            </w:r>
            <w:r>
              <w:rPr>
                <w:rFonts w:ascii="Times New Roman" w:cs="Times New Roman" w:eastAsia="Times New Roman" w:hAnsi="Times New Roman"/>
                <w:sz w:val="14"/>
                <w:szCs w:val="14"/>
                <w:color w:val="auto"/>
              </w:rPr>
              <w:t>LRICH</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ANDSCHNEIDER</w:t>
            </w:r>
          </w:p>
        </w:tc>
        <w:tc>
          <w:tcPr>
            <w:tcW w:w="100" w:type="dxa"/>
            <w:vAlign w:val="bottom"/>
          </w:tcPr>
          <w:p>
            <w:pPr>
              <w:spacing w:after="0"/>
              <w:rPr>
                <w:sz w:val="24"/>
                <w:szCs w:val="24"/>
                <w:color w:val="auto"/>
              </w:rPr>
            </w:pPr>
          </w:p>
        </w:tc>
        <w:tc>
          <w:tcPr>
            <w:tcW w:w="6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28"/>
        </w:trPr>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Dr. Ulrich Wandschneider</w:t>
            </w:r>
          </w:p>
        </w:tc>
        <w:tc>
          <w:tcPr>
            <w:tcW w:w="100" w:type="dxa"/>
            <w:vAlign w:val="bottom"/>
          </w:tcPr>
          <w:p>
            <w:pPr>
              <w:spacing w:after="0"/>
              <w:rPr>
                <w:sz w:val="19"/>
                <w:szCs w:val="19"/>
                <w:color w:val="auto"/>
              </w:rPr>
            </w:pPr>
          </w:p>
        </w:tc>
        <w:tc>
          <w:tcPr>
            <w:tcW w:w="6660" w:type="dxa"/>
            <w:vAlign w:val="bottom"/>
          </w:tcPr>
          <w:p>
            <w:pPr>
              <w:spacing w:after="0"/>
              <w:rPr>
                <w:sz w:val="19"/>
                <w:szCs w:val="19"/>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 OF AUTHORIZED U.S. REPRESENTATIVE OF REGISTRANT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undersigned, the duly authorized representative in the United States of BioNTech SE has signed this Registration Statement on February 13, 2023.</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BIONTECH US INC.</w:t>
      </w:r>
    </w:p>
    <w:p>
      <w:pPr>
        <w:spacing w:after="0" w:line="3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B</w:t>
      </w:r>
      <w:r>
        <w:rPr>
          <w:rFonts w:ascii="Times New Roman" w:cs="Times New Roman" w:eastAsia="Times New Roman" w:hAnsi="Times New Roman"/>
          <w:sz w:val="14"/>
          <w:szCs w:val="14"/>
          <w:color w:val="auto"/>
        </w:rPr>
        <w:t>RIAN</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ICKHAM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635</wp:posOffset>
            </wp:positionV>
            <wp:extent cx="27946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8"/>
          <w:szCs w:val="18"/>
          <w:color w:val="auto"/>
        </w:rPr>
        <w:t>Name: Brian Kickham</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Secretary</w:t>
      </w:r>
    </w:p>
    <w:p>
      <w:pPr>
        <w:sectPr>
          <w:pgSz w:w="11900" w:h="16838" w:orient="portrait"/>
          <w:cols w:equalWidth="0" w:num="1">
            <w:col w:w="10840"/>
          </w:cols>
          <w:pgMar w:left="440" w:top="266" w:right="6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2554605" cy="677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2554605" cy="677545"/>
                    </a:xfrm>
                    <a:prstGeom prst="rect">
                      <a:avLst/>
                    </a:prstGeom>
                    <a:noFill/>
                  </pic:spPr>
                </pic:pic>
              </a:graphicData>
            </a:graphic>
          </wp:anchor>
        </w:drawing>
        <w:drawing>
          <wp:anchor simplePos="0" relativeHeight="251657728" behindDoc="1" locked="0" layoutInCell="0" allowOverlap="1">
            <wp:simplePos x="0" y="0"/>
            <wp:positionH relativeFrom="column">
              <wp:posOffset>5700395</wp:posOffset>
            </wp:positionH>
            <wp:positionV relativeFrom="paragraph">
              <wp:posOffset>173990</wp:posOffset>
            </wp:positionV>
            <wp:extent cx="1294765" cy="788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29476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 der Goldgrube 12</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55131 Mainz</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Germany</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13 February 2023</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 w:right="20"/>
        <w:spacing w:after="0" w:line="269" w:lineRule="auto"/>
        <w:rPr>
          <w:sz w:val="20"/>
          <w:szCs w:val="20"/>
          <w:color w:val="auto"/>
        </w:rPr>
      </w:pPr>
      <w:r>
        <w:rPr>
          <w:rFonts w:ascii="Times New Roman" w:cs="Times New Roman" w:eastAsia="Times New Roman" w:hAnsi="Times New Roman"/>
          <w:sz w:val="17"/>
          <w:szCs w:val="17"/>
          <w:color w:val="auto"/>
        </w:rPr>
        <w:t>We are acting as legal advisers to BioNTech SE, a European stock corporation (SE)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as to matters of German law in connection with the possible future issuances from time to time pursuant to a registration statement on Form S-8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filed with the Securities and Exchange Commission under the Securities Act of 1933, as amended, of up to 9,557,619 ordinary shares of the Company with an imputed nominal value (</w:t>
      </w:r>
      <w:r>
        <w:rPr>
          <w:rFonts w:ascii="Times New Roman" w:cs="Times New Roman" w:eastAsia="Times New Roman" w:hAnsi="Times New Roman"/>
          <w:sz w:val="17"/>
          <w:szCs w:val="17"/>
          <w:i w:val="1"/>
          <w:iCs w:val="1"/>
          <w:color w:val="auto"/>
        </w:rPr>
        <w:t>Stückaktien ohne Nennbetrag</w:t>
      </w:r>
      <w:r>
        <w:rPr>
          <w:rFonts w:ascii="Times New Roman" w:cs="Times New Roman" w:eastAsia="Times New Roman" w:hAnsi="Times New Roman"/>
          <w:sz w:val="17"/>
          <w:szCs w:val="17"/>
          <w:color w:val="auto"/>
        </w:rPr>
        <w:t>) of EUR 1.00 each (any such ordinary share of the Company a “</w:t>
      </w:r>
      <w:r>
        <w:rPr>
          <w:rFonts w:ascii="Times New Roman" w:cs="Times New Roman" w:eastAsia="Times New Roman" w:hAnsi="Times New Roman"/>
          <w:sz w:val="17"/>
          <w:szCs w:val="17"/>
          <w:b w:val="1"/>
          <w:bCs w:val="1"/>
          <w:color w:val="auto"/>
        </w:rPr>
        <w:t>Share</w:t>
      </w:r>
      <w:r>
        <w:rPr>
          <w:rFonts w:ascii="Times New Roman" w:cs="Times New Roman" w:eastAsia="Times New Roman" w:hAnsi="Times New Roman"/>
          <w:sz w:val="17"/>
          <w:szCs w:val="17"/>
          <w:color w:val="auto"/>
        </w:rPr>
        <w:t>”, any Share as of the date hereof held in treasury a “</w:t>
      </w:r>
      <w:r>
        <w:rPr>
          <w:rFonts w:ascii="Times New Roman" w:cs="Times New Roman" w:eastAsia="Times New Roman" w:hAnsi="Times New Roman"/>
          <w:sz w:val="17"/>
          <w:szCs w:val="17"/>
          <w:b w:val="1"/>
          <w:bCs w:val="1"/>
          <w:color w:val="auto"/>
        </w:rPr>
        <w:t>Treasury Share</w:t>
      </w:r>
      <w:r>
        <w:rPr>
          <w:rFonts w:ascii="Times New Roman" w:cs="Times New Roman" w:eastAsia="Times New Roman" w:hAnsi="Times New Roman"/>
          <w:sz w:val="17"/>
          <w:szCs w:val="17"/>
          <w:color w:val="auto"/>
        </w:rPr>
        <w:t>”, and any Share newly issued for purposes of making or settling grants under any Plan (as defined below) a “</w:t>
      </w:r>
      <w:r>
        <w:rPr>
          <w:rFonts w:ascii="Times New Roman" w:cs="Times New Roman" w:eastAsia="Times New Roman" w:hAnsi="Times New Roman"/>
          <w:sz w:val="17"/>
          <w:szCs w:val="17"/>
          <w:b w:val="1"/>
          <w:bCs w:val="1"/>
          <w:color w:val="auto"/>
        </w:rPr>
        <w:t>New Share</w:t>
      </w:r>
      <w:r>
        <w:rPr>
          <w:rFonts w:ascii="Times New Roman" w:cs="Times New Roman" w:eastAsia="Times New Roman" w:hAnsi="Times New Roman"/>
          <w:sz w:val="17"/>
          <w:szCs w:val="17"/>
          <w:color w:val="auto"/>
        </w:rPr>
        <w:t>”), which may be represented by American Depositary Shares (the “</w:t>
      </w:r>
      <w:r>
        <w:rPr>
          <w:rFonts w:ascii="Times New Roman" w:cs="Times New Roman" w:eastAsia="Times New Roman" w:hAnsi="Times New Roman"/>
          <w:sz w:val="17"/>
          <w:szCs w:val="17"/>
          <w:b w:val="1"/>
          <w:bCs w:val="1"/>
          <w:color w:val="auto"/>
        </w:rPr>
        <w:t>ADSs</w:t>
      </w:r>
      <w:r>
        <w:rPr>
          <w:rFonts w:ascii="Times New Roman" w:cs="Times New Roman" w:eastAsia="Times New Roman" w:hAnsi="Times New Roman"/>
          <w:sz w:val="17"/>
          <w:szCs w:val="17"/>
          <w:color w:val="auto"/>
        </w:rPr>
        <w:t>”), with each ADS representing one Share and issued by the relevant depositary against the deposit by the Company of either one Treasury Share or one New Share. Shares are or may become issuable under the following programs:</w:t>
      </w:r>
    </w:p>
    <w:p>
      <w:pPr>
        <w:spacing w:after="0" w:line="1" w:lineRule="exact"/>
        <w:rPr>
          <w:sz w:val="20"/>
          <w:szCs w:val="20"/>
          <w:color w:val="auto"/>
        </w:rPr>
      </w:pPr>
    </w:p>
    <w:p>
      <w:pPr>
        <w:ind w:left="4" w:right="380" w:hanging="4"/>
        <w:spacing w:after="0" w:line="255" w:lineRule="auto"/>
        <w:tabs>
          <w:tab w:leader="none" w:pos="2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1,000,000 Shares issuable under the Company’s 2020 Employee Equity Plan, (ii) up to 139,528 Shares issuable under the Company’s 2020 Restricted Stock Unit Plan for North America Employees, and (iii) up to 8,418,091 Shares issuable under the Company’s 2021 Employee Stock Ownership Plan (together the “</w:t>
      </w:r>
      <w:r>
        <w:rPr>
          <w:rFonts w:ascii="Times New Roman" w:cs="Times New Roman" w:eastAsia="Times New Roman" w:hAnsi="Times New Roman"/>
          <w:sz w:val="18"/>
          <w:szCs w:val="18"/>
          <w:b w:val="1"/>
          <w:bCs w:val="1"/>
          <w:color w:val="auto"/>
        </w:rPr>
        <w:t>Plans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this opinion, “</w:t>
      </w:r>
      <w:r>
        <w:rPr>
          <w:rFonts w:ascii="Times New Roman" w:cs="Times New Roman" w:eastAsia="Times New Roman" w:hAnsi="Times New Roman"/>
          <w:sz w:val="18"/>
          <w:szCs w:val="18"/>
          <w:b w:val="1"/>
          <w:bCs w:val="1"/>
          <w:color w:val="auto"/>
        </w:rPr>
        <w:t>Germany</w:t>
      </w:r>
      <w:r>
        <w:rPr>
          <w:rFonts w:ascii="Times New Roman" w:cs="Times New Roman" w:eastAsia="Times New Roman" w:hAnsi="Times New Roman"/>
          <w:sz w:val="18"/>
          <w:szCs w:val="18"/>
          <w:color w:val="auto"/>
        </w:rPr>
        <w:t>” means the Federal Republic of Germany.</w:t>
      </w:r>
    </w:p>
    <w:p>
      <w:pPr>
        <w:spacing w:after="0" w:line="131"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Reviewed</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For the purpose of rendering this legal opinion, we have examined the following documents (together, the “</w:t>
      </w:r>
      <w:r>
        <w:rPr>
          <w:rFonts w:ascii="Times New Roman" w:cs="Times New Roman" w:eastAsia="Times New Roman" w:hAnsi="Times New Roman"/>
          <w:sz w:val="18"/>
          <w:szCs w:val="18"/>
          <w:b w:val="1"/>
          <w:bCs w:val="1"/>
          <w:color w:val="auto"/>
        </w:rPr>
        <w:t>Opinion Documents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articles of association (</w:t>
      </w:r>
      <w:r>
        <w:rPr>
          <w:rFonts w:ascii="Times New Roman" w:cs="Times New Roman" w:eastAsia="Times New Roman" w:hAnsi="Times New Roman"/>
          <w:sz w:val="18"/>
          <w:szCs w:val="18"/>
          <w:i w:val="1"/>
          <w:iCs w:val="1"/>
          <w:color w:val="auto"/>
        </w:rPr>
        <w:t>Satzung</w:t>
      </w:r>
      <w:r>
        <w:rPr>
          <w:rFonts w:ascii="Times New Roman" w:cs="Times New Roman" w:eastAsia="Times New Roman" w:hAnsi="Times New Roman"/>
          <w:sz w:val="18"/>
          <w:szCs w:val="18"/>
          <w:color w:val="auto"/>
        </w:rPr>
        <w:t>), as in effect as of the date of this opinion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132" w:lineRule="exact"/>
        <w:rPr>
          <w:rFonts w:ascii="Times New Roman" w:cs="Times New Roman" w:eastAsia="Times New Roman" w:hAnsi="Times New Roman"/>
          <w:sz w:val="18"/>
          <w:szCs w:val="18"/>
          <w:color w:val="auto"/>
        </w:rPr>
      </w:pPr>
    </w:p>
    <w:p>
      <w:pPr>
        <w:ind w:left="424" w:right="500" w:hanging="424"/>
        <w:spacing w:after="0" w:line="284"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electronic excerpt (</w:t>
      </w:r>
      <w:r>
        <w:rPr>
          <w:rFonts w:ascii="Times New Roman" w:cs="Times New Roman" w:eastAsia="Times New Roman" w:hAnsi="Times New Roman"/>
          <w:sz w:val="18"/>
          <w:szCs w:val="18"/>
          <w:i w:val="1"/>
          <w:iCs w:val="1"/>
          <w:color w:val="auto"/>
        </w:rPr>
        <w:t>Handelsregisterauszug</w:t>
      </w:r>
      <w:r>
        <w:rPr>
          <w:rFonts w:ascii="Times New Roman" w:cs="Times New Roman" w:eastAsia="Times New Roman" w:hAnsi="Times New Roman"/>
          <w:sz w:val="18"/>
          <w:szCs w:val="18"/>
          <w:color w:val="auto"/>
        </w:rPr>
        <w:t>) from the commercial register relating to the Company dated 10 February 2023 (the “</w:t>
      </w:r>
      <w:r>
        <w:rPr>
          <w:rFonts w:ascii="Times New Roman" w:cs="Times New Roman" w:eastAsia="Times New Roman" w:hAnsi="Times New Roman"/>
          <w:sz w:val="18"/>
          <w:szCs w:val="18"/>
          <w:b w:val="1"/>
          <w:bCs w:val="1"/>
          <w:color w:val="auto"/>
        </w:rPr>
        <w:t>Register Excerpt</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Registration Statement;</w:t>
      </w:r>
    </w:p>
    <w:p>
      <w:pPr>
        <w:sectPr>
          <w:pgSz w:w="11900" w:h="16838" w:orient="portrait"/>
          <w:cols w:equalWidth="0" w:num="1">
            <w:col w:w="11024"/>
          </w:cols>
          <w:pgMar w:left="436" w:top="117" w:right="439" w:bottom="1440" w:gutter="0" w:footer="0" w:header="0"/>
        </w:sectPr>
      </w:pPr>
    </w:p>
    <w:bookmarkStart w:id="8" w:name="page9"/>
    <w:bookmarkEnd w:id="8"/>
    <w:p>
      <w:pPr>
        <w:ind w:left="424" w:hanging="424"/>
        <w:spacing w:after="0"/>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copies of the resolutions of the (i) the management board (</w:t>
      </w:r>
      <w:r>
        <w:rPr>
          <w:rFonts w:ascii="Times New Roman" w:cs="Times New Roman" w:eastAsia="Times New Roman" w:hAnsi="Times New Roman"/>
          <w:sz w:val="18"/>
          <w:szCs w:val="18"/>
          <w:i w:val="1"/>
          <w:iCs w:val="1"/>
          <w:color w:val="auto"/>
        </w:rPr>
        <w:t>Vorstand</w:t>
      </w:r>
      <w:r>
        <w:rPr>
          <w:rFonts w:ascii="Times New Roman" w:cs="Times New Roman" w:eastAsia="Times New Roman" w:hAnsi="Times New Roman"/>
          <w:sz w:val="18"/>
          <w:szCs w:val="18"/>
          <w:color w:val="auto"/>
        </w:rPr>
        <w:t>) of the Company dated 15 December 2020 and (ii) the supervisory board</w:t>
      </w:r>
    </w:p>
    <w:p>
      <w:pPr>
        <w:spacing w:after="0" w:line="29" w:lineRule="exact"/>
        <w:rPr>
          <w:rFonts w:ascii="Times New Roman" w:cs="Times New Roman" w:eastAsia="Times New Roman" w:hAnsi="Times New Roman"/>
          <w:sz w:val="18"/>
          <w:szCs w:val="18"/>
          <w:color w:val="auto"/>
        </w:rPr>
      </w:pPr>
    </w:p>
    <w:p>
      <w:pPr>
        <w:ind w:left="42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Aufsichtsrat</w:t>
      </w:r>
      <w:r>
        <w:rPr>
          <w:rFonts w:ascii="Times New Roman" w:cs="Times New Roman" w:eastAsia="Times New Roman" w:hAnsi="Times New Roman"/>
          <w:sz w:val="18"/>
          <w:szCs w:val="18"/>
          <w:color w:val="auto"/>
        </w:rPr>
        <w:t>) of the Company dated 15 December 2020 regarding the approval of the 2020 Employee Equity Plan and the 2020 Restricted Stock Unit Plan for North America Employees;</w:t>
      </w:r>
    </w:p>
    <w:p>
      <w:pPr>
        <w:spacing w:after="0" w:line="86"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the minutes of the general shareholders’ meeting of the Company held on 18 August 2017, 19 August 2019, 26 June 2020, and 22 June 2021, resolving upon, among others, the creation and/or amendment of the Authorized Capital 2021 (</w:t>
      </w:r>
      <w:r>
        <w:rPr>
          <w:rFonts w:ascii="Times New Roman" w:cs="Times New Roman" w:eastAsia="Times New Roman" w:hAnsi="Times New Roman"/>
          <w:sz w:val="18"/>
          <w:szCs w:val="18"/>
          <w:i w:val="1"/>
          <w:iCs w:val="1"/>
          <w:color w:val="auto"/>
        </w:rPr>
        <w:t>Genehmigtes Kapital 2021</w:t>
      </w:r>
      <w:r>
        <w:rPr>
          <w:rFonts w:ascii="Times New Roman" w:cs="Times New Roman" w:eastAsia="Times New Roman" w:hAnsi="Times New Roman"/>
          <w:sz w:val="18"/>
          <w:szCs w:val="18"/>
          <w:color w:val="auto"/>
        </w:rPr>
        <w:t>), the Conditional Capital ESOP 2017/2019 (</w:t>
      </w:r>
      <w:r>
        <w:rPr>
          <w:rFonts w:ascii="Times New Roman" w:cs="Times New Roman" w:eastAsia="Times New Roman" w:hAnsi="Times New Roman"/>
          <w:sz w:val="18"/>
          <w:szCs w:val="18"/>
          <w:i w:val="1"/>
          <w:iCs w:val="1"/>
          <w:color w:val="auto"/>
        </w:rPr>
        <w:t>Bedingtes Kapital ESOP 2017/2019</w:t>
      </w:r>
      <w:r>
        <w:rPr>
          <w:rFonts w:ascii="Times New Roman" w:cs="Times New Roman" w:eastAsia="Times New Roman" w:hAnsi="Times New Roman"/>
          <w:sz w:val="18"/>
          <w:szCs w:val="18"/>
          <w:color w:val="auto"/>
        </w:rPr>
        <w:t>), and the Conditional Capital ESOP 2021 (</w:t>
      </w:r>
      <w:r>
        <w:rPr>
          <w:rFonts w:ascii="Times New Roman" w:cs="Times New Roman" w:eastAsia="Times New Roman" w:hAnsi="Times New Roman"/>
          <w:sz w:val="18"/>
          <w:szCs w:val="18"/>
          <w:i w:val="1"/>
          <w:iCs w:val="1"/>
          <w:color w:val="auto"/>
        </w:rPr>
        <w:t>Bedingtes Kapital ESOP 2021</w:t>
      </w:r>
      <w:r>
        <w:rPr>
          <w:rFonts w:ascii="Times New Roman" w:cs="Times New Roman" w:eastAsia="Times New Roman" w:hAnsi="Times New Roman"/>
          <w:sz w:val="18"/>
          <w:szCs w:val="18"/>
          <w:color w:val="auto"/>
        </w:rPr>
        <w:t>) as well as the authorizations to grant options in connection with the ESOP 2017/2019 (</w:t>
      </w:r>
      <w:r>
        <w:rPr>
          <w:rFonts w:ascii="Times New Roman" w:cs="Times New Roman" w:eastAsia="Times New Roman" w:hAnsi="Times New Roman"/>
          <w:sz w:val="18"/>
          <w:szCs w:val="18"/>
          <w:i w:val="1"/>
          <w:iCs w:val="1"/>
          <w:color w:val="auto"/>
        </w:rPr>
        <w:t>Aktienoptionsprogramm 2017/2019</w:t>
      </w:r>
      <w:r>
        <w:rPr>
          <w:rFonts w:ascii="Times New Roman" w:cs="Times New Roman" w:eastAsia="Times New Roman" w:hAnsi="Times New Roman"/>
          <w:sz w:val="18"/>
          <w:szCs w:val="18"/>
          <w:color w:val="auto"/>
        </w:rPr>
        <w:t>) and the ESOP 2021 (</w:t>
      </w:r>
      <w:r>
        <w:rPr>
          <w:rFonts w:ascii="Times New Roman" w:cs="Times New Roman" w:eastAsia="Times New Roman" w:hAnsi="Times New Roman"/>
          <w:sz w:val="18"/>
          <w:szCs w:val="18"/>
          <w:i w:val="1"/>
          <w:iCs w:val="1"/>
          <w:color w:val="auto"/>
        </w:rPr>
        <w:t>Aktienoptionsprogramm 2021</w:t>
      </w:r>
      <w:r>
        <w:rPr>
          <w:rFonts w:ascii="Times New Roman" w:cs="Times New Roman" w:eastAsia="Times New Roman" w:hAnsi="Times New Roman"/>
          <w:sz w:val="18"/>
          <w:szCs w:val="18"/>
          <w:color w:val="auto"/>
        </w:rPr>
        <w:t>) (together with the resolutions under (d) the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88" w:lineRule="exact"/>
        <w:rPr>
          <w:rFonts w:ascii="Times New Roman" w:cs="Times New Roman" w:eastAsia="Times New Roman" w:hAnsi="Times New Roman"/>
          <w:sz w:val="18"/>
          <w:szCs w:val="18"/>
          <w:color w:val="auto"/>
        </w:rPr>
      </w:pPr>
    </w:p>
    <w:p>
      <w:pPr>
        <w:ind w:left="424" w:right="58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certificates, corporate records and other documents, and such matters of law, as we have deemed necessary or appropriate for the purposes of this opinion.</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We have not reviewed any other documents for the purposes of this opinion.</w:t>
      </w:r>
    </w:p>
    <w:p>
      <w:pPr>
        <w:spacing w:after="0" w:line="127"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As to questions of fact material to this opinion that we did not independently establish or verify, we have relied on certificates or comparable documents of public officials and of officers and representatives of the Company.</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considering the Opinion Documents and rendering this opinion we have assumed without further inquiry:</w:t>
      </w:r>
    </w:p>
    <w:p>
      <w:pPr>
        <w:spacing w:after="0" w:line="131" w:lineRule="exact"/>
        <w:rPr>
          <w:sz w:val="20"/>
          <w:szCs w:val="20"/>
          <w:color w:val="auto"/>
        </w:rPr>
      </w:pPr>
    </w:p>
    <w:p>
      <w:pPr>
        <w:ind w:left="424" w:right="52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of all copies of documents supplied to us with the relevant originals and the authenticity and completeness of all documents submitted to us whether as originals or as copies;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signatures on Opinion Documents are genuine signatures of those individuals from whom they purport to stem;</w:t>
      </w:r>
    </w:p>
    <w:p>
      <w:pPr>
        <w:spacing w:after="0" w:line="130" w:lineRule="exact"/>
        <w:rPr>
          <w:rFonts w:ascii="Times New Roman" w:cs="Times New Roman" w:eastAsia="Times New Roman" w:hAnsi="Times New Roman"/>
          <w:sz w:val="18"/>
          <w:szCs w:val="18"/>
          <w:color w:val="auto"/>
        </w:rPr>
      </w:pPr>
    </w:p>
    <w:p>
      <w:pPr>
        <w:ind w:left="424" w:right="10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Opinion Documents examined by us in draft form have been or, as the case may be, will be executed in the form of the draft examined by us by the party that in the respective draft is envisaged to so execute the respective Opinion Document;</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4"/>
          </w:cols>
          <w:pgMar w:left="436" w:top="268" w:right="499" w:bottom="1440" w:gutter="0" w:footer="0" w:header="0"/>
        </w:sectPr>
      </w:pPr>
    </w:p>
    <w:bookmarkStart w:id="9" w:name="page10"/>
    <w:bookmarkEnd w:id="9"/>
    <w:p>
      <w:pPr>
        <w:ind w:left="424" w:hanging="424"/>
        <w:spacing w:after="0" w:line="266"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all individuals who have executed and delivered or will execute and deliver any of the Opinion Documents had or will have, at the relevant times, (i) full legal capacity (</w:t>
      </w:r>
      <w:r>
        <w:rPr>
          <w:rFonts w:ascii="Times New Roman" w:cs="Times New Roman" w:eastAsia="Times New Roman" w:hAnsi="Times New Roman"/>
          <w:sz w:val="18"/>
          <w:szCs w:val="18"/>
          <w:i w:val="1"/>
          <w:iCs w:val="1"/>
          <w:color w:val="auto"/>
        </w:rPr>
        <w:t>Geschäftsfähigkeit</w:t>
      </w:r>
      <w:r>
        <w:rPr>
          <w:rFonts w:ascii="Times New Roman" w:cs="Times New Roman" w:eastAsia="Times New Roman" w:hAnsi="Times New Roman"/>
          <w:sz w:val="18"/>
          <w:szCs w:val="18"/>
          <w:color w:val="auto"/>
        </w:rPr>
        <w:t>) and (ii) power to validly represent (</w:t>
      </w:r>
      <w:r>
        <w:rPr>
          <w:rFonts w:ascii="Times New Roman" w:cs="Times New Roman" w:eastAsia="Times New Roman" w:hAnsi="Times New Roman"/>
          <w:sz w:val="18"/>
          <w:szCs w:val="18"/>
          <w:i w:val="1"/>
          <w:iCs w:val="1"/>
          <w:color w:val="auto"/>
        </w:rPr>
        <w:t>Vertretungsmacht</w:t>
      </w:r>
      <w:r>
        <w:rPr>
          <w:rFonts w:ascii="Times New Roman" w:cs="Times New Roman" w:eastAsia="Times New Roman" w:hAnsi="Times New Roman"/>
          <w:sz w:val="18"/>
          <w:szCs w:val="18"/>
          <w:color w:val="auto"/>
        </w:rPr>
        <w:t>) the respective party (other than individuals executing, passing or delivering on behalf of the Company), in executing and delivering the relevant Opinion Document;</w:t>
      </w:r>
    </w:p>
    <w:p>
      <w:pPr>
        <w:spacing w:after="0" w:line="81" w:lineRule="exact"/>
        <w:rPr>
          <w:rFonts w:ascii="Times New Roman" w:cs="Times New Roman" w:eastAsia="Times New Roman" w:hAnsi="Times New Roman"/>
          <w:sz w:val="18"/>
          <w:szCs w:val="18"/>
          <w:color w:val="auto"/>
        </w:rPr>
      </w:pPr>
    </w:p>
    <w:p>
      <w:pPr>
        <w:ind w:left="424" w:right="34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none of the Opinion Documents has been or, as the case may be, will be revoked, rescinded, repealed, terminated (whether in whole or in part), amended or supplemented;</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correctness and completeness of all factual matters expressed in the Opinion Documents;</w:t>
      </w:r>
    </w:p>
    <w:p>
      <w:pPr>
        <w:spacing w:after="0" w:line="130" w:lineRule="exact"/>
        <w:rPr>
          <w:rFonts w:ascii="Times New Roman" w:cs="Times New Roman" w:eastAsia="Times New Roman" w:hAnsi="Times New Roman"/>
          <w:sz w:val="18"/>
          <w:szCs w:val="18"/>
          <w:color w:val="auto"/>
        </w:rPr>
      </w:pPr>
    </w:p>
    <w:p>
      <w:pPr>
        <w:ind w:left="424" w:right="24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Register Excerpt is accurate and complete at its date and that no changes to the facts related therein have occurred between the date the Register Excerpt was issued and the date hereof;</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Articles of Association are true and accurate as of the date of this opinion;</w:t>
      </w:r>
    </w:p>
    <w:p>
      <w:pPr>
        <w:spacing w:after="0" w:line="128" w:lineRule="exact"/>
        <w:rPr>
          <w:rFonts w:ascii="Times New Roman" w:cs="Times New Roman" w:eastAsia="Times New Roman" w:hAnsi="Times New Roman"/>
          <w:sz w:val="18"/>
          <w:szCs w:val="18"/>
          <w:color w:val="auto"/>
        </w:rPr>
      </w:pPr>
    </w:p>
    <w:p>
      <w:pPr>
        <w:ind w:left="424" w:right="140" w:hanging="424"/>
        <w:spacing w:after="0" w:line="284"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Company will at all times continue to have sufficient authorized capital (</w:t>
      </w:r>
      <w:r>
        <w:rPr>
          <w:rFonts w:ascii="Times New Roman" w:cs="Times New Roman" w:eastAsia="Times New Roman" w:hAnsi="Times New Roman"/>
          <w:sz w:val="18"/>
          <w:szCs w:val="18"/>
          <w:i w:val="1"/>
          <w:iCs w:val="1"/>
          <w:color w:val="auto"/>
        </w:rPr>
        <w:t>genehmigtes Kapital</w:t>
      </w:r>
      <w:r>
        <w:rPr>
          <w:rFonts w:ascii="Times New Roman" w:cs="Times New Roman" w:eastAsia="Times New Roman" w:hAnsi="Times New Roman"/>
          <w:sz w:val="18"/>
          <w:szCs w:val="18"/>
          <w:color w:val="auto"/>
        </w:rPr>
        <w:t>) or conditional capital (</w:t>
      </w:r>
      <w:r>
        <w:rPr>
          <w:rFonts w:ascii="Times New Roman" w:cs="Times New Roman" w:eastAsia="Times New Roman" w:hAnsi="Times New Roman"/>
          <w:sz w:val="18"/>
          <w:szCs w:val="18"/>
          <w:i w:val="1"/>
          <w:iCs w:val="1"/>
          <w:color w:val="auto"/>
        </w:rPr>
        <w:t>bedingtes Kapital</w:t>
      </w:r>
      <w:r>
        <w:rPr>
          <w:rFonts w:ascii="Times New Roman" w:cs="Times New Roman" w:eastAsia="Times New Roman" w:hAnsi="Times New Roman"/>
          <w:sz w:val="18"/>
          <w:szCs w:val="18"/>
          <w:color w:val="auto"/>
        </w:rPr>
        <w:t>) with the relevant authorization to waive any pre-emptive subscription rights;</w:t>
      </w:r>
    </w:p>
    <w:p>
      <w:pPr>
        <w:spacing w:after="0" w:line="63" w:lineRule="exact"/>
        <w:rPr>
          <w:rFonts w:ascii="Times New Roman" w:cs="Times New Roman" w:eastAsia="Times New Roman" w:hAnsi="Times New Roman"/>
          <w:sz w:val="18"/>
          <w:szCs w:val="18"/>
          <w:color w:val="auto"/>
        </w:rPr>
      </w:pPr>
    </w:p>
    <w:p>
      <w:pPr>
        <w:ind w:left="424" w:right="240" w:hanging="424"/>
        <w:spacing w:after="0" w:line="267"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management board (</w:t>
      </w:r>
      <w:r>
        <w:rPr>
          <w:rFonts w:ascii="Times New Roman" w:cs="Times New Roman" w:eastAsia="Times New Roman" w:hAnsi="Times New Roman"/>
          <w:sz w:val="18"/>
          <w:szCs w:val="18"/>
          <w:i w:val="1"/>
          <w:iCs w:val="1"/>
          <w:color w:val="auto"/>
        </w:rPr>
        <w:t>Vorstand</w:t>
      </w:r>
      <w:r>
        <w:rPr>
          <w:rFonts w:ascii="Times New Roman" w:cs="Times New Roman" w:eastAsia="Times New Roman" w:hAnsi="Times New Roman"/>
          <w:sz w:val="18"/>
          <w:szCs w:val="18"/>
          <w:color w:val="auto"/>
        </w:rPr>
        <w:t>) and the supervisory board (</w:t>
      </w:r>
      <w:r>
        <w:rPr>
          <w:rFonts w:ascii="Times New Roman" w:cs="Times New Roman" w:eastAsia="Times New Roman" w:hAnsi="Times New Roman"/>
          <w:sz w:val="18"/>
          <w:szCs w:val="18"/>
          <w:i w:val="1"/>
          <w:iCs w:val="1"/>
          <w:color w:val="auto"/>
        </w:rPr>
        <w:t>Aufsichtsrat</w:t>
      </w:r>
      <w:r>
        <w:rPr>
          <w:rFonts w:ascii="Times New Roman" w:cs="Times New Roman" w:eastAsia="Times New Roman" w:hAnsi="Times New Roman"/>
          <w:sz w:val="18"/>
          <w:szCs w:val="18"/>
          <w:color w:val="auto"/>
        </w:rPr>
        <w:t>) of the Company will duly pass the relevant resolutions for the issuance of any New Shares (the “</w:t>
      </w:r>
      <w:r>
        <w:rPr>
          <w:rFonts w:ascii="Times New Roman" w:cs="Times New Roman" w:eastAsia="Times New Roman" w:hAnsi="Times New Roman"/>
          <w:sz w:val="18"/>
          <w:szCs w:val="18"/>
          <w:b w:val="1"/>
          <w:bCs w:val="1"/>
          <w:color w:val="auto"/>
        </w:rPr>
        <w:t>Future Resolutions</w:t>
      </w:r>
      <w:r>
        <w:rPr>
          <w:rFonts w:ascii="Times New Roman" w:cs="Times New Roman" w:eastAsia="Times New Roman" w:hAnsi="Times New Roman"/>
          <w:sz w:val="18"/>
          <w:szCs w:val="18"/>
          <w:color w:val="auto"/>
        </w:rPr>
        <w:t>”) in accordance with the Articles of Association, the Resolutions, the terms of the Plans and applicable law;</w:t>
      </w:r>
    </w:p>
    <w:p>
      <w:pPr>
        <w:spacing w:after="0" w:line="80" w:lineRule="exact"/>
        <w:rPr>
          <w:rFonts w:ascii="Times New Roman" w:cs="Times New Roman" w:eastAsia="Times New Roman" w:hAnsi="Times New Roman"/>
          <w:sz w:val="18"/>
          <w:szCs w:val="18"/>
          <w:color w:val="auto"/>
        </w:rPr>
      </w:pPr>
    </w:p>
    <w:p>
      <w:pPr>
        <w:ind w:left="424" w:right="6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upon issuance of any New Shares, the Company will receive payment in cash of an issue price in accordance with the Plans, the Resolutions, the Future Resolutions, and applicable law; and</w:t>
      </w:r>
    </w:p>
    <w:p>
      <w:pPr>
        <w:spacing w:after="0" w:line="65" w:lineRule="exact"/>
        <w:rPr>
          <w:rFonts w:ascii="Times New Roman" w:cs="Times New Roman" w:eastAsia="Times New Roman" w:hAnsi="Times New Roman"/>
          <w:sz w:val="18"/>
          <w:szCs w:val="18"/>
          <w:color w:val="auto"/>
        </w:rPr>
      </w:pPr>
    </w:p>
    <w:p>
      <w:pPr>
        <w:ind w:left="424" w:right="220" w:hanging="424"/>
        <w:spacing w:after="0" w:line="284"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there will be no amendments to the authorized capital (</w:t>
      </w:r>
      <w:r>
        <w:rPr>
          <w:rFonts w:ascii="Times New Roman" w:cs="Times New Roman" w:eastAsia="Times New Roman" w:hAnsi="Times New Roman"/>
          <w:sz w:val="18"/>
          <w:szCs w:val="18"/>
          <w:i w:val="1"/>
          <w:iCs w:val="1"/>
          <w:color w:val="auto"/>
        </w:rPr>
        <w:t>genehmigtes Kapital</w:t>
      </w:r>
      <w:r>
        <w:rPr>
          <w:rFonts w:ascii="Times New Roman" w:cs="Times New Roman" w:eastAsia="Times New Roman" w:hAnsi="Times New Roman"/>
          <w:sz w:val="18"/>
          <w:szCs w:val="18"/>
          <w:color w:val="auto"/>
        </w:rPr>
        <w:t>) of the Company which would adversely affect the issuance of any New Shares and the conclusions stated in this opinion.</w:t>
      </w:r>
    </w:p>
    <w:p>
      <w:pPr>
        <w:spacing w:after="0" w:line="9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4"/>
          </w:cols>
          <w:pgMar w:left="436" w:top="270" w:right="499" w:bottom="1440" w:gutter="0" w:footer="0" w:header="0"/>
        </w:sectPr>
      </w:pPr>
    </w:p>
    <w:bookmarkStart w:id="10" w:name="page11"/>
    <w:bookmarkEnd w:id="10"/>
    <w:p>
      <w:pPr>
        <w:ind w:left="424" w:hanging="424"/>
        <w:spacing w:after="0"/>
        <w:tabs>
          <w:tab w:leader="none" w:pos="424"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 Statements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Based upon and subject to the foregoing and the qualifications set out below, we are of the opinion that:</w:t>
      </w:r>
    </w:p>
    <w:p>
      <w:pPr>
        <w:spacing w:after="0" w:line="131" w:lineRule="exact"/>
        <w:rPr>
          <w:sz w:val="20"/>
          <w:szCs w:val="20"/>
          <w:color w:val="auto"/>
        </w:rPr>
      </w:pPr>
    </w:p>
    <w:p>
      <w:pPr>
        <w:ind w:left="424"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the Treasury Shares has been duly authorized by all requisite corporate action on the part of the Company and the Treasury Shares are validly issued, fully paid and non-assessable (</w:t>
      </w:r>
      <w:r>
        <w:rPr>
          <w:rFonts w:ascii="Times New Roman" w:cs="Times New Roman" w:eastAsia="Times New Roman" w:hAnsi="Times New Roman"/>
          <w:sz w:val="18"/>
          <w:szCs w:val="18"/>
          <w:i w:val="1"/>
          <w:iCs w:val="1"/>
          <w:color w:val="auto"/>
        </w:rPr>
        <w:t>nicht nachschusspflichtig</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24" w:right="180" w:hanging="424"/>
        <w:spacing w:after="0" w:line="261"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New Shares will be validly issued, fully paid and non-assessable (if and when authorized in accordance with the law, issued and paid under the circumstances contemplated by the Plans, assuming in each case that the individual issuances, grants or awards under the Plans are duly issued, granted or awarded and exercised in accordance with the requirements of law, the Resolutions, the Future Resolutions, the Articles of Association, and the Plans (and the agreements and awards duly adopted thereunder and in accordance therewith)).</w:t>
      </w:r>
    </w:p>
    <w:p>
      <w:pPr>
        <w:spacing w:after="0" w:line="81" w:lineRule="exact"/>
        <w:rPr>
          <w:sz w:val="20"/>
          <w:szCs w:val="20"/>
          <w:color w:val="auto"/>
        </w:rPr>
      </w:pPr>
    </w:p>
    <w:p>
      <w:pPr>
        <w:ind w:left="544" w:hanging="544"/>
        <w:spacing w:after="0"/>
        <w:tabs>
          <w:tab w:leader="none" w:pos="54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Qualifications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foregoing opinion statements are subject to the following qualifications:</w:t>
      </w:r>
    </w:p>
    <w:p>
      <w:pPr>
        <w:spacing w:after="0" w:line="129" w:lineRule="exact"/>
        <w:rPr>
          <w:sz w:val="20"/>
          <w:szCs w:val="20"/>
          <w:color w:val="auto"/>
        </w:rPr>
      </w:pPr>
    </w:p>
    <w:p>
      <w:pPr>
        <w:ind w:left="424" w:right="20" w:hanging="424"/>
        <w:spacing w:after="0" w:line="261"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admitted to the bar association (</w:t>
      </w:r>
      <w:r>
        <w:rPr>
          <w:rFonts w:ascii="Times New Roman" w:cs="Times New Roman" w:eastAsia="Times New Roman" w:hAnsi="Times New Roman"/>
          <w:sz w:val="18"/>
          <w:szCs w:val="18"/>
          <w:i w:val="1"/>
          <w:iCs w:val="1"/>
          <w:color w:val="auto"/>
        </w:rPr>
        <w:t>Rechtsanwaltskammer</w:t>
      </w:r>
      <w:r>
        <w:rPr>
          <w:rFonts w:ascii="Times New Roman" w:cs="Times New Roman" w:eastAsia="Times New Roman" w:hAnsi="Times New Roman"/>
          <w:sz w:val="18"/>
          <w:szCs w:val="18"/>
          <w:color w:val="auto"/>
        </w:rPr>
        <w:t>) in Frankfurt am Main, Germany, and licensed as attorneys (</w:t>
      </w:r>
      <w:r>
        <w:rPr>
          <w:rFonts w:ascii="Times New Roman" w:cs="Times New Roman" w:eastAsia="Times New Roman" w:hAnsi="Times New Roman"/>
          <w:sz w:val="18"/>
          <w:szCs w:val="18"/>
          <w:i w:val="1"/>
          <w:iCs w:val="1"/>
          <w:color w:val="auto"/>
        </w:rPr>
        <w:t>Rechtsanwalt</w:t>
      </w:r>
      <w:r>
        <w:rPr>
          <w:rFonts w:ascii="Times New Roman" w:cs="Times New Roman" w:eastAsia="Times New Roman" w:hAnsi="Times New Roman"/>
          <w:sz w:val="18"/>
          <w:szCs w:val="18"/>
          <w:color w:val="auto"/>
        </w:rPr>
        <w:t>) in Germany. This opinion is limited to matters of German law as presently in effect and applied by the German courts (including the law of the European Union to the extent it is directly applicable in Germany). We have not investigated and do not express or imply any opinion with respect to the laws of any other jurisdiction.</w:t>
      </w:r>
    </w:p>
    <w:p>
      <w:pPr>
        <w:spacing w:after="0" w:line="87" w:lineRule="exact"/>
        <w:rPr>
          <w:rFonts w:ascii="Times New Roman" w:cs="Times New Roman" w:eastAsia="Times New Roman" w:hAnsi="Times New Roman"/>
          <w:sz w:val="18"/>
          <w:szCs w:val="18"/>
          <w:color w:val="auto"/>
        </w:rPr>
      </w:pPr>
    </w:p>
    <w:p>
      <w:pPr>
        <w:ind w:left="424" w:right="240" w:hanging="424"/>
        <w:spacing w:after="0" w:line="266"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concepts of German law are addressed in the English language and not in the original German terms, which may differ in their exact legal meaning. This opinion may only be relied upon under the express condition that this opinion and any issues of interpretation arising hereunder are exclusively governed by German law.</w:t>
      </w:r>
    </w:p>
    <w:p>
      <w:pPr>
        <w:spacing w:after="0" w:line="8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speaks of its date only. It is limited to the matters addressed herein and should not be read as opinion in respect to any other matter.</w:t>
      </w:r>
    </w:p>
    <w:p>
      <w:pPr>
        <w:spacing w:after="0" w:line="157" w:lineRule="exact"/>
        <w:rPr>
          <w:rFonts w:ascii="Times New Roman" w:cs="Times New Roman" w:eastAsia="Times New Roman" w:hAnsi="Times New Roman"/>
          <w:sz w:val="18"/>
          <w:szCs w:val="18"/>
          <w:color w:val="auto"/>
        </w:rPr>
      </w:pPr>
    </w:p>
    <w:p>
      <w:pPr>
        <w:ind w:left="54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ectPr>
          <w:pgSz w:w="11900" w:h="16838" w:orient="portrait"/>
          <w:cols w:equalWidth="0" w:num="1">
            <w:col w:w="10984"/>
          </w:cols>
          <w:pgMar w:left="436" w:top="266" w:right="479" w:bottom="1440" w:gutter="0" w:footer="0" w:header="0"/>
        </w:sectPr>
      </w:pPr>
    </w:p>
    <w:bookmarkStart w:id="11" w:name="page12"/>
    <w:bookmarkEnd w:id="11"/>
    <w:p>
      <w:pPr>
        <w:ind w:left="424" w:hanging="424"/>
        <w:spacing w:after="0" w:line="312" w:lineRule="auto"/>
        <w:tabs>
          <w:tab w:leader="none" w:pos="424"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hereby consent to the filing of this opinion letter as an exhibit to the Registration Statement. In giving such consent, we do not admit that we are in the category of persons whose consent is required under Section 7 of the Securities Act or the rules and regulations promulgated thereunder.</w:t>
      </w:r>
    </w:p>
    <w:p>
      <w:pPr>
        <w:spacing w:after="0" w:line="14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Cordially yours,</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Covington &amp; Burling LLP</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2020 Employee Equity Plan, the 2020 Restricted Stock Unit Plan for North America Employees and the 2021 Employee Stock Ownership Plan of BioNTech SE of our reports dated March 30, 2022, with respect to the consolidated financial statements of BioNTech SE and the effectiveness of internal control over financial reporting of BioNTech SE included in its Annual Report (Form 20-F) for the year ended December 31, 2021, filed with the Securities and Exchange Commission.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GmbH Wirtschaftsprüfungsgesellschaft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Cologne, Germany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13, 2023</w:t>
      </w:r>
    </w:p>
    <w:p>
      <w:pPr>
        <w:sectPr>
          <w:pgSz w:w="11900" w:h="16838" w:orient="portrait"/>
          <w:cols w:equalWidth="0" w:num="1">
            <w:col w:w="11020"/>
          </w:cols>
          <w:pgMar w:left="440" w:top="117" w:right="4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BioNTech SE</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Table 1: Newly Registered Securities</w:t>
      </w:r>
    </w:p>
    <w:p>
      <w:pPr>
        <w:spacing w:after="0" w:line="254" w:lineRule="exact"/>
        <w:rPr>
          <w:sz w:val="20"/>
          <w:szCs w:val="20"/>
          <w:color w:val="auto"/>
        </w:rPr>
      </w:pPr>
    </w:p>
    <w:tbl>
      <w:tblPr>
        <w:tblLayout w:type="fixed"/>
        <w:tblInd w:w="134" w:type="dxa"/>
        <w:tblCellMar>
          <w:top w:w="0" w:type="dxa"/>
          <w:left w:w="0" w:type="dxa"/>
          <w:bottom w:w="0" w:type="dxa"/>
          <w:right w:w="0" w:type="dxa"/>
        </w:tblCellMar>
      </w:tblPr>
      <w:tr>
        <w:trPr>
          <w:trHeight w:val="142"/>
        </w:trPr>
        <w:tc>
          <w:tcPr>
            <w:tcW w:w="1200" w:type="dxa"/>
            <w:vAlign w:val="bottom"/>
            <w:tcBorders>
              <w:top w:val="single" w:sz="8" w:color="auto"/>
              <w:left w:val="single" w:sz="8" w:color="auto"/>
              <w:right w:val="single" w:sz="8" w:color="auto"/>
            </w:tcBorders>
          </w:tcPr>
          <w:p>
            <w:pPr>
              <w:spacing w:after="0"/>
              <w:rPr>
                <w:sz w:val="12"/>
                <w:szCs w:val="12"/>
                <w:color w:val="auto"/>
              </w:rPr>
            </w:pPr>
          </w:p>
        </w:tc>
        <w:tc>
          <w:tcPr>
            <w:tcW w:w="3340" w:type="dxa"/>
            <w:vAlign w:val="bottom"/>
            <w:tcBorders>
              <w:top w:val="single" w:sz="8" w:color="auto"/>
              <w:right w:val="single" w:sz="8" w:color="auto"/>
            </w:tcBorders>
          </w:tcPr>
          <w:p>
            <w:pPr>
              <w:spacing w:after="0"/>
              <w:rPr>
                <w:sz w:val="12"/>
                <w:szCs w:val="12"/>
                <w:color w:val="auto"/>
              </w:rPr>
            </w:pPr>
          </w:p>
        </w:tc>
        <w:tc>
          <w:tcPr>
            <w:tcW w:w="760" w:type="dxa"/>
            <w:vAlign w:val="bottom"/>
            <w:tcBorders>
              <w:top w:val="single" w:sz="8" w:color="auto"/>
              <w:right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720" w:type="dxa"/>
            <w:vAlign w:val="bottom"/>
            <w:tcBorders>
              <w:top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Proposed</w:t>
            </w:r>
          </w:p>
        </w:tc>
        <w:tc>
          <w:tcPr>
            <w:tcW w:w="16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Maximum</w:t>
            </w:r>
          </w:p>
        </w:tc>
        <w:tc>
          <w:tcPr>
            <w:tcW w:w="1060" w:type="dxa"/>
            <w:vAlign w:val="bottom"/>
            <w:tcBorders>
              <w:top w:val="single" w:sz="8" w:color="auto"/>
              <w:right w:val="single" w:sz="8" w:color="auto"/>
            </w:tcBorders>
          </w:tcPr>
          <w:p>
            <w:pPr>
              <w:spacing w:after="0"/>
              <w:rPr>
                <w:sz w:val="12"/>
                <w:szCs w:val="12"/>
                <w:color w:val="auto"/>
              </w:rPr>
            </w:pPr>
          </w:p>
        </w:tc>
        <w:tc>
          <w:tcPr>
            <w:tcW w:w="1040" w:type="dxa"/>
            <w:vAlign w:val="bottom"/>
            <w:tcBorders>
              <w:top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0" w:type="dxa"/>
            <w:vAlign w:val="bottom"/>
            <w:tcBorders>
              <w:left w:val="single" w:sz="8" w:color="auto"/>
              <w:right w:val="single" w:sz="8" w:color="auto"/>
            </w:tcBorders>
          </w:tcPr>
          <w:p>
            <w:pPr>
              <w:spacing w:after="0"/>
              <w:rPr>
                <w:sz w:val="11"/>
                <w:szCs w:val="11"/>
                <w:color w:val="auto"/>
              </w:rPr>
            </w:pPr>
          </w:p>
        </w:tc>
        <w:tc>
          <w:tcPr>
            <w:tcW w:w="334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600" w:type="dxa"/>
            <w:vAlign w:val="bottom"/>
            <w:tcBorders>
              <w:right w:val="single" w:sz="8" w:color="auto"/>
            </w:tcBorders>
            <w:vMerge w:val="continue"/>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3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Security</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80" w:type="dxa"/>
            <w:vAlign w:val="bottom"/>
            <w:tcBorders>
              <w:right w:val="single" w:sz="8" w:color="auto"/>
            </w:tcBorders>
          </w:tcPr>
          <w:p>
            <w:pPr>
              <w:spacing w:after="0"/>
              <w:rPr>
                <w:sz w:val="11"/>
                <w:szCs w:val="11"/>
                <w:color w:val="auto"/>
              </w:rPr>
            </w:pP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Aggregate</w:t>
            </w:r>
          </w:p>
        </w:tc>
        <w:tc>
          <w:tcPr>
            <w:tcW w:w="1060" w:type="dxa"/>
            <w:vAlign w:val="bottom"/>
            <w:tcBorders>
              <w:right w:val="single" w:sz="8" w:color="auto"/>
            </w:tcBorders>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Amount of</w:t>
            </w:r>
          </w:p>
        </w:tc>
        <w:tc>
          <w:tcPr>
            <w:tcW w:w="0" w:type="dxa"/>
            <w:vAlign w:val="bottom"/>
          </w:tcPr>
          <w:p>
            <w:pPr>
              <w:spacing w:after="0"/>
              <w:rPr>
                <w:sz w:val="1"/>
                <w:szCs w:val="1"/>
                <w:color w:val="auto"/>
              </w:rPr>
            </w:pPr>
          </w:p>
        </w:tc>
      </w:tr>
      <w:tr>
        <w:trPr>
          <w:trHeight w:val="135"/>
        </w:trPr>
        <w:tc>
          <w:tcPr>
            <w:tcW w:w="1200" w:type="dxa"/>
            <w:vAlign w:val="bottom"/>
            <w:tcBorders>
              <w:left w:val="single" w:sz="8" w:color="auto"/>
              <w:right w:val="single" w:sz="8" w:color="auto"/>
            </w:tcBorders>
          </w:tcPr>
          <w:p>
            <w:pPr>
              <w:spacing w:after="0"/>
              <w:rPr>
                <w:sz w:val="11"/>
                <w:szCs w:val="11"/>
                <w:color w:val="auto"/>
              </w:rPr>
            </w:pPr>
          </w:p>
        </w:tc>
        <w:tc>
          <w:tcPr>
            <w:tcW w:w="33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Class</w:t>
            </w:r>
          </w:p>
        </w:tc>
        <w:tc>
          <w:tcPr>
            <w:tcW w:w="7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0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7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06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0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Registration</w:t>
            </w:r>
          </w:p>
        </w:tc>
        <w:tc>
          <w:tcPr>
            <w:tcW w:w="0" w:type="dxa"/>
            <w:vAlign w:val="bottom"/>
          </w:tcPr>
          <w:p>
            <w:pPr>
              <w:spacing w:after="0"/>
              <w:rPr>
                <w:sz w:val="1"/>
                <w:szCs w:val="1"/>
                <w:color w:val="auto"/>
              </w:rPr>
            </w:pPr>
          </w:p>
        </w:tc>
      </w:tr>
      <w:tr>
        <w:trPr>
          <w:trHeight w:val="176"/>
        </w:trPr>
        <w:tc>
          <w:tcPr>
            <w:tcW w:w="1200" w:type="dxa"/>
            <w:vAlign w:val="bottom"/>
            <w:tcBorders>
              <w:left w:val="single" w:sz="8" w:color="auto"/>
              <w:bottom w:val="single" w:sz="8" w:color="auto"/>
              <w:right w:val="single" w:sz="8" w:color="auto"/>
            </w:tcBorders>
          </w:tcPr>
          <w:p>
            <w:pPr>
              <w:jc w:val="center"/>
              <w:ind w:left="15"/>
              <w:spacing w:after="0"/>
              <w:rPr>
                <w:sz w:val="20"/>
                <w:szCs w:val="20"/>
                <w:color w:val="auto"/>
              </w:rPr>
            </w:pPr>
            <w:r>
              <w:rPr>
                <w:rFonts w:ascii="Times New Roman" w:cs="Times New Roman" w:eastAsia="Times New Roman" w:hAnsi="Times New Roman"/>
                <w:sz w:val="13"/>
                <w:szCs w:val="13"/>
                <w:b w:val="1"/>
                <w:bCs w:val="1"/>
                <w:color w:val="auto"/>
                <w:w w:val="95"/>
              </w:rPr>
              <w:t>Security Type</w:t>
            </w:r>
          </w:p>
        </w:tc>
        <w:tc>
          <w:tcPr>
            <w:tcW w:w="334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89"/>
              </w:rPr>
              <w:t>Title</w:t>
            </w:r>
            <w:r>
              <w:rPr>
                <w:rFonts w:ascii="Times New Roman" w:cs="Times New Roman" w:eastAsia="Times New Roman" w:hAnsi="Times New Roman"/>
                <w:sz w:val="18"/>
                <w:szCs w:val="18"/>
                <w:b w:val="1"/>
                <w:bCs w:val="1"/>
                <w:color w:val="auto"/>
                <w:w w:val="89"/>
                <w:vertAlign w:val="superscript"/>
              </w:rPr>
              <w:t>(1)</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Rule</w:t>
            </w:r>
          </w:p>
        </w:tc>
        <w:tc>
          <w:tcPr>
            <w:tcW w:w="108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2"/>
              </w:rPr>
              <w:t>Registered</w:t>
            </w:r>
            <w:r>
              <w:rPr>
                <w:rFonts w:ascii="Times New Roman" w:cs="Times New Roman" w:eastAsia="Times New Roman" w:hAnsi="Times New Roman"/>
                <w:sz w:val="18"/>
                <w:szCs w:val="18"/>
                <w:b w:val="1"/>
                <w:bCs w:val="1"/>
                <w:color w:val="auto"/>
                <w:w w:val="92"/>
                <w:vertAlign w:val="superscript"/>
              </w:rPr>
              <w:t>(2)</w:t>
            </w:r>
          </w:p>
        </w:tc>
        <w:tc>
          <w:tcPr>
            <w:tcW w:w="720" w:type="dxa"/>
            <w:vAlign w:val="bottom"/>
            <w:tcBorders>
              <w:bottom w:val="single" w:sz="8" w:color="auto"/>
              <w:right w:val="single" w:sz="8" w:color="auto"/>
            </w:tcBorders>
          </w:tcPr>
          <w:p>
            <w:pPr>
              <w:jc w:val="center"/>
              <w:spacing w:after="0" w:line="176" w:lineRule="exact"/>
              <w:rPr>
                <w:sz w:val="20"/>
                <w:szCs w:val="20"/>
                <w:color w:val="auto"/>
              </w:rPr>
            </w:pPr>
            <w:r>
              <w:rPr>
                <w:rFonts w:ascii="Times New Roman" w:cs="Times New Roman" w:eastAsia="Times New Roman" w:hAnsi="Times New Roman"/>
                <w:sz w:val="13"/>
                <w:szCs w:val="13"/>
                <w:b w:val="1"/>
                <w:bCs w:val="1"/>
                <w:color w:val="auto"/>
                <w:w w:val="93"/>
              </w:rPr>
              <w:t>Unit</w:t>
            </w:r>
            <w:r>
              <w:rPr>
                <w:rFonts w:ascii="Times New Roman" w:cs="Times New Roman" w:eastAsia="Times New Roman" w:hAnsi="Times New Roman"/>
                <w:sz w:val="18"/>
                <w:szCs w:val="18"/>
                <w:b w:val="1"/>
                <w:bCs w:val="1"/>
                <w:color w:val="auto"/>
                <w:w w:val="93"/>
                <w:vertAlign w:val="superscript"/>
              </w:rPr>
              <w:t>(6)</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Fee</w:t>
            </w:r>
          </w:p>
        </w:tc>
        <w:tc>
          <w:tcPr>
            <w:tcW w:w="0" w:type="dxa"/>
            <w:vAlign w:val="bottom"/>
          </w:tcPr>
          <w:p>
            <w:pPr>
              <w:spacing w:after="0"/>
              <w:rPr>
                <w:sz w:val="1"/>
                <w:szCs w:val="1"/>
                <w:color w:val="auto"/>
              </w:rPr>
            </w:pPr>
          </w:p>
        </w:tc>
      </w:tr>
      <w:tr>
        <w:trPr>
          <w:trHeight w:val="232"/>
        </w:trPr>
        <w:tc>
          <w:tcPr>
            <w:tcW w:w="120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Equity</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 per share</w:t>
            </w:r>
          </w:p>
        </w:tc>
        <w:tc>
          <w:tcPr>
            <w:tcW w:w="76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1060" w:type="dxa"/>
            <w:vAlign w:val="bottom"/>
            <w:tcBorders>
              <w:bottom w:val="single" w:sz="8" w:color="auto"/>
              <w:right w:val="single" w:sz="8" w:color="auto"/>
            </w:tcBorders>
          </w:tcPr>
          <w:p>
            <w:pPr>
              <w:spacing w:after="0"/>
              <w:rPr>
                <w:sz w:val="20"/>
                <w:szCs w:val="20"/>
                <w:color w:val="auto"/>
              </w:rPr>
            </w:pPr>
          </w:p>
        </w:tc>
        <w:tc>
          <w:tcPr>
            <w:tcW w:w="1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20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Equity</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—2020 Employee Equity 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right w:val="single" w:sz="8" w:color="auto"/>
            </w:tcBorders>
          </w:tcPr>
          <w:p>
            <w:pPr>
              <w:jc w:val="center"/>
              <w:spacing w:after="0" w:line="241" w:lineRule="exact"/>
              <w:rPr>
                <w:sz w:val="20"/>
                <w:szCs w:val="20"/>
                <w:color w:val="auto"/>
              </w:rPr>
            </w:pPr>
            <w:r>
              <w:rPr>
                <w:rFonts w:ascii="Times New Roman" w:cs="Times New Roman" w:eastAsia="Times New Roman" w:hAnsi="Times New Roman"/>
                <w:sz w:val="18"/>
                <w:szCs w:val="18"/>
                <w:color w:val="auto"/>
                <w:w w:val="95"/>
              </w:rPr>
              <w:t>1,000,000</w:t>
            </w:r>
            <w:r>
              <w:rPr>
                <w:rFonts w:ascii="Times New Roman" w:cs="Times New Roman" w:eastAsia="Times New Roman" w:hAnsi="Times New Roman"/>
                <w:sz w:val="26"/>
                <w:szCs w:val="26"/>
                <w:color w:val="auto"/>
                <w:w w:val="95"/>
                <w:vertAlign w:val="superscript"/>
              </w:rPr>
              <w:t>(3)</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$140.91</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$140,910,000.00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0.00011020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$15,528.28</w:t>
            </w:r>
          </w:p>
        </w:tc>
        <w:tc>
          <w:tcPr>
            <w:tcW w:w="0" w:type="dxa"/>
            <w:vAlign w:val="bottom"/>
          </w:tcPr>
          <w:p>
            <w:pPr>
              <w:spacing w:after="0"/>
              <w:rPr>
                <w:sz w:val="1"/>
                <w:szCs w:val="1"/>
                <w:color w:val="auto"/>
              </w:rPr>
            </w:pPr>
          </w:p>
        </w:tc>
      </w:tr>
      <w:tr>
        <w:trPr>
          <w:trHeight w:val="205"/>
        </w:trPr>
        <w:tc>
          <w:tcPr>
            <w:tcW w:w="1200" w:type="dxa"/>
            <w:vAlign w:val="bottom"/>
            <w:tcBorders>
              <w:left w:val="single" w:sz="8" w:color="auto"/>
              <w:right w:val="single" w:sz="8" w:color="auto"/>
            </w:tcBorders>
          </w:tcPr>
          <w:p>
            <w:pPr>
              <w:jc w:val="center"/>
              <w:ind w:left="35"/>
              <w:spacing w:after="0" w:line="205" w:lineRule="exact"/>
              <w:rPr>
                <w:sz w:val="20"/>
                <w:szCs w:val="20"/>
                <w:color w:val="auto"/>
              </w:rPr>
            </w:pPr>
            <w:r>
              <w:rPr>
                <w:rFonts w:ascii="Times New Roman" w:cs="Times New Roman" w:eastAsia="Times New Roman" w:hAnsi="Times New Roman"/>
                <w:sz w:val="18"/>
                <w:szCs w:val="18"/>
                <w:color w:val="auto"/>
                <w:w w:val="99"/>
              </w:rPr>
              <w:t>Equity</w:t>
            </w:r>
          </w:p>
        </w:tc>
        <w:tc>
          <w:tcPr>
            <w:tcW w:w="3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—2020 Restricted Stock Unit Plan</w:t>
            </w:r>
          </w:p>
        </w:tc>
        <w:tc>
          <w:tcPr>
            <w:tcW w:w="760" w:type="dxa"/>
            <w:vAlign w:val="bottom"/>
            <w:tcBorders>
              <w:right w:val="single" w:sz="8" w:color="auto"/>
            </w:tcBorders>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spacing w:after="0"/>
              <w:rPr>
                <w:sz w:val="17"/>
                <w:szCs w:val="17"/>
                <w:color w:val="auto"/>
              </w:rPr>
            </w:pPr>
          </w:p>
        </w:tc>
        <w:tc>
          <w:tcPr>
            <w:tcW w:w="106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1200" w:type="dxa"/>
            <w:vAlign w:val="bottom"/>
            <w:tcBorders>
              <w:left w:val="single" w:sz="8" w:color="auto"/>
              <w:bottom w:val="single" w:sz="8" w:color="auto"/>
              <w:right w:val="single" w:sz="8" w:color="auto"/>
            </w:tcBorders>
          </w:tcPr>
          <w:p>
            <w:pPr>
              <w:spacing w:after="0"/>
              <w:rPr>
                <w:sz w:val="21"/>
                <w:szCs w:val="21"/>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for North America Employees</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right w:val="single" w:sz="8" w:color="auto"/>
            </w:tcBorders>
          </w:tcPr>
          <w:p>
            <w:pPr>
              <w:jc w:val="center"/>
              <w:spacing w:after="0" w:line="247" w:lineRule="exact"/>
              <w:rPr>
                <w:sz w:val="20"/>
                <w:szCs w:val="20"/>
                <w:color w:val="auto"/>
              </w:rPr>
            </w:pPr>
            <w:r>
              <w:rPr>
                <w:rFonts w:ascii="Times New Roman" w:cs="Times New Roman" w:eastAsia="Times New Roman" w:hAnsi="Times New Roman"/>
                <w:sz w:val="18"/>
                <w:szCs w:val="18"/>
                <w:color w:val="auto"/>
                <w:w w:val="93"/>
              </w:rPr>
              <w:t>139,528</w:t>
            </w:r>
            <w:r>
              <w:rPr>
                <w:rFonts w:ascii="Times New Roman" w:cs="Times New Roman" w:eastAsia="Times New Roman" w:hAnsi="Times New Roman"/>
                <w:sz w:val="26"/>
                <w:szCs w:val="26"/>
                <w:color w:val="auto"/>
                <w:w w:val="93"/>
                <w:vertAlign w:val="superscript"/>
              </w:rPr>
              <w:t>(4)</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$140.91</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$19,660,890.48</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0.00011020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$2,166.63</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right w:val="single" w:sz="8" w:color="auto"/>
            </w:tcBorders>
          </w:tcPr>
          <w:p>
            <w:pPr>
              <w:jc w:val="center"/>
              <w:ind w:left="35"/>
              <w:spacing w:after="0"/>
              <w:rPr>
                <w:sz w:val="20"/>
                <w:szCs w:val="20"/>
                <w:color w:val="auto"/>
              </w:rPr>
            </w:pPr>
            <w:r>
              <w:rPr>
                <w:rFonts w:ascii="Times New Roman" w:cs="Times New Roman" w:eastAsia="Times New Roman" w:hAnsi="Times New Roman"/>
                <w:sz w:val="18"/>
                <w:szCs w:val="18"/>
                <w:color w:val="auto"/>
                <w:w w:val="99"/>
              </w:rPr>
              <w:t>Equity</w:t>
            </w:r>
          </w:p>
        </w:tc>
        <w:tc>
          <w:tcPr>
            <w:tcW w:w="3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—2021 Employee Stock Ownership Plan</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Other</w:t>
            </w:r>
          </w:p>
        </w:tc>
        <w:tc>
          <w:tcPr>
            <w:tcW w:w="1080" w:type="dxa"/>
            <w:vAlign w:val="bottom"/>
            <w:tcBorders>
              <w:bottom w:val="single" w:sz="8" w:color="auto"/>
              <w:right w:val="single" w:sz="8" w:color="auto"/>
            </w:tcBorders>
          </w:tcPr>
          <w:p>
            <w:pPr>
              <w:jc w:val="center"/>
              <w:spacing w:after="0" w:line="236" w:lineRule="exact"/>
              <w:rPr>
                <w:sz w:val="20"/>
                <w:szCs w:val="20"/>
                <w:color w:val="auto"/>
              </w:rPr>
            </w:pPr>
            <w:r>
              <w:rPr>
                <w:rFonts w:ascii="Times New Roman" w:cs="Times New Roman" w:eastAsia="Times New Roman" w:hAnsi="Times New Roman"/>
                <w:sz w:val="18"/>
                <w:szCs w:val="18"/>
                <w:color w:val="auto"/>
                <w:w w:val="95"/>
              </w:rPr>
              <w:t>8,418,091</w:t>
            </w:r>
            <w:r>
              <w:rPr>
                <w:rFonts w:ascii="Times New Roman" w:cs="Times New Roman" w:eastAsia="Times New Roman" w:hAnsi="Times New Roman"/>
                <w:sz w:val="26"/>
                <w:szCs w:val="26"/>
                <w:color w:val="auto"/>
                <w:w w:val="95"/>
                <w:vertAlign w:val="superscript"/>
              </w:rPr>
              <w:t>(5)</w:t>
            </w: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$140.91</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$1,186,193,202.81</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0.00011020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$130,718.49</w:t>
            </w:r>
          </w:p>
        </w:tc>
        <w:tc>
          <w:tcPr>
            <w:tcW w:w="0" w:type="dxa"/>
            <w:vAlign w:val="bottom"/>
          </w:tcPr>
          <w:p>
            <w:pPr>
              <w:spacing w:after="0"/>
              <w:rPr>
                <w:sz w:val="1"/>
                <w:szCs w:val="1"/>
                <w:color w:val="auto"/>
              </w:rPr>
            </w:pPr>
          </w:p>
        </w:tc>
      </w:tr>
      <w:tr>
        <w:trPr>
          <w:trHeight w:val="234"/>
        </w:trPr>
        <w:tc>
          <w:tcPr>
            <w:tcW w:w="120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7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$1,346,764,093.29</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$148,413.40</w:t>
            </w:r>
          </w:p>
        </w:tc>
        <w:tc>
          <w:tcPr>
            <w:tcW w:w="0" w:type="dxa"/>
            <w:vAlign w:val="bottom"/>
          </w:tcPr>
          <w:p>
            <w:pPr>
              <w:spacing w:after="0"/>
              <w:rPr>
                <w:sz w:val="1"/>
                <w:szCs w:val="1"/>
                <w:color w:val="auto"/>
              </w:rPr>
            </w:pPr>
          </w:p>
        </w:tc>
      </w:tr>
      <w:tr>
        <w:trPr>
          <w:trHeight w:val="236"/>
        </w:trPr>
        <w:tc>
          <w:tcPr>
            <w:tcW w:w="120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Total Fee Offsets</w:t>
            </w:r>
          </w:p>
        </w:tc>
        <w:tc>
          <w:tcPr>
            <w:tcW w:w="7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7"/>
        </w:trPr>
        <w:tc>
          <w:tcPr>
            <w:tcW w:w="1200" w:type="dxa"/>
            <w:vAlign w:val="bottom"/>
            <w:tcBorders>
              <w:left w:val="single" w:sz="8" w:color="auto"/>
              <w:bottom w:val="single" w:sz="8" w:color="auto"/>
            </w:tcBorders>
          </w:tcPr>
          <w:p>
            <w:pPr>
              <w:spacing w:after="0"/>
              <w:rPr>
                <w:sz w:val="20"/>
                <w:szCs w:val="20"/>
                <w:color w:val="auto"/>
              </w:rPr>
            </w:pPr>
          </w:p>
        </w:tc>
        <w:tc>
          <w:tcPr>
            <w:tcW w:w="3340" w:type="dxa"/>
            <w:vAlign w:val="bottom"/>
            <w:tcBorders>
              <w:bottom w:val="single" w:sz="8" w:color="auto"/>
            </w:tcBorders>
          </w:tcPr>
          <w:p>
            <w:pPr>
              <w:jc w:val="center"/>
              <w:ind w:left="677"/>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76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$148,413.40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57"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no par value per share, of the Registrant, or the Ordinary Shares, may be represented by American Depositary Shares, or ADSs, with each ADS representing one Ordinary Share. ADSs issuable upon deposit of the Ordinary Shares registered hereby are registered pursuant to a separate Registration Statement on Form F-6 (File No. 333-233898).</w:t>
      </w:r>
    </w:p>
    <w:p>
      <w:pPr>
        <w:spacing w:after="0" w:line="1" w:lineRule="exact"/>
        <w:rPr>
          <w:rFonts w:ascii="Times New Roman" w:cs="Times New Roman" w:eastAsia="Times New Roman" w:hAnsi="Times New Roman"/>
          <w:sz w:val="18"/>
          <w:szCs w:val="18"/>
          <w:color w:val="auto"/>
        </w:rPr>
      </w:pPr>
    </w:p>
    <w:p>
      <w:pPr>
        <w:ind w:left="424" w:right="80" w:hanging="424"/>
        <w:spacing w:after="0" w:line="265" w:lineRule="auto"/>
        <w:tabs>
          <w:tab w:leader="none" w:pos="424"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Rule 416(a) of the Securities Act of 1933, as amended, or the Securities Act, this Registration Statement covers any Ordinary Shares that become issuable under the Registrant’s 2020 Employee Equity Plan, the Registrant’s 2020 Restricted Stock Unit Plan for North America Employees or the Registrant’s 2021 Employee Stock Ownership Plan by reason of any stock dividend, stock split, recapitalization or other similar transaction effected without the Registrant’s receipt of consideration that results in an increase in the number of outstanding Ordinary Shares.</w:t>
      </w: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1,000,000 Ordinary Shares reserved for issuance pursuant to future awards under the 2020 Employee Equity Plan.</w:t>
      </w:r>
    </w:p>
    <w:p>
      <w:pPr>
        <w:spacing w:after="0" w:line="9"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139,528 Ordinary Shares reserved for issuance pursuant to future awards under the 2020 Restricted Stock Unit Plan for North America Employees.</w:t>
      </w:r>
    </w:p>
    <w:p>
      <w:pPr>
        <w:ind w:left="424" w:hanging="424"/>
        <w:spacing w:after="0"/>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8,418,091 Ordinary Shares reserved for issuance pursuant to future awards under the 2021 Employee Stock Ownership Plan.</w:t>
      </w:r>
    </w:p>
    <w:p>
      <w:pPr>
        <w:spacing w:after="0" w:line="9" w:lineRule="exact"/>
        <w:rPr>
          <w:rFonts w:ascii="Times New Roman" w:cs="Times New Roman" w:eastAsia="Times New Roman" w:hAnsi="Times New Roman"/>
          <w:sz w:val="18"/>
          <w:szCs w:val="18"/>
          <w:color w:val="auto"/>
        </w:rPr>
      </w:pPr>
    </w:p>
    <w:p>
      <w:pPr>
        <w:ind w:left="424" w:right="280" w:hanging="424"/>
        <w:spacing w:after="0" w:line="260" w:lineRule="auto"/>
        <w:tabs>
          <w:tab w:leader="none" w:pos="4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pursuant to Rules 457(c) and 457(h) under the Securities Act solely for the purpose of calculating the registration fee based upon the average of the high and low sale prices reported for the ADSs on the Nasdaq Global Select Market on February 6, 2023.</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107"/>
    </w:lvl>
  </w:abstractNum>
  <w:abstractNum w:abstractNumId="2">
    <w:nsid w:val="1F16E9E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1190CDE7"/>
    <w:multiLevelType w:val="hybridMultilevel"/>
    <w:lvl w:ilvl="0">
      <w:lvlJc w:val="left"/>
      <w:lvlText w:val="%1"/>
      <w:numFmt w:val="lowerLetter"/>
      <w:start w:val="1"/>
    </w:lvl>
    <w:lvl w:ilvl="1">
      <w:lvlJc w:val="left"/>
      <w:lvlText w:val="(%2)"/>
      <w:numFmt w:val="decimal"/>
      <w:start w:val="2"/>
    </w:lvl>
  </w:abstractNum>
  <w:abstractNum w:abstractNumId="4">
    <w:nsid w:val="66EF438D"/>
    <w:multiLevelType w:val="hybridMultilevel"/>
    <w:lvl w:ilvl="0">
      <w:lvlJc w:val="left"/>
      <w:lvlText w:val="%1."/>
      <w:numFmt w:val="lowerLetter"/>
      <w:start w:val="2"/>
    </w:lvl>
    <w:lvl w:ilvl="1">
      <w:lvlJc w:val="left"/>
      <w:lvlText w:val="%2"/>
      <w:numFmt w:val="decimal"/>
      <w:start w:val="1"/>
    </w:lvl>
  </w:abstractNum>
  <w:abstractNum w:abstractNumId="5">
    <w:nsid w:val="140E0F76"/>
    <w:multiLevelType w:val="hybridMultilevel"/>
    <w:lvl w:ilvl="0">
      <w:lvlJc w:val="left"/>
      <w:lvlText w:val="%1."/>
      <w:numFmt w:val="lowerLetter"/>
      <w:start w:val="3"/>
    </w:lvl>
  </w:abstractNum>
  <w:abstractNum w:abstractNumId="6">
    <w:nsid w:val="3352255A"/>
    <w:multiLevelType w:val="hybridMultilevel"/>
    <w:lvl w:ilvl="0">
      <w:lvlJc w:val="left"/>
      <w:lvlText w:val="(%1)"/>
      <w:numFmt w:val="lowerRoman"/>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4"/>
    </w:lvl>
  </w:abstractNum>
  <w:abstractNum w:abstractNumId="10">
    <w:nsid w:val="1BEFD79F"/>
    <w:multiLevelType w:val="hybridMultilevel"/>
    <w:lvl w:ilvl="0">
      <w:lvlJc w:val="left"/>
      <w:lvlText w:val="%1."/>
      <w:numFmt w:val="decimal"/>
      <w:start w:val="2"/>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lowerLetter"/>
      <w:start w:val="4"/>
    </w:lvl>
  </w:abstractNum>
  <w:abstractNum w:abstractNumId="13">
    <w:nsid w:val="4E6AFB66"/>
    <w:multiLevelType w:val="hybridMultilevel"/>
    <w:lvl w:ilvl="0">
      <w:lvlJc w:val="left"/>
      <w:lvlText w:val="%1."/>
      <w:numFmt w:val="decimal"/>
      <w:start w:val="3"/>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1."/>
      <w:numFmt w:val="decimal"/>
      <w:start w:val="4"/>
    </w:lvl>
  </w:abstractNum>
  <w:abstractNum w:abstractNumId="16">
    <w:nsid w:val="431BD7B7"/>
    <w:multiLevelType w:val="hybridMultilevel"/>
    <w:lvl w:ilvl="0">
      <w:lvlJc w:val="left"/>
      <w:lvlText w:val="(%1)"/>
      <w:numFmt w:val="lowerLetter"/>
      <w:start w:val="1"/>
    </w:lvl>
  </w:abstractNum>
  <w:abstractNum w:abstractNumId="17">
    <w:nsid w:val="3F2DBA31"/>
    <w:multiLevelType w:val="hybridMultilevel"/>
    <w:lvl w:ilvl="0">
      <w:lvlJc w:val="left"/>
      <w:lvlText w:val="(%1)"/>
      <w:numFmt w:val="lowerLetter"/>
      <w:start w:val="4"/>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8" Type="http://schemas.openxmlformats.org/officeDocument/2006/relationships/image" Target="media/image9.png"/><Relationship Id="rId22"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jpeg"/><Relationship Id="rId31" Type="http://schemas.openxmlformats.org/officeDocument/2006/relationships/image" Target="media/image17.jpe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16" Type="http://schemas.openxmlformats.org/officeDocument/2006/relationships/hyperlink" Target="http://www.sec.gov/ix?doc=/Archives/edgar/data/0001776985/000095017022020213/bntx-20211231.htm" TargetMode="External"/><Relationship Id="rId17" Type="http://schemas.openxmlformats.org/officeDocument/2006/relationships/hyperlink" Target="http://www.sec.gov/Archives/edgar/data/1776985/000119312519263738/d796520d8a12b.htm" TargetMode="External"/><Relationship Id="rId19" Type="http://schemas.openxmlformats.org/officeDocument/2006/relationships/hyperlink" Target="http://www.sec.gov/Archives/edgar/data/1776985/000119312523035713/d463118dex41.htm" TargetMode="External"/><Relationship Id="rId20" Type="http://schemas.openxmlformats.org/officeDocument/2006/relationships/hyperlink" Target="http://www.sec.gov/Archives/edgar/data/1201935/000101915519000234/biontechdep.htm" TargetMode="External"/><Relationship Id="rId21" Type="http://schemas.openxmlformats.org/officeDocument/2006/relationships/hyperlink" Target="http://www.sec.gov/Archives/edgar/data/0001776985/000119312519241112/d635330dex42.htm" TargetMode="External"/><Relationship Id="rId23" Type="http://schemas.openxmlformats.org/officeDocument/2006/relationships/hyperlink" Target="http://www.sec.gov/Archives/edgar/data/1776985/000119312523035713/d463118dex45.htm" TargetMode="External"/><Relationship Id="rId24" Type="http://schemas.openxmlformats.org/officeDocument/2006/relationships/hyperlink" Target="http://www.sec.gov/Archives/edgar/data/1776985/000119312523035713/d463118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2023-02-13T16:21:18Z</dcterms:created>
  <dcterms:modified xsi:type="dcterms:W3CDTF">2023-02-13T16:21:18Z</dcterms:modified>
</cp:coreProperties>
</file>