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0001802897</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0002056296-25-000005</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80" w:type="dxa"/>
            <w:vAlign w:val="bottom"/>
          </w:tcPr>
          <w:p>
            <w:pPr>
              <w:spacing w:after="0"/>
              <w:rPr>
                <w:sz w:val="24"/>
                <w:szCs w:val="24"/>
                <w:color w:val="auto"/>
              </w:rPr>
            </w:pPr>
          </w:p>
        </w:tc>
        <w:tc>
          <w:tcPr>
            <w:tcW w:w="34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80" w:type="dxa"/>
            <w:vAlign w:val="bottom"/>
          </w:tcPr>
          <w:p>
            <w:pPr>
              <w:spacing w:after="0"/>
              <w:rPr>
                <w:sz w:val="24"/>
                <w:szCs w:val="24"/>
                <w:color w:val="auto"/>
              </w:rPr>
            </w:pPr>
          </w:p>
        </w:tc>
        <w:tc>
          <w:tcPr>
            <w:tcW w:w="34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42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80" w:type="dxa"/>
            <w:vAlign w:val="bottom"/>
          </w:tcPr>
          <w:p>
            <w:pPr>
              <w:spacing w:after="0"/>
              <w:rPr>
                <w:sz w:val="21"/>
                <w:szCs w:val="21"/>
                <w:color w:val="auto"/>
              </w:rPr>
            </w:pPr>
          </w:p>
        </w:tc>
        <w:tc>
          <w:tcPr>
            <w:tcW w:w="342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400" w:type="dxa"/>
            <w:vAlign w:val="bottom"/>
            <w:vMerge w:val="continue"/>
          </w:tcPr>
          <w:p>
            <w:pPr>
              <w:spacing w:after="0"/>
              <w:rPr>
                <w:sz w:val="13"/>
                <w:szCs w:val="13"/>
                <w:color w:val="auto"/>
              </w:rPr>
            </w:pPr>
          </w:p>
        </w:tc>
        <w:tc>
          <w:tcPr>
            <w:tcW w:w="3480" w:type="dxa"/>
            <w:vAlign w:val="bottom"/>
          </w:tcPr>
          <w:p>
            <w:pPr>
              <w:spacing w:after="0"/>
              <w:rPr>
                <w:sz w:val="13"/>
                <w:szCs w:val="13"/>
                <w:color w:val="auto"/>
              </w:rPr>
            </w:pPr>
          </w:p>
        </w:tc>
        <w:tc>
          <w:tcPr>
            <w:tcW w:w="342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400" w:type="dxa"/>
            <w:vAlign w:val="bottom"/>
          </w:tcPr>
          <w:p>
            <w:pPr>
              <w:spacing w:after="0"/>
              <w:rPr>
                <w:sz w:val="7"/>
                <w:szCs w:val="7"/>
                <w:color w:val="auto"/>
              </w:rPr>
            </w:pPr>
          </w:p>
        </w:tc>
        <w:tc>
          <w:tcPr>
            <w:tcW w:w="3480" w:type="dxa"/>
            <w:vAlign w:val="bottom"/>
          </w:tcPr>
          <w:p>
            <w:pPr>
              <w:spacing w:after="0"/>
              <w:rPr>
                <w:sz w:val="7"/>
                <w:szCs w:val="7"/>
                <w:color w:val="auto"/>
              </w:rPr>
            </w:pPr>
          </w:p>
        </w:tc>
        <w:tc>
          <w:tcPr>
            <w:tcW w:w="3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4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4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1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Berenberg Capital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American Depositary</w:t>
      </w:r>
      <w:r>
        <w:rPr>
          <w:sz w:val="20"/>
          <w:szCs w:val="20"/>
          <w:color w:val="auto"/>
        </w:rPr>
        <w:tab/>
      </w:r>
      <w:r>
        <w:rPr>
          <w:rFonts w:ascii="Times New Roman" w:cs="Times New Roman" w:eastAsia="Times New Roman" w:hAnsi="Times New Roman"/>
          <w:sz w:val="21"/>
          <w:szCs w:val="21"/>
          <w:color w:val="auto"/>
        </w:rPr>
        <w:t>Markets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Shares representing</w:t>
      </w:r>
      <w:r>
        <w:rPr>
          <w:sz w:val="20"/>
          <w:szCs w:val="20"/>
          <w:color w:val="auto"/>
        </w:rPr>
        <w:tab/>
      </w:r>
      <w:r>
        <w:rPr>
          <w:rFonts w:ascii="Times New Roman" w:cs="Times New Roman" w:eastAsia="Times New Roman" w:hAnsi="Times New Roman"/>
          <w:sz w:val="21"/>
          <w:szCs w:val="21"/>
          <w:color w:val="auto"/>
        </w:rPr>
        <w:t>1251 Avenue of the</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ordinary shares, no par</w:t>
      </w:r>
      <w:r>
        <w:rPr>
          <w:sz w:val="20"/>
          <w:szCs w:val="20"/>
          <w:color w:val="auto"/>
        </w:rPr>
        <w:tab/>
      </w:r>
      <w:r>
        <w:rPr>
          <w:rFonts w:ascii="Times New Roman" w:cs="Times New Roman" w:eastAsia="Times New Roman" w:hAnsi="Times New Roman"/>
          <w:sz w:val="21"/>
          <w:szCs w:val="21"/>
          <w:color w:val="auto"/>
        </w:rPr>
        <w:t>Americas</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value per share</w:t>
      </w:r>
      <w:r>
        <w:rPr>
          <w:sz w:val="20"/>
          <w:szCs w:val="20"/>
          <w:color w:val="auto"/>
        </w:rPr>
        <w:tab/>
      </w:r>
      <w:r>
        <w:rPr>
          <w:rFonts w:ascii="Times New Roman" w:cs="Times New Roman" w:eastAsia="Times New Roman" w:hAnsi="Times New Roman"/>
          <w:sz w:val="21"/>
          <w:szCs w:val="21"/>
          <w:color w:val="auto"/>
        </w:rPr>
        <w:t>53rd Floor</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10020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w w:val="96"/>
              </w:rPr>
              <w:t>325000</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36757500.00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240392622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05/28/2025</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w:t>
      </w:r>
    </w:p>
    <w:p>
      <w:pPr>
        <w:spacing w:after="0" w:line="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Shares, no par</w:t>
        <w:tab/>
        <w:t xml:space="preserve">01/05/2018 Private placement  BioNTech SE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325000</w:t>
      </w:r>
      <w:r>
        <w:rPr>
          <w:sz w:val="20"/>
          <w:szCs w:val="20"/>
          <w:color w:val="auto"/>
        </w:rPr>
        <w:tab/>
      </w:r>
      <w:r>
        <w:rPr>
          <w:rFonts w:ascii="Times New Roman" w:cs="Times New Roman" w:eastAsia="Times New Roman" w:hAnsi="Times New Roman"/>
          <w:sz w:val="21"/>
          <w:szCs w:val="21"/>
          <w:color w:val="auto"/>
        </w:rPr>
        <w:t>01/05/2018 Cash</w:t>
      </w:r>
    </w:p>
    <w:p>
      <w:pPr>
        <w:ind w:left="40"/>
        <w:spacing w:after="0"/>
        <w:rPr>
          <w:sz w:val="20"/>
          <w:szCs w:val="20"/>
          <w:color w:val="auto"/>
        </w:rPr>
      </w:pPr>
      <w:r>
        <w:rPr>
          <w:rFonts w:ascii="Times New Roman" w:cs="Times New Roman" w:eastAsia="Times New Roman" w:hAnsi="Times New Roman"/>
          <w:sz w:val="22"/>
          <w:szCs w:val="22"/>
          <w:color w:val="auto"/>
        </w:rPr>
        <w:t>value per share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AT Impf GmbH</w:t>
      </w:r>
      <w:r>
        <w:rPr>
          <w:sz w:val="20"/>
          <w:szCs w:val="20"/>
          <w:color w:val="auto"/>
        </w:rPr>
        <w:tab/>
      </w:r>
      <w:r>
        <w:rPr>
          <w:rFonts w:ascii="Times New Roman" w:cs="Times New Roman" w:eastAsia="Times New Roman" w:hAnsi="Times New Roman"/>
          <w:sz w:val="21"/>
          <w:szCs w:val="21"/>
          <w:color w:val="auto"/>
        </w:rPr>
        <w:t>American Depositary Shares</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Rosenheimer Platz 6</w:t>
      </w:r>
      <w:r>
        <w:rPr>
          <w:sz w:val="20"/>
          <w:szCs w:val="20"/>
          <w:color w:val="auto"/>
        </w:rPr>
        <w:tab/>
      </w:r>
      <w:r>
        <w:rPr>
          <w:rFonts w:ascii="Times New Roman" w:cs="Times New Roman" w:eastAsia="Times New Roman" w:hAnsi="Times New Roman"/>
          <w:sz w:val="21"/>
          <w:szCs w:val="21"/>
          <w:color w:val="auto"/>
        </w:rPr>
        <w:t>representing ordinary shares, no par</w:t>
      </w: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Munich  2M  81669</w:t>
      </w:r>
      <w:r>
        <w:rPr>
          <w:sz w:val="20"/>
          <w:szCs w:val="20"/>
          <w:color w:val="auto"/>
        </w:rPr>
        <w:tab/>
      </w:r>
      <w:r>
        <w:rPr>
          <w:rFonts w:ascii="Times New Roman" w:cs="Times New Roman" w:eastAsia="Times New Roman" w:hAnsi="Times New Roman"/>
          <w:sz w:val="21"/>
          <w:szCs w:val="21"/>
          <w:color w:val="auto"/>
        </w:rPr>
        <w:t>value per share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w w:val="96"/>
              </w:rPr>
              <w:t>06/02/2025 175000</w:t>
            </w:r>
          </w:p>
        </w:tc>
        <w:tc>
          <w:tcPr>
            <w:tcW w:w="15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19394800.08</w:t>
            </w:r>
          </w:p>
        </w:tc>
        <w:tc>
          <w:tcPr>
            <w:tcW w:w="0" w:type="dxa"/>
            <w:vAlign w:val="bottom"/>
          </w:tcPr>
          <w:p>
            <w:pPr>
              <w:spacing w:after="0"/>
              <w:rPr>
                <w:sz w:val="1"/>
                <w:szCs w:val="1"/>
                <w:color w:val="auto"/>
              </w:rPr>
            </w:pPr>
          </w:p>
        </w:tc>
      </w:tr>
    </w:tbl>
    <w:p>
      <w:pPr>
        <w:spacing w:after="0" w:line="437" w:lineRule="exact"/>
        <w:rPr>
          <w:sz w:val="20"/>
          <w:szCs w:val="20"/>
          <w:color w:val="auto"/>
        </w:rPr>
      </w:pPr>
    </w:p>
    <w:p>
      <w:pPr>
        <w:sectPr>
          <w:pgSz w:w="11900" w:h="16838" w:orient="portrait"/>
          <w:cols w:equalWidth="0" w:num="2">
            <w:col w:w="6760" w:space="540"/>
            <w:col w:w="394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undersigned filed a Form 144 on June 2, 2025 to report the sale of 175,000 ADSs on that date. These ADSs were included within the 500,000 ADSs reported in the Form 144 filed on May 28, 2025, or the Original Form 144. The undersigned is filing this Amendment to the Original Form 144 to correct the Number of Shares or Other Units To Be Sold so that the 175,000 ADSs sold on June 2, 2025 are not reported twice. The filing of this Form 144 shall not be construed as an admission that the undersigned is an affiliate of the issuer.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06/04/2025</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Stephan Sperber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2025-06-04T15:48:54Z</dcterms:created>
  <dcterms:modified xsi:type="dcterms:W3CDTF">2025-06-04T15:48:54Z</dcterms:modified>
</cp:coreProperties>
</file>