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Tureci Ozlem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BIONTECH SE</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 DER GOLDGRUBE 12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MAINZ</w:t>
                  </w:r>
                </w:p>
              </w:tc>
              <w:tc>
                <w:tcPr>
                  <w:tcW w:w="98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D-55131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03/18/2026</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BioNTech SE</w:t>
              </w:r>
            </w:hyperlink>
            <w:r>
              <w:rPr/>
              <w:t xml:space="preserve"> [ </w:t>
            </w:r>
            <w:r>
              <w:rPr>
                <w:rFonts w:ascii="Times;serif" w:hAnsi="Times;serif"/>
                <w:color w:val="0000FF"/>
                <w:sz w:val="24"/>
                <w:shd w:fill="FFFFFF" w:val="clear"/>
              </w:rPr>
              <w:t>BNTX</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47"/>
        <w:gridCol w:w="1222"/>
        <w:gridCol w:w="1124"/>
        <w:gridCol w:w="1266"/>
        <w:gridCol w:w="927"/>
        <w:gridCol w:w="1256"/>
        <w:gridCol w:w="1215"/>
        <w:gridCol w:w="1348"/>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4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19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4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4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27"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4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05/22/2027</w:t>
            </w:r>
            <w:r>
              <w:rPr>
                <w:rFonts w:ascii="Times;serif" w:hAnsi="Times;serif"/>
                <w:color w:val="008000"/>
                <w:position w:val="7"/>
                <w:sz w:val="16"/>
                <w:sz w:val="20"/>
                <w:shd w:fill="FFFFFF" w:val="clear"/>
              </w:rPr>
              <w:t>(1)</w:t>
            </w:r>
            <w:r>
              <w:rPr/>
              <w:t xml:space="preserve"> </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05/22/2033</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(2)</w:t>
            </w:r>
            <w:r>
              <w:rPr/>
              <w:t xml:space="preserve"> </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18,416</w:t>
            </w:r>
          </w:p>
        </w:tc>
        <w:tc>
          <w:tcPr>
            <w:tcW w:w="12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113.94</w:t>
            </w:r>
            <w:r>
              <w:rPr>
                <w:rFonts w:ascii="Times;serif" w:hAnsi="Times;serif"/>
                <w:color w:val="008000"/>
                <w:position w:val="7"/>
                <w:sz w:val="16"/>
                <w:sz w:val="20"/>
                <w:shd w:fill="FFFFFF" w:val="clear"/>
              </w:rPr>
              <w:t>(3)</w:t>
            </w:r>
            <w:r>
              <w:rPr/>
              <w:t xml:space="preserve"> </w:t>
            </w:r>
          </w:p>
        </w:tc>
        <w:tc>
          <w:tcPr>
            <w:tcW w:w="12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08/26/2028</w:t>
            </w:r>
            <w:r>
              <w:rPr>
                <w:rFonts w:ascii="Times;serif" w:hAnsi="Times;serif"/>
                <w:color w:val="008000"/>
                <w:position w:val="7"/>
                <w:sz w:val="16"/>
                <w:sz w:val="20"/>
                <w:shd w:fill="FFFFFF" w:val="clear"/>
              </w:rPr>
              <w:t>(1)</w:t>
            </w:r>
            <w:r>
              <w:rPr/>
              <w:t xml:space="preserve"> </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08/26/2034</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(2)</w:t>
            </w:r>
            <w:r>
              <w:rPr/>
              <w:t xml:space="preserve"> </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25,459</w:t>
            </w:r>
          </w:p>
        </w:tc>
        <w:tc>
          <w:tcPr>
            <w:tcW w:w="12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(3)(4)</w:t>
            </w:r>
            <w:r>
              <w:rPr/>
              <w:t xml:space="preserve"> </w:t>
            </w:r>
          </w:p>
        </w:tc>
        <w:tc>
          <w:tcPr>
            <w:tcW w:w="12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05/28/2029</w:t>
            </w:r>
            <w:r>
              <w:rPr>
                <w:rFonts w:ascii="Times;serif" w:hAnsi="Times;serif"/>
                <w:color w:val="008000"/>
                <w:position w:val="7"/>
                <w:sz w:val="16"/>
                <w:sz w:val="20"/>
                <w:shd w:fill="FFFFFF" w:val="clear"/>
              </w:rPr>
              <w:t>(1)</w:t>
            </w:r>
            <w:r>
              <w:rPr/>
              <w:t xml:space="preserve"> </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05/28/2035</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(2)</w:t>
            </w:r>
            <w:r>
              <w:rPr/>
              <w:t xml:space="preserve"> </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9,306</w:t>
            </w:r>
          </w:p>
        </w:tc>
        <w:tc>
          <w:tcPr>
            <w:tcW w:w="12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(3)(5)</w:t>
            </w:r>
            <w:r>
              <w:rPr/>
              <w:t xml:space="preserve"> </w:t>
            </w:r>
          </w:p>
        </w:tc>
        <w:tc>
          <w:tcPr>
            <w:tcW w:w="12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Phantom Option</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05/12/2025</w:t>
            </w:r>
            <w:r>
              <w:rPr>
                <w:rFonts w:ascii="Times;serif" w:hAnsi="Times;serif"/>
                <w:color w:val="008000"/>
                <w:position w:val="7"/>
                <w:sz w:val="16"/>
                <w:sz w:val="20"/>
                <w:shd w:fill="FFFFFF" w:val="clear"/>
              </w:rPr>
              <w:t>(1)</w:t>
            </w:r>
            <w:r>
              <w:rPr/>
              <w:t xml:space="preserve"> </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05/12/2031</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(6)</w:t>
            </w:r>
            <w:r>
              <w:rPr/>
              <w:t xml:space="preserve"> </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7,112</w:t>
            </w:r>
          </w:p>
        </w:tc>
        <w:tc>
          <w:tcPr>
            <w:tcW w:w="12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185.23</w:t>
            </w:r>
            <w:r>
              <w:rPr>
                <w:rFonts w:ascii="Times;serif" w:hAnsi="Times;serif"/>
                <w:color w:val="008000"/>
                <w:position w:val="7"/>
                <w:sz w:val="16"/>
                <w:sz w:val="20"/>
                <w:shd w:fill="FFFFFF" w:val="clear"/>
              </w:rPr>
              <w:t>(3)</w:t>
            </w:r>
            <w:r>
              <w:rPr/>
              <w:t xml:space="preserve"> </w:t>
            </w:r>
          </w:p>
        </w:tc>
        <w:tc>
          <w:tcPr>
            <w:tcW w:w="12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Phantom Option</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05/31/2026</w:t>
            </w:r>
            <w:r>
              <w:rPr>
                <w:rFonts w:ascii="Times;serif" w:hAnsi="Times;serif"/>
                <w:color w:val="008000"/>
                <w:position w:val="7"/>
                <w:sz w:val="16"/>
                <w:sz w:val="20"/>
                <w:shd w:fill="FFFFFF" w:val="clear"/>
              </w:rPr>
              <w:t>(1)</w:t>
            </w:r>
            <w:r>
              <w:rPr/>
              <w:t xml:space="preserve"> </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05/31/2032</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(6)</w:t>
            </w:r>
            <w:r>
              <w:rPr/>
              <w:t xml:space="preserve"> </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14,664</w:t>
            </w:r>
          </w:p>
        </w:tc>
        <w:tc>
          <w:tcPr>
            <w:tcW w:w="12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152.1</w:t>
            </w:r>
            <w:r>
              <w:rPr>
                <w:rFonts w:ascii="Times;serif" w:hAnsi="Times;serif"/>
                <w:color w:val="008000"/>
                <w:position w:val="7"/>
                <w:sz w:val="16"/>
                <w:sz w:val="20"/>
                <w:shd w:fill="FFFFFF" w:val="clear"/>
              </w:rPr>
              <w:t>(3)</w:t>
            </w:r>
            <w:r>
              <w:rPr/>
              <w:t xml:space="preserve"> </w:t>
            </w:r>
          </w:p>
        </w:tc>
        <w:tc>
          <w:tcPr>
            <w:tcW w:w="12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4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Performance Share Unit</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05/27/2029</w:t>
            </w:r>
            <w:r>
              <w:rPr>
                <w:rFonts w:ascii="Times;serif" w:hAnsi="Times;serif"/>
                <w:color w:val="008000"/>
                <w:position w:val="7"/>
                <w:sz w:val="16"/>
                <w:sz w:val="20"/>
                <w:shd w:fill="FFFFFF" w:val="clear"/>
              </w:rPr>
              <w:t>(7)</w:t>
            </w:r>
            <w:r>
              <w:rPr/>
              <w:t xml:space="preserve"> </w:t>
            </w:r>
          </w:p>
        </w:tc>
        <w:tc>
          <w:tcPr>
            <w:tcW w:w="11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05/27/2035</w:t>
            </w:r>
          </w:p>
        </w:tc>
        <w:tc>
          <w:tcPr>
            <w:tcW w:w="12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(7)</w:t>
            </w:r>
            <w:r>
              <w:rPr/>
              <w:t xml:space="preserve"> </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11,633</w:t>
            </w:r>
          </w:p>
        </w:tc>
        <w:tc>
          <w:tcPr>
            <w:tcW w:w="12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2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vests annually in equal installments over four years commencing on the first anniversary of the grant date and becomes exercisable four years after the grant date, subject to certain performance-based and other conditions.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may be settled in ordinary shares, American Depositary Shares ("ADSs") and/or cash at the election of the supervisory board.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Subject to adjustment such that the trading price of an ADS as of an exercise date does not exceed 800% of the grant date exercise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exercise price of this option is EUR 75.91.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exercise price of this option is EUR 93.35.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Each phantom option represents the right to receive a cash payment equal to the difference between an exercise closing price (average closing price of an ADS over the last ten trading days preceding the exercise date) and the exercise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Each performance share unit ("PSU") is the economic equivalent of one ordinary share of the Issuer and represents a right to receive, at the Issuer's option, one ordinary share, one ADS representing one ordinary share, or a cash payment or another form of settlement equal to the economic value thereof. PSUs vest annually in equal installments over four years commencing on the first anniversary of the grant date and become exercisable four years after the grant date, subject to the achievement of certain performance targets based on the market price of the Issuer's ordinary shares relative to the Nasdaq Biotechnology Index (or a comparable successor index) and the Reporting Person's continued service through each such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 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Humza Bokhari,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ck0001776985-ex24.htm"/>
      <w:bookmarkStart w:id="3" w:name="ksck0001776985ex24"/>
      <w:bookmarkEnd w:id="2"/>
      <w:bookmarkEnd w:id="3"/>
      <w:r>
        <w:rPr/>
        <w:t> </w:t>
      </w:r>
      <w:r>
        <w:br w:type="page"/>
      </w:r>
    </w:p>
    <w:p>
      <w:pPr>
        <w:pStyle w:val="TextBody"/>
        <w:bidi w:val="0"/>
        <w:jc w:val="right"/>
        <w:rPr/>
      </w:pPr>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LIMITED POWER OF ATTORNEY</w:t>
      </w:r>
    </w:p>
    <w:p>
      <w:pPr>
        <w:pStyle w:val="TextBody"/>
        <w:bidi w:val="0"/>
        <w:jc w:val="center"/>
        <w:rPr>
          <w:rFonts w:ascii="Times New Roman" w:hAnsi="Times New Roman"/>
          <w:b/>
          <w:color w:val="000000"/>
          <w:sz w:val="24"/>
        </w:rPr>
      </w:pPr>
      <w:r>
        <w:rPr>
          <w:rFonts w:ascii="Times New Roman" w:hAnsi="Times New Roman"/>
          <w:b/>
          <w:color w:val="000000"/>
          <w:sz w:val="24"/>
        </w:rPr>
        <w:t>FOR SEC REPORTING OBLIGATIONS</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Know all by these presents, that the undersigned hereby makes, constitutes and appoints each of Zoey Neuenschwander, Stefanie Lutze, and Humza Bokhari, signing singly and each acting individually, as the undersigned’s true and lawful attorney-in-fact with full power and authority as hereinafter described to:</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(1) submit to the U.S. Securities and Exchange Commission (the “SEC”) a Form ID Application and/or Passphrase Update Application or any other application materials to enable the undersigned to gain or maintain access to the Electronic Data Gathering, Analysis and Retrieval system of the SEC;</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(2)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w:t>
      </w:r>
    </w:p>
    <w:p>
      <w:pPr>
        <w:pStyle w:val="TextBody"/>
        <w:bidi w:val="0"/>
        <w:jc w:val="both"/>
        <w:rPr>
          <w:rFonts w:ascii="Times New Roman" w:hAnsi="Times New Roman"/>
          <w:color w:val="000000"/>
          <w:sz w:val="24"/>
        </w:rPr>
      </w:pPr>
      <w:r>
        <w:rPr>
          <w:rFonts w:ascii="Times New Roman" w:hAnsi="Times New Roman"/>
          <w:color w:val="000000"/>
          <w:sz w:val="24"/>
        </w:rPr>
        <w:t>behalf of the undersigned pursuant to this Limited Power of Attorney shall be in such form and shall contain such terms and conditions as such attorney-in-fact may approve in such attorney-in-fact’s discretion;</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(3) execute for and on behalf of the undersigned, in the undersigned’s capacity as an officer and/or director of BioNTech SE (the “Company”), filings under Section 16 of the Securities Exchange Act of 1934, Forms 144, and Schedules 13D and 13G, each including any amendments thereto;</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(4) do and perform any and all acts for and on behalf of the undersigned which may be necessary or desirable to prepare, complete and execute any such filings, prepare, complete and execute any amendment or amendments thereto, and timely deliver and file such form with the SEC and any stock exchange or similar authority; and</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(5) 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to comply with filing obligations pursuant to Form 144, Schedule 13D, Schedule 13G, Form 3, Form 4, or Form 5. The undersigned acknowledges that neither the Company nor the foregoing attorneys-in-fact assume (i) any liability for the undersigned’s responsibility to comply with the beneficial ownership and transaction reporting requirements associated with the foregoing filings or (ii) any liability of the undersigned for any failure to comply with such requirements.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This Limited Power of Attorney shall remain in full force and effect until the undersigned is no longer required to file any such with respect to the undersigned’s beneficial ownership of and transactions in securities issued by the Company, unless earlier revoked by the undersigned in a signed writing delivered to the foregoing attorneys-in-fact.</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[Signature page follows.]</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IN WITNESS WHEREOF, the undersigned has caused this Limited Power of Attorney to be executed as of this 25th day of February, 2026.</w:t>
      </w:r>
    </w:p>
    <w:p>
      <w:pPr>
        <w:pStyle w:val="TextBody"/>
        <w:bidi w:val="0"/>
        <w:jc w:val="left"/>
        <w:rPr/>
      </w:pPr>
      <w:r>
        <w:rPr/>
        <w:t> </w:t>
      </w:r>
    </w:p>
    <w:p>
      <w:pPr>
        <w:pStyle w:val="TextBody"/>
        <w:bidi w:val="0"/>
        <w:jc w:val="left"/>
        <w:rPr/>
      </w:pPr>
      <w:r>
        <w:rPr/>
        <w:t> </w:t>
      </w:r>
    </w:p>
    <w:tbl>
      <w:tblPr>
        <w:tblW w:w="8653" w:type="dxa"/>
        <w:jc w:val="left"/>
        <w:tblInd w:w="0" w:type="dxa"/>
        <w:tblLayout w:type="fixed"/>
        <w:tblCellMar>
          <w:top w:w="28" w:type="dxa"/>
          <w:left w:w="28" w:type="dxa"/>
          <w:bottom w:w="28" w:type="dxa"/>
          <w:right w:w="28" w:type="dxa"/>
        </w:tblCellMar>
      </w:tblPr>
      <w:tblGrid>
        <w:gridCol w:w="4261"/>
        <w:gridCol w:w="2101"/>
        <w:gridCol w:w="2291"/>
      </w:tblGrid>
      <w:tr>
        <w:trPr/>
        <w:tc>
          <w:tcPr>
            <w:tcW w:w="4261"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ind w:left="0" w:right="0" w:firstLine="2160"/>
              <w:jc w:val="left"/>
              <w:rPr>
                <w:sz w:val="4"/>
                <w:szCs w:val="4"/>
              </w:rPr>
            </w:pPr>
            <w:r>
              <w:rPr>
                <w:sz w:val="4"/>
                <w:szCs w:val="4"/>
              </w:rPr>
            </w:r>
          </w:p>
        </w:tc>
      </w:tr>
      <w:tr>
        <w:trPr/>
        <w:tc>
          <w:tcPr>
            <w:tcW w:w="4261" w:type="dxa"/>
            <w:tcBorders/>
            <w:tcMar>
              <w:top w:w="0" w:type="dxa"/>
              <w:left w:w="0" w:type="dxa"/>
              <w:bottom w:w="0" w:type="dxa"/>
              <w:right w:w="0" w:type="dxa"/>
            </w:tcMar>
            <w:vAlign w:val="center"/>
          </w:tcPr>
          <w:p>
            <w:pPr>
              <w:pStyle w:val="TableContents"/>
              <w:bidi w:val="0"/>
              <w:spacing w:before="0" w:after="283"/>
              <w:ind w:left="0" w:right="0" w:firstLine="2160"/>
              <w:jc w:val="center"/>
              <w:rPr>
                <w:rFonts w:ascii="Times New Roman" w:hAnsi="Times New Roman"/>
                <w:color w:val="000000"/>
                <w:sz w:val="24"/>
              </w:rPr>
            </w:pPr>
            <w:r>
              <w:rPr>
                <w:rFonts w:ascii="Times New Roman" w:hAnsi="Times New Roman"/>
                <w:color w:val="000000"/>
                <w:sz w:val="24"/>
              </w:rPr>
              <w:t>Mainz, 25. Feb 2026</w:t>
            </w:r>
          </w:p>
        </w:tc>
        <w:tc>
          <w:tcPr>
            <w:tcW w:w="21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Özlem Türeci</w:t>
            </w:r>
          </w:p>
        </w:tc>
        <w:tc>
          <w:tcPr>
            <w:tcW w:w="22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2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Özlem Türeci</w:t>
            </w:r>
          </w:p>
        </w:tc>
        <w:tc>
          <w:tcPr>
            <w:tcW w:w="22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File No. 974 /2026 D.</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 hereby certify, that the above signature are the true signature, subscribed in my presence, of</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Dr. Özlem Türeci,</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born [***],</w:t>
      </w:r>
    </w:p>
    <w:p>
      <w:pPr>
        <w:pStyle w:val="TextBody"/>
        <w:bidi w:val="0"/>
        <w:jc w:val="left"/>
        <w:rPr>
          <w:rFonts w:ascii="Times New Roman" w:hAnsi="Times New Roman"/>
          <w:sz w:val="20"/>
        </w:rPr>
      </w:pPr>
      <w:r>
        <w:rPr>
          <w:rFonts w:ascii="Times New Roman" w:hAnsi="Times New Roman"/>
          <w:color w:val="000000"/>
          <w:sz w:val="24"/>
        </w:rPr>
        <w:t>business adress: 55131 Mainz, An der Goldgrube 12</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 personally known to me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Upon my inspection of today of the commercial register, I certify that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BioNTech SE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is registered at the Municipal Court of Mainz - Commercial Register - under No. HRB 48720 and that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Dr. Özlem Türeci, born [***],</w:t>
      </w:r>
    </w:p>
    <w:p>
      <w:pPr>
        <w:pStyle w:val="TextBody"/>
        <w:bidi w:val="0"/>
        <w:jc w:val="left"/>
        <w:rPr>
          <w:rFonts w:ascii="Times New Roman" w:hAnsi="Times New Roman"/>
          <w:color w:val="000000"/>
          <w:sz w:val="24"/>
        </w:rPr>
      </w:pPr>
      <w:r>
        <w:rPr>
          <w:rFonts w:ascii="Times New Roman" w:hAnsi="Times New Roman"/>
          <w:color w:val="000000"/>
          <w:sz w:val="24"/>
        </w:rPr>
        <w:t>as this company's Management Board Member,</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are registered with the right to jointly act as this company' s legal representatives.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Mainz, 25th of February 2026</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[SEAL]</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/s/ Mascha Diefenbach</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Diefenbach, Notary public</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26D0974.docx</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APOSTILLE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(Convention de La Haye du 5 octobre 1961)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1. Country: Federal Republic of Germany</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This public document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2. has been signed by Mascha Diefenbach</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3. acting in the capacity of notary public</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4. bears the seal/stamp of Mascha Diefenbach - Notarin in Mainz [SEAL]</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Certified</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5. at Mainz 6. the 27.02.2026</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7. by the President of the District Court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8. No 256/2026</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46"/>
        <w:gridCol w:w="2191"/>
        <w:gridCol w:w="191"/>
      </w:tblGrid>
      <w:tr>
        <w:trPr/>
        <w:tc>
          <w:tcPr>
            <w:tcW w:w="1846"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9. Stamp: [SEAL]</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10. Signature: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Thomas Bergmann</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Thomas Bergmann</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44235" TargetMode="External"/><Relationship Id="rId3" Type="http://schemas.openxmlformats.org/officeDocument/2006/relationships/hyperlink" Target="http://www.sec.gov/cgi-bin/browse-edgar?action=getcompany&amp;CIK=000177698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1531</Words>
  <Characters>8313</Characters>
  <CharactersWithSpaces>9790</CharactersWithSpaces>
  <Paragraphs>224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