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293" w:lineRule="exact"/>
        <w:rPr>
          <w:sz w:val="24"/>
          <w:szCs w:val="24"/>
          <w:color w:val="auto"/>
        </w:rPr>
      </w:pPr>
    </w:p>
    <w:p>
      <w:pPr>
        <w:jc w:val="center"/>
        <w:ind w:right="-1120"/>
        <w:spacing w:after="0" w:line="150" w:lineRule="exact"/>
        <w:rPr>
          <w:sz w:val="20"/>
          <w:szCs w:val="20"/>
          <w:color w:val="auto"/>
        </w:rPr>
      </w:pPr>
      <w:r>
        <w:rPr>
          <w:rFonts w:ascii="Times New Roman" w:cs="Times New Roman" w:eastAsia="Times New Roman" w:hAnsi="Times New Roman"/>
          <w:sz w:val="13"/>
          <w:szCs w:val="13"/>
          <w:b w:val="1"/>
          <w:bCs w:val="1"/>
          <w:color w:val="auto"/>
        </w:rPr>
        <w:t>REPORT OF FOREIGN PRIVATE ISSUER PURSUANT TO RULE 13a</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 OR 15d</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w:t>
      </w:r>
    </w:p>
    <w:p>
      <w:pPr>
        <w:spacing w:after="0" w:line="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UNDER THE SECURITIES EXCHANGE ACT OF 1934</w:t>
      </w:r>
    </w:p>
    <w:p>
      <w:pPr>
        <w:spacing w:after="0" w:line="14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3"/>
          <w:szCs w:val="13"/>
          <w:b w:val="1"/>
          <w:bCs w:val="1"/>
          <w:color w:val="auto"/>
        </w:rPr>
        <w:t>FOR THE MONTH OF OCTOBER 2024</w:t>
      </w:r>
    </w:p>
    <w:p>
      <w:pPr>
        <w:spacing w:after="0" w:line="3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COMMISSION FILE NUMBER 001-39081</w:t>
      </w:r>
    </w:p>
    <w:p>
      <w:pPr>
        <w:spacing w:after="0" w:line="1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BioNTech SE</w:t>
      </w:r>
    </w:p>
    <w:p>
      <w:pPr>
        <w:spacing w:after="0" w:line="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333333"/>
        </w:rPr>
        <w:t>(Translation of registrant’s name into English)</w:t>
      </w:r>
    </w:p>
    <w:p>
      <w:pPr>
        <w:spacing w:after="0" w:line="13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3"/>
          <w:szCs w:val="13"/>
          <w:b w:val="1"/>
          <w:bCs w:val="1"/>
          <w:color w:val="auto"/>
        </w:rPr>
        <w:t>An der Goldgrube 12</w:t>
      </w:r>
    </w:p>
    <w:p>
      <w:pPr>
        <w:spacing w:after="0" w:line="24"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D-55131 Mainz</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Germany</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+49 6131-9084-0</w:t>
      </w:r>
    </w:p>
    <w:p>
      <w:pPr>
        <w:spacing w:after="0" w:line="1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color w:val="333333"/>
        </w:rPr>
        <w:t>(Address of principal executive offices)</w:t>
      </w:r>
    </w:p>
    <w:p>
      <w:pPr>
        <w:spacing w:after="0" w:line="27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or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p>
    <w:p>
      <w:pPr>
        <w:spacing w:after="0" w:line="1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101(b)(1):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101(b)(7): </w:t>
      </w:r>
      <w:r>
        <w:rPr>
          <w:rFonts w:ascii="MS PGothic" w:cs="MS PGothic" w:eastAsia="MS PGothic" w:hAnsi="MS PGothic"/>
          <w:sz w:val="14"/>
          <w:szCs w:val="14"/>
          <w:color w:val="auto"/>
        </w:rPr>
        <w:t>☐</w:t>
      </w:r>
    </w:p>
    <w:p>
      <w:pPr>
        <w:sectPr>
          <w:pgSz w:w="11900" w:h="16838" w:orient="portrait"/>
          <w:cols w:equalWidth="0" w:num="1">
            <w:col w:w="10159"/>
          </w:cols>
          <w:pgMar w:left="300" w:top="100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INCLUDED AS PART OF THIS FORM 6-K</w:t>
      </w:r>
    </w:p>
    <w:p>
      <w:pPr>
        <w:spacing w:after="0" w:line="17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On October 1, 2024, BioNTech SE (the “Company”), alongside its artificial intelligence (“AI”) subsidiary InstaDeep Ltd., is presenting an overview of its AI approach during an edition of the Company’s Innovation Series, AI Day. The press release and presentation are attached as Exhibits 99.1 and 99.2, respectively.</w:t>
      </w:r>
    </w:p>
    <w:p>
      <w:pPr>
        <w:sectPr>
          <w:pgSz w:w="11900" w:h="16838" w:orient="portrait"/>
          <w:cols w:equalWidth="0" w:num="1">
            <w:col w:w="11300"/>
          </w:cols>
          <w:pgMar w:left="300" w:top="776" w:right="299" w:bottom="1440" w:gutter="0" w:footer="0" w:header="0"/>
        </w:sectPr>
      </w:pPr>
    </w:p>
    <w:bookmarkStart w:id="2" w:name="page3"/>
    <w:bookmarkEnd w:id="2"/>
    <w:p>
      <w:pPr>
        <w:ind w:left="52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Pursuant to the requirements of the Exchange Act, the registrant has duly caused this report to be signed on its behalf by the undersigned, thereunto duly authorized.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BioNTech SE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Jens Holstein</w:t>
            </w:r>
          </w:p>
        </w:tc>
        <w:tc>
          <w:tcPr>
            <w:tcW w:w="10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By:</w:t>
            </w: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Dr. Sierk Poetting</w:t>
            </w:r>
          </w:p>
        </w:tc>
      </w:tr>
      <w:tr>
        <w:trPr>
          <w:trHeight w:val="195"/>
        </w:trPr>
        <w:tc>
          <w:tcPr>
            <w:tcW w:w="520" w:type="dxa"/>
            <w:vAlign w:val="bottom"/>
          </w:tcPr>
          <w:p>
            <w:pPr>
              <w:spacing w:after="0"/>
              <w:rPr>
                <w:sz w:val="17"/>
                <w:szCs w:val="17"/>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Jens Holstein</w:t>
            </w:r>
          </w:p>
        </w:tc>
        <w:tc>
          <w:tcPr>
            <w:tcW w:w="1080" w:type="dxa"/>
            <w:vAlign w:val="bottom"/>
          </w:tcPr>
          <w:p>
            <w:pPr>
              <w:spacing w:after="0"/>
              <w:rPr>
                <w:sz w:val="17"/>
                <w:szCs w:val="17"/>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Dr. Sierk Poetting</w:t>
            </w:r>
          </w:p>
        </w:tc>
      </w:tr>
      <w:tr>
        <w:trPr>
          <w:trHeight w:val="216"/>
        </w:trPr>
        <w:tc>
          <w:tcPr>
            <w:tcW w:w="52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Financial Officer</w:t>
            </w:r>
          </w:p>
        </w:tc>
        <w:tc>
          <w:tcPr>
            <w:tcW w:w="1080" w:type="dxa"/>
            <w:vAlign w:val="bottom"/>
          </w:tcPr>
          <w:p>
            <w:pPr>
              <w:spacing w:after="0"/>
              <w:rPr>
                <w:sz w:val="18"/>
                <w:szCs w:val="18"/>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Operating Officer</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1, 2024</w:t>
      </w:r>
    </w:p>
    <w:p>
      <w:pPr>
        <w:sectPr>
          <w:pgSz w:w="11900" w:h="16838" w:orient="portrait"/>
          <w:cols w:equalWidth="0" w:num="1">
            <w:col w:w="10900"/>
          </w:cols>
          <w:pgMar w:left="300" w:top="776" w:right="6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60" w:type="dxa"/>
            <w:vAlign w:val="bottom"/>
            <w:gridSpan w:val="2"/>
          </w:tcPr>
          <w:p>
            <w:pPr>
              <w:ind w:left="254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469"/>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Description of Exhibit</w:t>
            </w:r>
          </w:p>
        </w:tc>
        <w:tc>
          <w:tcPr>
            <w:tcW w:w="3660" w:type="dxa"/>
            <w:vAlign w:val="bottom"/>
            <w:gridSpan w:val="2"/>
          </w:tcPr>
          <w:p>
            <w:pPr>
              <w:spacing w:after="0"/>
              <w:rPr>
                <w:sz w:val="24"/>
                <w:szCs w:val="24"/>
                <w:color w:val="auto"/>
              </w:rPr>
            </w:pPr>
          </w:p>
        </w:tc>
      </w:tr>
      <w:tr>
        <w:trPr>
          <w:trHeight w:val="349"/>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800" w:type="dxa"/>
            <w:vAlign w:val="bottom"/>
          </w:tcPr>
          <w:p>
            <w:pPr>
              <w:spacing w:after="0"/>
              <w:rPr>
                <w:sz w:val="24"/>
                <w:szCs w:val="24"/>
                <w:color w:val="auto"/>
              </w:rPr>
            </w:pPr>
          </w:p>
        </w:tc>
        <w:tc>
          <w:tcPr>
            <w:tcW w:w="496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BioNTech Highlights AI Capabilities and R&amp;D Use Cases at Inaugural AI Day</w:t>
            </w:r>
          </w:p>
        </w:tc>
      </w:tr>
      <w:tr>
        <w:trPr>
          <w:trHeight w:val="376"/>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99.2</w:t>
            </w:r>
          </w:p>
        </w:tc>
        <w:tc>
          <w:tcPr>
            <w:tcW w:w="800" w:type="dxa"/>
            <w:vAlign w:val="bottom"/>
          </w:tcPr>
          <w:p>
            <w:pPr>
              <w:spacing w:after="0"/>
              <w:rPr>
                <w:sz w:val="24"/>
                <w:szCs w:val="24"/>
                <w:color w:val="auto"/>
              </w:rPr>
            </w:pPr>
          </w:p>
        </w:tc>
        <w:tc>
          <w:tcPr>
            <w:tcW w:w="7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Presentation</w:t>
            </w:r>
          </w:p>
        </w:tc>
        <w:tc>
          <w:tcPr>
            <w:tcW w:w="3840" w:type="dxa"/>
            <w:vAlign w:val="bottom"/>
            <w:tcBorders>
              <w:top w:val="single" w:sz="8" w:color="0000FF"/>
            </w:tcBorders>
            <w:gridSpan w:val="2"/>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0159"/>
          </w:cols>
          <w:pgMar w:left="300" w:top="776" w:right="1440" w:bottom="1440" w:gutter="0" w:footer="0" w:header="0"/>
        </w:sectPr>
      </w:pPr>
    </w:p>
    <w:bookmarkStart w:id="4" w:name="page5"/>
    <w:bookmarkEnd w:id="4"/>
    <w:p>
      <w:pPr>
        <w:ind w:left="10560"/>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142875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8750" cy="154305"/>
                    </a:xfrm>
                    <a:prstGeom prst="rect">
                      <a:avLst/>
                    </a:prstGeom>
                    <a:noFill/>
                  </pic:spPr>
                </pic:pic>
              </a:graphicData>
            </a:graphic>
          </wp:anchor>
        </w:drawing>
      </w:r>
    </w:p>
    <w:p>
      <w:pPr>
        <w:sectPr>
          <w:pgSz w:w="11900" w:h="16838" w:orient="portrait"/>
          <w:cols w:equalWidth="0" w:num="1">
            <w:col w:w="11300"/>
          </w:cols>
          <w:pgMar w:left="300" w:top="17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BioNTech Highlights AI Capabilities and R&amp;D Use Cases at Inaugural AI Day</w:t>
      </w:r>
    </w:p>
    <w:p>
      <w:pPr>
        <w:spacing w:after="0" w:line="169" w:lineRule="exact"/>
        <w:rPr>
          <w:sz w:val="20"/>
          <w:szCs w:val="20"/>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Arial" w:cs="Arial" w:eastAsia="Arial" w:hAnsi="Arial"/>
          <w:sz w:val="12"/>
          <w:szCs w:val="12"/>
          <w:i w:val="1"/>
          <w:iCs w:val="1"/>
          <w:color w:val="auto"/>
        </w:rPr>
        <w:t>Provides updates on BioNTech’s strategy to scale and deploy AI-capabilities across the immunotherapy pipeline</w:t>
      </w:r>
    </w:p>
    <w:p>
      <w:pPr>
        <w:spacing w:after="0" w:line="1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Arial" w:cs="Arial" w:eastAsia="Arial" w:hAnsi="Arial"/>
          <w:sz w:val="12"/>
          <w:szCs w:val="12"/>
          <w:i w:val="1"/>
          <w:iCs w:val="1"/>
          <w:color w:val="auto"/>
        </w:rPr>
        <w:t>Highlights InstaDeep’s new near exascale supercomputer, Kyber, with the aim of enabling BioNTech to compute at scale</w:t>
      </w:r>
    </w:p>
    <w:p>
      <w:pPr>
        <w:spacing w:after="0" w:line="2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3"/>
          <w:szCs w:val="13"/>
          <w:color w:val="auto"/>
        </w:rPr>
      </w:pPr>
      <w:r>
        <w:rPr>
          <w:rFonts w:ascii="Arial" w:cs="Arial" w:eastAsia="Arial" w:hAnsi="Arial"/>
          <w:sz w:val="12"/>
          <w:szCs w:val="12"/>
          <w:i w:val="1"/>
          <w:iCs w:val="1"/>
          <w:color w:val="auto"/>
        </w:rPr>
        <w:t>Unveils novel AI Bayesian Flow Network (“BFN”) models for protein sequence generation</w:t>
      </w:r>
    </w:p>
    <w:p>
      <w:pPr>
        <w:spacing w:after="0" w:line="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Arial" w:cs="Arial" w:eastAsia="Arial" w:hAnsi="Arial"/>
          <w:sz w:val="12"/>
          <w:szCs w:val="12"/>
          <w:i w:val="1"/>
          <w:iCs w:val="1"/>
          <w:color w:val="auto"/>
        </w:rPr>
        <w:t>Highlights progress in deploying AI across BioNTech’s immunotherapy pipeline, including in immunohistochemistry, DNA/RNA sequencing, proteomics, protein design, and lab functional validation</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LONDON, United Kingdom, October 1, 2024 (GLOBE NEWSWIRE) </w:t>
      </w:r>
      <w:r>
        <w:rPr>
          <w:rFonts w:ascii="Arial" w:cs="Arial" w:eastAsia="Arial" w:hAnsi="Arial"/>
          <w:sz w:val="12"/>
          <w:szCs w:val="12"/>
          <w:color w:val="auto"/>
        </w:rPr>
        <w:t>-- BioNTech SE (Nasdaq: BNTX, “BioNTech” or “the Company”), alongside its artificial intelligence (“AI”) subsidiary InstaDeep Ltd.</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(“InstaDeep”), today presents an overview of its AI approach during an edition of the Company’s Innovation Series, AI Day.</w:t>
      </w:r>
    </w:p>
    <w:p>
      <w:pPr>
        <w:spacing w:after="0" w:line="156" w:lineRule="exact"/>
        <w:rPr>
          <w:sz w:val="20"/>
          <w:szCs w:val="20"/>
          <w:color w:val="auto"/>
        </w:rPr>
      </w:pPr>
    </w:p>
    <w:p>
      <w:pPr>
        <w:jc w:val="both"/>
        <w:ind w:right="20"/>
        <w:spacing w:after="0" w:line="284" w:lineRule="auto"/>
        <w:rPr>
          <w:sz w:val="20"/>
          <w:szCs w:val="20"/>
          <w:color w:val="auto"/>
        </w:rPr>
      </w:pPr>
      <w:r>
        <w:rPr>
          <w:rFonts w:ascii="Arial" w:cs="Arial" w:eastAsia="Arial" w:hAnsi="Arial"/>
          <w:sz w:val="12"/>
          <w:szCs w:val="12"/>
          <w:color w:val="auto"/>
        </w:rPr>
        <w:t xml:space="preserve">“At BioNTech, we are at the forefront of integrating advanced AI to revolutionize individualized medicine. With our in-house AI specialist, InstaDeep, we are pioneering the use of artificial intelligence to develop personalized vaccines and targeted therapies,” said </w:t>
      </w:r>
      <w:r>
        <w:rPr>
          <w:rFonts w:ascii="Arial" w:cs="Arial" w:eastAsia="Arial" w:hAnsi="Arial"/>
          <w:sz w:val="12"/>
          <w:szCs w:val="12"/>
          <w:b w:val="1"/>
          <w:bCs w:val="1"/>
          <w:color w:val="auto"/>
        </w:rPr>
        <w:t>Prof. Ugur Sahin, M.D., CEO and Co-Founder of BioNTech</w:t>
      </w:r>
      <w:r>
        <w:rPr>
          <w:rFonts w:ascii="Arial" w:cs="Arial" w:eastAsia="Arial" w:hAnsi="Arial"/>
          <w:sz w:val="12"/>
          <w:szCs w:val="12"/>
          <w:color w:val="auto"/>
        </w:rPr>
        <w:t>. “By introducing state-of-the-art technologies such as our BFN generative protein model and incorporating AI capabilities across our immunotherapy pipeline, we are unlocking the full potential of AI to deliver innovative vaccines and cancer treatments to patients worldwide”.</w:t>
      </w:r>
    </w:p>
    <w:p>
      <w:pPr>
        <w:spacing w:after="0" w:line="122"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 xml:space="preserve">“BioNTech and InstaDeep, as a biotechnology powerhouse with a dedicated AI unit, are uniquely positioned at the intersection of biotechnology and AI,” said </w:t>
      </w:r>
      <w:r>
        <w:rPr>
          <w:rFonts w:ascii="Arial" w:cs="Arial" w:eastAsia="Arial" w:hAnsi="Arial"/>
          <w:sz w:val="12"/>
          <w:szCs w:val="12"/>
          <w:b w:val="1"/>
          <w:bCs w:val="1"/>
          <w:color w:val="auto"/>
        </w:rPr>
        <w:t>Karim Beguir, CEO and Co-Founder of InstaDeep, a</w:t>
      </w:r>
      <w:r>
        <w:rPr>
          <w:rFonts w:ascii="Arial" w:cs="Arial" w:eastAsia="Arial" w:hAnsi="Arial"/>
          <w:sz w:val="12"/>
          <w:szCs w:val="12"/>
          <w:color w:val="auto"/>
        </w:rPr>
        <w:t xml:space="preserve"> </w:t>
      </w:r>
      <w:r>
        <w:rPr>
          <w:rFonts w:ascii="Arial" w:cs="Arial" w:eastAsia="Arial" w:hAnsi="Arial"/>
          <w:sz w:val="12"/>
          <w:szCs w:val="12"/>
          <w:b w:val="1"/>
          <w:bCs w:val="1"/>
          <w:color w:val="auto"/>
        </w:rPr>
        <w:t>BioNTech company</w:t>
      </w:r>
      <w:r>
        <w:rPr>
          <w:rFonts w:ascii="Arial" w:cs="Arial" w:eastAsia="Arial" w:hAnsi="Arial"/>
          <w:sz w:val="12"/>
          <w:szCs w:val="12"/>
          <w:color w:val="auto"/>
        </w:rPr>
        <w:t>. “Working closely together and combining expertise from AI research, high performance computing, software and biology is accelerating innovation. A key focus of this collaboration is our</w:t>
      </w:r>
      <w:r>
        <w:rPr>
          <w:rFonts w:ascii="Arial" w:cs="Arial" w:eastAsia="Arial" w:hAnsi="Arial"/>
          <w:sz w:val="12"/>
          <w:szCs w:val="12"/>
          <w:b w:val="1"/>
          <w:bCs w:val="1"/>
          <w:color w:val="auto"/>
        </w:rPr>
        <w:t xml:space="preserve"> </w:t>
      </w:r>
      <w:r>
        <w:rPr>
          <w:rFonts w:ascii="Arial" w:cs="Arial" w:eastAsia="Arial" w:hAnsi="Arial"/>
          <w:sz w:val="12"/>
          <w:szCs w:val="12"/>
          <w:color w:val="auto"/>
        </w:rPr>
        <w:t>DeepChain™ multiomics design platform. DeepChain™ is now open for external partnerships, after successful application to several projects, including the mRNA-encoded antibody RiboMab™ platform. We are excited to harness breakthroughs in both AI and biotechnology synergistically.’’</w:t>
      </w:r>
    </w:p>
    <w:p>
      <w:pPr>
        <w:spacing w:after="0" w:line="139" w:lineRule="exact"/>
        <w:rPr>
          <w:sz w:val="20"/>
          <w:szCs w:val="20"/>
          <w:color w:val="auto"/>
        </w:rPr>
      </w:pPr>
    </w:p>
    <w:p>
      <w:pPr>
        <w:jc w:val="both"/>
        <w:spacing w:after="0" w:line="301" w:lineRule="auto"/>
        <w:rPr>
          <w:sz w:val="20"/>
          <w:szCs w:val="20"/>
          <w:color w:val="auto"/>
        </w:rPr>
      </w:pPr>
      <w:r>
        <w:rPr>
          <w:rFonts w:ascii="Arial" w:cs="Arial" w:eastAsia="Arial" w:hAnsi="Arial"/>
          <w:sz w:val="12"/>
          <w:szCs w:val="12"/>
          <w:color w:val="auto"/>
        </w:rPr>
        <w:t>As part of the event, BioNTech will showcase the Company’s approach to AI capability scaling and deployment across BioNTech’s pipeline. These updates will cover the introduction of a new near exascale supercomputer, the launch of a novel BFN generative model, and multiple updates on the deployment of AI across BioNTech’s immunotherapy pipeline.</w:t>
      </w:r>
    </w:p>
    <w:p>
      <w:pPr>
        <w:spacing w:after="0" w:line="113" w:lineRule="exact"/>
        <w:rPr>
          <w:sz w:val="20"/>
          <w:szCs w:val="20"/>
          <w:color w:val="auto"/>
        </w:rPr>
      </w:pPr>
    </w:p>
    <w:p>
      <w:pPr>
        <w:jc w:val="both"/>
        <w:spacing w:after="0" w:line="301" w:lineRule="auto"/>
        <w:rPr>
          <w:sz w:val="20"/>
          <w:szCs w:val="20"/>
          <w:color w:val="auto"/>
        </w:rPr>
      </w:pPr>
      <w:r>
        <w:rPr>
          <w:rFonts w:ascii="Arial" w:cs="Arial" w:eastAsia="Arial" w:hAnsi="Arial"/>
          <w:sz w:val="12"/>
          <w:szCs w:val="12"/>
          <w:color w:val="auto"/>
        </w:rPr>
        <w:t>The live webcast of the event will be available via this link and will begin at 3:00 pm CEST (2:00 pm BST). A replay of the webcast will be available shortly after the event’s conclusion and archived on BioNTech’s website for one year.</w:t>
      </w:r>
    </w:p>
    <w:p>
      <w:pPr>
        <w:spacing w:after="0" w:line="2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BioNTech</w:t>
      </w:r>
    </w:p>
    <w:p>
      <w:pPr>
        <w:spacing w:after="0" w:line="18" w:lineRule="exact"/>
        <w:rPr>
          <w:sz w:val="20"/>
          <w:szCs w:val="20"/>
          <w:color w:val="auto"/>
        </w:rPr>
      </w:pPr>
    </w:p>
    <w:p>
      <w:pPr>
        <w:jc w:val="both"/>
        <w:ind w:right="20"/>
        <w:spacing w:after="0" w:line="265" w:lineRule="auto"/>
        <w:rPr>
          <w:sz w:val="20"/>
          <w:szCs w:val="20"/>
          <w:color w:val="auto"/>
        </w:rPr>
      </w:pPr>
      <w:r>
        <w:rPr>
          <w:rFonts w:ascii="Arial" w:cs="Arial" w:eastAsia="Arial" w:hAnsi="Arial"/>
          <w:sz w:val="12"/>
          <w:szCs w:val="12"/>
          <w:color w:val="auto"/>
        </w:rPr>
        <w:t>Biopharmaceutical New Technologies (BioNTech) is a global next generation immunotherapy company pioneering novel therapies for cancer and other serious diseases. BioNTech exploits a wide array of computational discovery and therapeutic drug platforms for the rapid development of novel biopharmaceuticals. Its broad portfolio of oncology product candidates includes individualized and off-the-shelf mRNA-based therapies, innovative chimeric antigen receptor (CAR) T cells, several protein-based therapeutics, including bispecific immune checkpoint modulators, targeted cancer antibodies and antibody-drug conjugate (ADC) therapeutics, as well as small molecules. Based on its deep expertise in mRNA vaccine development and in-house manufacturing capabilities, BioNTech and its collaborators are developing multiple mRNA vaccine candidates for a range of infectious diseases alongside its diverse oncology pipeline. BioNTech has established a broad set of relationships with</w:t>
      </w:r>
    </w:p>
    <w:p>
      <w:pPr>
        <w:sectPr>
          <w:pgSz w:w="11900" w:h="16838" w:orient="portrait"/>
          <w:cols w:equalWidth="0" w:num="1">
            <w:col w:w="11300"/>
          </w:cols>
          <w:pgMar w:left="300" w:top="170" w:right="299" w:bottom="1440" w:gutter="0" w:footer="0" w:header="0"/>
          <w:type w:val="continuous"/>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r>
    </w:p>
    <w:p>
      <w:pPr>
        <w:jc w:val="both"/>
        <w:spacing w:after="0" w:line="301" w:lineRule="auto"/>
        <w:rPr>
          <w:sz w:val="20"/>
          <w:szCs w:val="20"/>
          <w:color w:val="auto"/>
        </w:rPr>
      </w:pPr>
      <w:r>
        <w:rPr>
          <w:rFonts w:ascii="Arial" w:cs="Arial" w:eastAsia="Arial" w:hAnsi="Arial"/>
          <w:sz w:val="12"/>
          <w:szCs w:val="12"/>
          <w:color w:val="auto"/>
        </w:rPr>
        <w:t>multiple global and specialized pharmaceutical collaborators, including Biotheus, DualityBio, Fosun Pharma, Genentech, a member of the Roche Group, Genevant, Genmab, MediLink, OncoC4, Pfizer and Regeneron.</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For more information, please visit www.biontech.com.</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27"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as amended, including, but not limited to, statements concerning the impact of, and expectations regarding, BioNTech’s AI capabilities and future research and development activities.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 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competition from other product candidates BioNTech’s and its counterparties’ ability to manage and source necessary energy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BioNTech’s ability to manage its development; regulatory developments in the United States and other countries; BioNTech’s ability to effectively scale its production capabilities and manufacture its products and product candidates; risks relating to the global financial system and markets; and other factors not known to BioNTech at this time.</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You should review the risks and uncertainties described under the heading “Risk Factors” in BioNTech’s Report on Form 6-K for the period ended June 30, 2024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Relations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Michael Horowicz</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Investors@biontech.de</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Relations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Jasmina Alatovic</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+49 (0)6131 9084 1513</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Media@biontech.de</w:t>
      </w:r>
    </w:p>
    <w:p>
      <w:pPr>
        <w:sectPr>
          <w:pgSz w:w="11900" w:h="16838" w:orient="portrait"/>
          <w:cols w:equalWidth="0" w:num="1">
            <w:col w:w="11300"/>
          </w:cols>
          <w:pgMar w:left="300" w:top="1440" w:right="299"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2024-10-01T07:17:48Z</dcterms:created>
  <dcterms:modified xsi:type="dcterms:W3CDTF">2024-10-01T07:17:48Z</dcterms:modified>
</cp:coreProperties>
</file>