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pPr>
      <w:r>
        <w:rPr>
          <w:rFonts w:ascii="Times New Roman;serif" w:hAnsi="Times New Roman;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40"/>
        </w:rPr>
        <w:br/>
      </w:r>
      <w:r>
        <w:rPr>
          <w:rFonts w:ascii="Times New Roman;serif" w:hAnsi="Times New Roman;serif"/>
          <w:b/>
          <w:color w:val="000000"/>
          <w:sz w:val="40"/>
        </w:rPr>
        <w:t>FORM 6-K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 THE MONTH OF SEPTEMBER 2026</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COMMISSION FILE NUMBER 001-39081 </w:t>
      </w:r>
    </w:p>
    <w:p>
      <w:pPr>
        <w:pStyle w:val="TextBody"/>
        <w:bidi w:val="0"/>
        <w:spacing w:lineRule="auto" w:line="288" w:before="0" w:after="240"/>
        <w:jc w:val="center"/>
        <w:rPr/>
      </w:pPr>
      <w:r>
        <w:rPr>
          <w:rFonts w:ascii="Times New Roman;serif" w:hAnsi="Times New Roman;serif"/>
          <w:b/>
          <w:color w:val="000000"/>
          <w:sz w:val="40"/>
        </w:rPr>
        <w:t>BioNTech SE</w:t>
        <w:br/>
      </w:r>
      <w:r>
        <w:rPr>
          <w:rFonts w:ascii="Times New Roman;serif" w:hAnsi="Times New Roman;serif"/>
          <w:b w:val="false"/>
          <w:color w:val="333333"/>
          <w:sz w:val="20"/>
        </w:rPr>
        <w:t>(Translation of registrant’s name into English)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 der Goldgrube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D-55131 Mainz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Germany</w:t>
      </w:r>
    </w:p>
    <w:p>
      <w:pPr>
        <w:pStyle w:val="TextBody"/>
        <w:bidi w:val="0"/>
        <w:spacing w:lineRule="auto" w:line="288" w:before="0" w:after="240"/>
        <w:jc w:val="center"/>
        <w:rPr/>
      </w:pPr>
      <w:r>
        <w:rPr>
          <w:rFonts w:ascii="Times New Roman;serif" w:hAnsi="Times New Roman;serif"/>
          <w:b/>
          <w:color w:val="000000"/>
          <w:sz w:val="22"/>
        </w:rPr>
        <w:t>+49 6131-9084-0</w:t>
        <w:br/>
      </w:r>
      <w:r>
        <w:rPr>
          <w:rFonts w:ascii="Times New Roman;serif" w:hAnsi="Times New Roman;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erif" w:hAnsi="Times New Roman;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INCLUDED AS PART OF THIS FORM 6-K</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BioNTech SE Announces Appointment of New Independent Auditor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MAINZ, Germany, 18. September 2026</w:t>
      </w:r>
      <w:r>
        <w:rPr>
          <w:color w:val="000000"/>
        </w:rPr>
        <w:t xml:space="preserve"> – </w:t>
      </w:r>
      <w:r>
        <w:rPr>
          <w:rFonts w:ascii="Times New Roman;serif" w:hAnsi="Times New Roman;serif"/>
          <w:b w:val="false"/>
          <w:color w:val="000000"/>
          <w:sz w:val="24"/>
        </w:rPr>
        <w:t xml:space="preserve">BioNTech SE (Nasdaq: BNTX, “BioNTech” or the “Company”) today announced that the Company’s Supervisory Board has approved the appointment of </w:t>
      </w:r>
      <w:r>
        <w:rPr>
          <w:rFonts w:ascii="Times New Roman;serif" w:hAnsi="Times New Roman;serif"/>
          <w:b/>
          <w:color w:val="000000"/>
          <w:sz w:val="24"/>
        </w:rPr>
        <w:t>KPMG AG Wirtschaftsprüfungsgesellschaft</w:t>
      </w:r>
      <w:r>
        <w:rPr>
          <w:color w:val="000000"/>
        </w:rPr>
        <w:t xml:space="preserve"> </w:t>
      </w:r>
      <w:r>
        <w:rPr>
          <w:rFonts w:ascii="Times New Roman;serif" w:hAnsi="Times New Roman;serif"/>
          <w:b w:val="false"/>
          <w:color w:val="000000"/>
          <w:sz w:val="24"/>
        </w:rPr>
        <w:t>(“KPMG”) as BioNTech’s independent auditor for the financial year ending December 31, 2027, subject to election by the Company’s shareholders at the upcoming Annual General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appointment follows a comprehensive and competitive audit tender process overseen by the Audit Committee of the Supervisory Board. Following a detailed evaluation of the participating firms against predefined selection criteria, the Audit Committee unanimously recommended the appointment of KPMG as BioNTech’s new independent auditor to the Supervisory Board. The Supervisory Board subsequently approved the recommendation and will propose the appointment to the shareholders for election at the Company’s upcoming Annual General Meeting.</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While BioNTech is not subject to mandatory auditor rotation requirements, the Supervisory Board and its Audit Committee believe that periodically reassessing the Company’s external audit arrangements through a competitive selection process is consistent with good governance practices.</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471" w:type="dxa"/>
        <w:jc w:val="center"/>
        <w:tblInd w:w="0" w:type="dxa"/>
        <w:tblLayout w:type="fixed"/>
        <w:tblCellMar>
          <w:top w:w="28" w:type="dxa"/>
          <w:left w:w="28" w:type="dxa"/>
          <w:bottom w:w="28" w:type="dxa"/>
          <w:right w:w="28" w:type="dxa"/>
        </w:tblCellMar>
      </w:tblPr>
      <w:tblGrid>
        <w:gridCol w:w="280"/>
        <w:gridCol w:w="246"/>
        <w:gridCol w:w="246"/>
        <w:gridCol w:w="980"/>
        <w:gridCol w:w="980"/>
        <w:gridCol w:w="994"/>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2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Operating Officer</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September 18, 2026</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369</Words>
  <Characters>2153</Characters>
  <CharactersWithSpaces>2502</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