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2564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25640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Jimenez Kylie</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380" w:type="dxa"/>
            <w:vAlign w:val="bottom"/>
            <w:tcBorders>
              <w:top w:val="single" w:sz="8" w:color="0000EE"/>
              <w:bottom w:val="single" w:sz="8" w:color="9A9A9A"/>
            </w:tcBorders>
          </w:tcPr>
          <w:p>
            <w:pPr>
              <w:spacing w:after="0"/>
              <w:rPr>
                <w:sz w:val="17"/>
                <w:szCs w:val="17"/>
                <w:color w:val="auto"/>
              </w:rPr>
            </w:pPr>
          </w:p>
        </w:tc>
        <w:tc>
          <w:tcPr>
            <w:tcW w:w="168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03/18/2026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BioNTech SE</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BNTX</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28"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105"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860" w:type="dxa"/>
            <w:vAlign w:val="bottom"/>
          </w:tcPr>
          <w:p>
            <w:pPr>
              <w:ind w:left="40"/>
              <w:spacing w:after="0"/>
              <w:rPr>
                <w:sz w:val="20"/>
                <w:szCs w:val="20"/>
                <w:color w:val="auto"/>
              </w:rPr>
            </w:pPr>
            <w:r>
              <w:rPr>
                <w:rFonts w:ascii="Arial" w:cs="Arial" w:eastAsia="Arial" w:hAnsi="Arial"/>
                <w:sz w:val="15"/>
                <w:szCs w:val="15"/>
                <w:color w:val="auto"/>
              </w:rPr>
              <w:t>(Last)</w:t>
            </w:r>
          </w:p>
        </w:tc>
        <w:tc>
          <w:tcPr>
            <w:tcW w:w="1020" w:type="dxa"/>
            <w:vAlign w:val="bottom"/>
          </w:tcPr>
          <w:p>
            <w:pPr>
              <w:ind w:left="200"/>
              <w:spacing w:after="0"/>
              <w:rPr>
                <w:sz w:val="20"/>
                <w:szCs w:val="20"/>
                <w:color w:val="auto"/>
              </w:rPr>
            </w:pPr>
            <w:r>
              <w:rPr>
                <w:rFonts w:ascii="Arial" w:cs="Arial" w:eastAsia="Arial" w:hAnsi="Arial"/>
                <w:sz w:val="15"/>
                <w:szCs w:val="15"/>
                <w:color w:val="auto"/>
              </w:rPr>
              <w:t>(First)</w:t>
            </w:r>
          </w:p>
        </w:tc>
        <w:tc>
          <w:tcPr>
            <w:tcW w:w="1220" w:type="dxa"/>
            <w:vAlign w:val="bottom"/>
          </w:tcPr>
          <w:p>
            <w:pPr>
              <w:ind w:left="220"/>
              <w:spacing w:after="0"/>
              <w:rPr>
                <w:sz w:val="20"/>
                <w:szCs w:val="20"/>
                <w:color w:val="auto"/>
              </w:rPr>
            </w:pPr>
            <w:r>
              <w:rPr>
                <w:rFonts w:ascii="Arial" w:cs="Arial" w:eastAsia="Arial" w:hAnsi="Arial"/>
                <w:sz w:val="15"/>
                <w:szCs w:val="15"/>
                <w:color w:val="auto"/>
              </w:rPr>
              <w:t>(Middle)</w:t>
            </w:r>
          </w:p>
        </w:tc>
      </w:tr>
      <w:tr>
        <w:trPr>
          <w:trHeight w:val="310"/>
        </w:trPr>
        <w:tc>
          <w:tcPr>
            <w:tcW w:w="188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rPr>
              <w:t>C/O BIONTECH SE</w:t>
            </w:r>
          </w:p>
        </w:tc>
        <w:tc>
          <w:tcPr>
            <w:tcW w:w="1220" w:type="dxa"/>
            <w:vAlign w:val="bottom"/>
          </w:tcPr>
          <w:p>
            <w:pPr>
              <w:spacing w:after="0"/>
              <w:rPr>
                <w:sz w:val="24"/>
                <w:szCs w:val="24"/>
                <w:color w:val="auto"/>
              </w:rPr>
            </w:pPr>
          </w:p>
        </w:tc>
      </w:tr>
      <w:tr>
        <w:trPr>
          <w:trHeight w:val="300"/>
        </w:trPr>
        <w:tc>
          <w:tcPr>
            <w:tcW w:w="31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0000FF"/>
              </w:rPr>
              <w:t>AN DER GOLDGRUBE 12</w:t>
            </w:r>
          </w:p>
        </w:tc>
      </w:tr>
      <w:tr>
        <w:trPr>
          <w:trHeight w:val="177"/>
        </w:trPr>
        <w:tc>
          <w:tcPr>
            <w:tcW w:w="860" w:type="dxa"/>
            <w:vAlign w:val="bottom"/>
            <w:tcBorders>
              <w:bottom w:val="single" w:sz="8" w:color="9A9A9A"/>
            </w:tcBorders>
          </w:tcPr>
          <w:p>
            <w:pPr>
              <w:spacing w:after="0"/>
              <w:rPr>
                <w:sz w:val="15"/>
                <w:szCs w:val="15"/>
                <w:color w:val="auto"/>
              </w:rPr>
            </w:pPr>
          </w:p>
        </w:tc>
        <w:tc>
          <w:tcPr>
            <w:tcW w:w="1020" w:type="dxa"/>
            <w:vAlign w:val="bottom"/>
            <w:tcBorders>
              <w:bottom w:val="single" w:sz="8" w:color="9A9A9A"/>
            </w:tcBorders>
          </w:tcPr>
          <w:p>
            <w:pPr>
              <w:spacing w:after="0"/>
              <w:rPr>
                <w:sz w:val="15"/>
                <w:szCs w:val="15"/>
                <w:color w:val="auto"/>
              </w:rPr>
            </w:pPr>
          </w:p>
        </w:tc>
        <w:tc>
          <w:tcPr>
            <w:tcW w:w="1220" w:type="dxa"/>
            <w:vAlign w:val="bottom"/>
            <w:tcBorders>
              <w:bottom w:val="single" w:sz="8" w:color="9A9A9A"/>
            </w:tcBorders>
          </w:tcPr>
          <w:p>
            <w:pPr>
              <w:spacing w:after="0"/>
              <w:rPr>
                <w:sz w:val="15"/>
                <w:szCs w:val="15"/>
                <w:color w:val="auto"/>
              </w:rPr>
            </w:pPr>
          </w:p>
        </w:tc>
      </w:tr>
      <w:tr>
        <w:trPr>
          <w:trHeight w:val="303"/>
        </w:trPr>
        <w:tc>
          <w:tcPr>
            <w:tcW w:w="860" w:type="dxa"/>
            <w:vAlign w:val="bottom"/>
          </w:tcPr>
          <w:p>
            <w:pPr>
              <w:spacing w:after="0"/>
              <w:rPr>
                <w:sz w:val="20"/>
                <w:szCs w:val="20"/>
                <w:color w:val="auto"/>
              </w:rPr>
            </w:pPr>
            <w:r>
              <w:rPr>
                <w:rFonts w:ascii="Arial" w:cs="Arial" w:eastAsia="Arial" w:hAnsi="Arial"/>
                <w:sz w:val="15"/>
                <w:szCs w:val="15"/>
                <w:color w:val="auto"/>
              </w:rPr>
              <w:t>(Street)</w:t>
            </w:r>
          </w:p>
        </w:tc>
        <w:tc>
          <w:tcPr>
            <w:tcW w:w="102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65"/>
        </w:trPr>
        <w:tc>
          <w:tcPr>
            <w:tcW w:w="86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MAINZ</w:t>
            </w:r>
          </w:p>
        </w:tc>
        <w:tc>
          <w:tcPr>
            <w:tcW w:w="1020" w:type="dxa"/>
            <w:vAlign w:val="bottom"/>
          </w:tcPr>
          <w:p>
            <w:pPr>
              <w:ind w:left="200"/>
              <w:spacing w:after="0"/>
              <w:rPr>
                <w:sz w:val="20"/>
                <w:szCs w:val="20"/>
                <w:color w:val="auto"/>
              </w:rPr>
            </w:pPr>
            <w:r>
              <w:rPr>
                <w:rFonts w:ascii="Times New Roman" w:cs="Times New Roman" w:eastAsia="Times New Roman" w:hAnsi="Times New Roman"/>
                <w:sz w:val="20"/>
                <w:szCs w:val="20"/>
                <w:color w:val="0000FF"/>
              </w:rPr>
              <w:t>2M</w:t>
            </w:r>
          </w:p>
        </w:tc>
        <w:tc>
          <w:tcPr>
            <w:tcW w:w="1220" w:type="dxa"/>
            <w:vAlign w:val="bottom"/>
          </w:tcPr>
          <w:p>
            <w:pPr>
              <w:ind w:left="220"/>
              <w:spacing w:after="0"/>
              <w:rPr>
                <w:sz w:val="20"/>
                <w:szCs w:val="20"/>
                <w:color w:val="auto"/>
              </w:rPr>
            </w:pPr>
            <w:r>
              <w:rPr>
                <w:rFonts w:ascii="Times New Roman" w:cs="Times New Roman" w:eastAsia="Times New Roman" w:hAnsi="Times New Roman"/>
                <w:sz w:val="20"/>
                <w:szCs w:val="20"/>
                <w:color w:val="0000FF"/>
              </w:rPr>
              <w:t>D-55131</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5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38" w:lineRule="exact"/>
        <w:rPr>
          <w:sz w:val="24"/>
          <w:szCs w:val="24"/>
          <w:color w:val="auto"/>
        </w:rPr>
      </w:pPr>
    </w:p>
    <w:p>
      <w:pPr>
        <w:ind w:left="743"/>
        <w:spacing w:after="0"/>
        <w:rPr>
          <w:sz w:val="20"/>
          <w:szCs w:val="20"/>
          <w:color w:val="auto"/>
        </w:rPr>
      </w:pPr>
      <w:r>
        <w:rPr>
          <w:rFonts w:ascii="Times New Roman" w:cs="Times New Roman" w:eastAsia="Times New Roman" w:hAnsi="Times New Roman"/>
          <w:sz w:val="20"/>
          <w:szCs w:val="20"/>
          <w:color w:val="0000FF"/>
        </w:rPr>
        <w:t>Chief People Officer</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65"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200"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36"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6"/>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20"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3040" w:type="dxa"/>
            <w:vAlign w:val="bottom"/>
          </w:tcPr>
          <w:p>
            <w:pPr>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36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w w:val="97"/>
              </w:rPr>
              <w:t>Indirect Beneficial</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2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2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30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3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60"/>
        </w:trPr>
        <w:tc>
          <w:tcPr>
            <w:tcW w:w="304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240" w:type="dxa"/>
            <w:vAlign w:val="bottom"/>
            <w:vMerge w:val="restart"/>
          </w:tcPr>
          <w:p>
            <w:pPr>
              <w:ind w:left="60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3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3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98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30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2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240" w:type="dxa"/>
            <w:vAlign w:val="bottom"/>
          </w:tcPr>
          <w:p>
            <w:pPr>
              <w:ind w:left="60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008000"/>
        </w:rPr>
        <w:t>Exhibit List - Exhibit 24 - Power of Attorney</w:t>
      </w:r>
    </w:p>
    <w:p>
      <w:pPr>
        <w:spacing w:after="0" w:line="53"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No securities are beneficially owned.</w:t>
      </w:r>
    </w:p>
    <w:p>
      <w:pPr>
        <w:spacing w:after="0" w:line="62"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15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0000FF"/>
                <w:w w:val="96"/>
              </w:rPr>
              <w:t>/s/ Humza Bokhari,</w:t>
            </w:r>
          </w:p>
        </w:tc>
        <w:tc>
          <w:tcPr>
            <w:tcW w:w="660" w:type="dxa"/>
            <w:vAlign w:val="bottom"/>
          </w:tcPr>
          <w:p>
            <w:pPr>
              <w:spacing w:after="0"/>
              <w:rPr>
                <w:sz w:val="19"/>
                <w:szCs w:val="19"/>
                <w:color w:val="auto"/>
              </w:rPr>
            </w:pP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03/25/2026</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2180" w:type="dxa"/>
            <w:vAlign w:val="bottom"/>
            <w:gridSpan w:val="3"/>
            <w:vMerge w:val="restart"/>
          </w:tcPr>
          <w:p>
            <w:pPr>
              <w:spacing w:after="0" w:line="220" w:lineRule="exact"/>
              <w:rPr>
                <w:sz w:val="20"/>
                <w:szCs w:val="20"/>
                <w:color w:val="auto"/>
              </w:rPr>
            </w:pPr>
            <w:r>
              <w:rPr>
                <w:rFonts w:ascii="Times New Roman" w:cs="Times New Roman" w:eastAsia="Times New Roman" w:hAnsi="Times New Roman"/>
                <w:sz w:val="20"/>
                <w:szCs w:val="20"/>
                <w:color w:val="0000FF"/>
              </w:rPr>
              <w:t>Attorney-in-Fact</w:t>
            </w: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2180" w:type="dxa"/>
            <w:vAlign w:val="bottom"/>
            <w:gridSpan w:val="3"/>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3"/>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LIMITED POWER OF ATTORNEY</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FOR SEC REPORTING OBLIGATIONS</w:t>
      </w:r>
    </w:p>
    <w:p>
      <w:pPr>
        <w:spacing w:after="0" w:line="260" w:lineRule="exact"/>
        <w:rPr>
          <w:sz w:val="20"/>
          <w:szCs w:val="20"/>
          <w:color w:val="auto"/>
        </w:rPr>
      </w:pPr>
    </w:p>
    <w:p>
      <w:pPr>
        <w:ind w:right="2139"/>
        <w:spacing w:after="0" w:line="261" w:lineRule="auto"/>
        <w:rPr>
          <w:sz w:val="20"/>
          <w:szCs w:val="20"/>
          <w:color w:val="auto"/>
        </w:rPr>
      </w:pPr>
      <w:r>
        <w:rPr>
          <w:rFonts w:ascii="Times New Roman" w:cs="Times New Roman" w:eastAsia="Times New Roman" w:hAnsi="Times New Roman"/>
          <w:sz w:val="20"/>
          <w:szCs w:val="20"/>
          <w:color w:val="auto"/>
        </w:rPr>
        <w:t>Know all by these presents, that the undersigned hereby makes, constitutes and appoints each of Zoey Neuenschwander, Stefanie Lutze, and Humza Bokhari, signing singly and each acting individually, as the undersigned’s true and lawful attorney-in-fact with full power and authority as hereinafter described to:</w:t>
      </w:r>
    </w:p>
    <w:p>
      <w:pPr>
        <w:spacing w:after="0" w:line="230" w:lineRule="exact"/>
        <w:rPr>
          <w:sz w:val="20"/>
          <w:szCs w:val="20"/>
          <w:color w:val="auto"/>
        </w:rPr>
      </w:pPr>
    </w:p>
    <w:p>
      <w:pPr>
        <w:ind w:right="2079"/>
        <w:spacing w:after="0" w:line="261" w:lineRule="auto"/>
        <w:tabs>
          <w:tab w:leader="none" w:pos="283"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submit to the U.S. Securities and Exchange Commission (the “SEC”) a Form ID Application and/or Passphrase Update Application or any other application materials to enable the undersigned to gain or maintain access to the Electronic Data Gathering, Analysis and Retrieval system of the SEC;</w:t>
      </w:r>
    </w:p>
    <w:p>
      <w:pPr>
        <w:spacing w:after="0" w:line="230" w:lineRule="exact"/>
        <w:rPr>
          <w:rFonts w:ascii="Times New Roman" w:cs="Times New Roman" w:eastAsia="Times New Roman" w:hAnsi="Times New Roman"/>
          <w:sz w:val="20"/>
          <w:szCs w:val="20"/>
          <w:color w:val="auto"/>
        </w:rPr>
      </w:pPr>
    </w:p>
    <w:p>
      <w:pPr>
        <w:ind w:left="280" w:hanging="280"/>
        <w:spacing w:after="0"/>
        <w:tabs>
          <w:tab w:leader="none" w:pos="28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take any other action of any type whatsoever in connection with the foregoing which, in the</w:t>
      </w:r>
    </w:p>
    <w:p>
      <w:pPr>
        <w:spacing w:after="0" w:line="30" w:lineRule="exact"/>
        <w:rPr>
          <w:rFonts w:ascii="Times New Roman" w:cs="Times New Roman" w:eastAsia="Times New Roman" w:hAnsi="Times New Roman"/>
          <w:sz w:val="20"/>
          <w:szCs w:val="20"/>
          <w:color w:val="auto"/>
        </w:rPr>
      </w:pPr>
    </w:p>
    <w:p>
      <w:pPr>
        <w:ind w:right="2079"/>
        <w:spacing w:after="0" w:line="253"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opinion of such attorney-in-fact, may be of benefit to, in the best interest of, or legally required by, the undersigned, it being understood that the documents executed by such attorney-in-fact on behalf of the undersigned pursuant to this Limited Power of Attorney shall be in such form and shall contain such terms and conditions as such attorney-in-fact may approve in such attorney-in-fact’s discretion;</w:t>
      </w:r>
    </w:p>
    <w:p>
      <w:pPr>
        <w:spacing w:after="0" w:line="238" w:lineRule="exact"/>
        <w:rPr>
          <w:rFonts w:ascii="Times New Roman" w:cs="Times New Roman" w:eastAsia="Times New Roman" w:hAnsi="Times New Roman"/>
          <w:sz w:val="20"/>
          <w:szCs w:val="20"/>
          <w:color w:val="auto"/>
        </w:rPr>
      </w:pPr>
    </w:p>
    <w:p>
      <w:pPr>
        <w:ind w:right="2099"/>
        <w:spacing w:after="0" w:line="286" w:lineRule="auto"/>
        <w:tabs>
          <w:tab w:leader="none" w:pos="283" w:val="left"/>
        </w:tabs>
        <w:numPr>
          <w:ilvl w:val="0"/>
          <w:numId w:val="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execute for and on behalf of the undersigned, in the undersigned’s capacity as an officer and/or director of BioNTech SE (the “Company”), filings under Section 16 of the Securities Exchange Act of 1934, Forms 144, and Schedules 13D and 13G, each including any amendments thereto;</w:t>
      </w:r>
    </w:p>
    <w:p>
      <w:pPr>
        <w:spacing w:after="0" w:line="209" w:lineRule="exact"/>
        <w:rPr>
          <w:rFonts w:ascii="Times New Roman" w:cs="Times New Roman" w:eastAsia="Times New Roman" w:hAnsi="Times New Roman"/>
          <w:sz w:val="19"/>
          <w:szCs w:val="19"/>
          <w:color w:val="auto"/>
        </w:rPr>
      </w:pPr>
    </w:p>
    <w:p>
      <w:pPr>
        <w:jc w:val="both"/>
        <w:ind w:right="2159"/>
        <w:spacing w:after="0" w:line="261" w:lineRule="auto"/>
        <w:tabs>
          <w:tab w:leader="none" w:pos="283"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do and perform any and all acts for and on behalf of the undersigned which may be necessary or desirable to prepare, complete and execute any such filings, prepare, complete and execute any amendment or amendments thereto, and timely deliver and file such form with the SEC and any stock exchange or similar authority; and</w:t>
      </w:r>
    </w:p>
    <w:p>
      <w:pPr>
        <w:spacing w:after="0" w:line="230" w:lineRule="exact"/>
        <w:rPr>
          <w:rFonts w:ascii="Times New Roman" w:cs="Times New Roman" w:eastAsia="Times New Roman" w:hAnsi="Times New Roman"/>
          <w:sz w:val="20"/>
          <w:szCs w:val="20"/>
          <w:color w:val="auto"/>
        </w:rPr>
      </w:pPr>
    </w:p>
    <w:p>
      <w:pPr>
        <w:ind w:right="2039"/>
        <w:spacing w:after="0" w:line="258" w:lineRule="auto"/>
        <w:tabs>
          <w:tab w:leader="none" w:pos="283"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seek or obtain, as the undersigned’s representative and on the undersigned’s behalf, information regarding transactions in the Company’s securities from any third party, including brokers, employee benefit plan administrators and trustees, and the undersigned hereby authorizes any such person to release any such information to such attorney-in-fact and approves and ratifies any such release of information.</w:t>
      </w:r>
    </w:p>
    <w:p>
      <w:pPr>
        <w:spacing w:after="0" w:line="235" w:lineRule="exact"/>
        <w:rPr>
          <w:sz w:val="20"/>
          <w:szCs w:val="20"/>
          <w:color w:val="auto"/>
        </w:rPr>
      </w:pPr>
    </w:p>
    <w:p>
      <w:pPr>
        <w:ind w:right="2079"/>
        <w:spacing w:after="0" w:line="267" w:lineRule="auto"/>
        <w:rPr>
          <w:sz w:val="20"/>
          <w:szCs w:val="20"/>
          <w:color w:val="auto"/>
        </w:rPr>
      </w:pPr>
      <w:r>
        <w:rPr>
          <w:rFonts w:ascii="Times New Roman" w:cs="Times New Roman" w:eastAsia="Times New Roman" w:hAnsi="Times New Roman"/>
          <w:sz w:val="19"/>
          <w:szCs w:val="19"/>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Limited Power of Attorney and the rights and powers herein granted. The undersigned acknowledges that the foregoing attorneys-in-fact, in serving in such capacity at the request of the undersigned, are not assuming nor relieving, nor is the Company assuming nor relieving, any of the undersigned’s responsibilities to comply with filing obligations pursuant to Form 144, Schedule 13D, Schedule 13G, Form 3, Form 4, or Form 5. The undersigned acknowledges that neither the Company nor the foregoing attorneys-in-fact assume (i) any liability for the undersigned’s responsibility to comply with the beneficial ownership and transaction reporting requirements associated with the foregoing filings or (ii) any liability of the undersigned for any failure to comply with such requirements.</w:t>
      </w:r>
    </w:p>
    <w:p>
      <w:pPr>
        <w:spacing w:after="0" w:line="229" w:lineRule="exact"/>
        <w:rPr>
          <w:sz w:val="20"/>
          <w:szCs w:val="20"/>
          <w:color w:val="auto"/>
        </w:rPr>
      </w:pPr>
    </w:p>
    <w:p>
      <w:pPr>
        <w:ind w:right="2339"/>
        <w:spacing w:after="0" w:line="261" w:lineRule="auto"/>
        <w:rPr>
          <w:sz w:val="20"/>
          <w:szCs w:val="20"/>
          <w:color w:val="auto"/>
        </w:rPr>
      </w:pPr>
      <w:r>
        <w:rPr>
          <w:rFonts w:ascii="Times New Roman" w:cs="Times New Roman" w:eastAsia="Times New Roman" w:hAnsi="Times New Roman"/>
          <w:sz w:val="20"/>
          <w:szCs w:val="20"/>
          <w:color w:val="auto"/>
        </w:rPr>
        <w:t>This Limited Power of Attorney shall remain in full force and effect until the undersigned is no longer required to file any such with respect to the undersigned’s beneficial ownership of and transactions in securities issued by the Company, unless earlier revoked by the undersigned in a signed writing delivered to the foregoing attorneys-in-fact.</w:t>
      </w:r>
    </w:p>
    <w:p>
      <w:pPr>
        <w:sectPr>
          <w:pgSz w:w="11900" w:h="16838" w:orient="portrait"/>
          <w:cols w:equalWidth="0" w:num="1">
            <w:col w:w="9979"/>
          </w:cols>
          <w:pgMar w:left="480" w:top="1440" w:right="1440" w:bottom="1440" w:gutter="0" w:footer="0" w:header="0"/>
        </w:sectPr>
      </w:pPr>
    </w:p>
    <w:bookmarkStart w:id="2" w:name="page3"/>
    <w:bookmarkEnd w:id="2"/>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w:t>
      </w:r>
    </w:p>
    <w:p>
      <w:pPr>
        <w:spacing w:after="0" w:line="30" w:lineRule="exact"/>
        <w:rPr>
          <w:sz w:val="20"/>
          <w:szCs w:val="20"/>
          <w:color w:val="auto"/>
        </w:rPr>
      </w:pPr>
    </w:p>
    <w:p>
      <w:pPr>
        <w:ind w:right="2559"/>
        <w:spacing w:after="0" w:line="261" w:lineRule="auto"/>
        <w:rPr>
          <w:sz w:val="20"/>
          <w:szCs w:val="20"/>
          <w:color w:val="auto"/>
        </w:rPr>
      </w:pPr>
      <w:r>
        <w:rPr>
          <w:rFonts w:ascii="Times New Roman" w:cs="Times New Roman" w:eastAsia="Times New Roman" w:hAnsi="Times New Roman"/>
          <w:sz w:val="20"/>
          <w:szCs w:val="20"/>
          <w:color w:val="auto"/>
        </w:rPr>
        <w:t>IN WITNESS WHEREOF, the undersigned has caused this Limited Power of Attorney to be executed as of this 25 day of February, 2026.</w:t>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Kylie Jimenez</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Name:</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[Signature Page to Power of Attorney]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File No. 987/2026 D.</w:t>
      </w:r>
    </w:p>
    <w:p>
      <w:pPr>
        <w:spacing w:after="0" w:line="280" w:lineRule="exact"/>
        <w:rPr>
          <w:sz w:val="20"/>
          <w:szCs w:val="20"/>
          <w:color w:val="auto"/>
        </w:rPr>
      </w:pPr>
    </w:p>
    <w:p>
      <w:pPr>
        <w:ind w:right="4159"/>
        <w:spacing w:after="0" w:line="282" w:lineRule="auto"/>
        <w:rPr>
          <w:sz w:val="20"/>
          <w:szCs w:val="20"/>
          <w:color w:val="auto"/>
        </w:rPr>
      </w:pPr>
      <w:r>
        <w:rPr>
          <w:rFonts w:ascii="Times New Roman" w:cs="Times New Roman" w:eastAsia="Times New Roman" w:hAnsi="Times New Roman"/>
          <w:sz w:val="20"/>
          <w:szCs w:val="20"/>
          <w:color w:val="auto"/>
        </w:rPr>
        <w:t>I hereby certify, that the above signature the true signature, subscribed in my presence, of</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Ms. Kylie Jimenez born Mc Callum,</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born [***],</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business adress: 55131 Mainz, An der Goldgrube 12,</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identified by presenting his official Pass from Espana -</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Mainz, 25th of February 2026</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[SEAL]</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Mascha Diefenbach</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Diefenbach, Notary public</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26D0987.docx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APOSTILLE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(Convention de La Haye du 5 octobre 1961)</w:t>
      </w:r>
    </w:p>
    <w:p>
      <w:pPr>
        <w:spacing w:after="0" w:line="280" w:lineRule="exact"/>
        <w:rPr>
          <w:sz w:val="20"/>
          <w:szCs w:val="20"/>
          <w:color w:val="auto"/>
        </w:rPr>
      </w:pPr>
    </w:p>
    <w:p>
      <w:pPr>
        <w:ind w:right="6479"/>
        <w:spacing w:after="0" w:line="532" w:lineRule="auto"/>
        <w:tabs>
          <w:tab w:leader="none" w:pos="20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Country: Federal Republic of Germany This public document</w:t>
      </w:r>
    </w:p>
    <w:p>
      <w:pPr>
        <w:spacing w:after="0" w:line="1" w:lineRule="exact"/>
        <w:rPr>
          <w:sz w:val="20"/>
          <w:szCs w:val="20"/>
          <w:color w:val="auto"/>
        </w:rPr>
      </w:pPr>
    </w:p>
    <w:p>
      <w:pPr>
        <w:spacing w:after="0"/>
        <w:tabs>
          <w:tab w:leader="none" w:pos="2100" w:val="left"/>
        </w:tabs>
        <w:rPr>
          <w:sz w:val="20"/>
          <w:szCs w:val="20"/>
          <w:color w:val="auto"/>
        </w:rPr>
      </w:pPr>
      <w:r>
        <w:rPr>
          <w:rFonts w:ascii="Times New Roman" w:cs="Times New Roman" w:eastAsia="Times New Roman" w:hAnsi="Times New Roman"/>
          <w:sz w:val="20"/>
          <w:szCs w:val="20"/>
          <w:color w:val="auto"/>
        </w:rPr>
        <w:t>2. has been signed by</w:t>
      </w:r>
      <w:r>
        <w:rPr>
          <w:sz w:val="20"/>
          <w:szCs w:val="20"/>
          <w:color w:val="auto"/>
        </w:rPr>
        <w:tab/>
      </w:r>
      <w:r>
        <w:rPr>
          <w:rFonts w:ascii="Times New Roman" w:cs="Times New Roman" w:eastAsia="Times New Roman" w:hAnsi="Times New Roman"/>
          <w:sz w:val="20"/>
          <w:szCs w:val="20"/>
          <w:color w:val="auto"/>
        </w:rPr>
        <w:t>Mascha Diefenbach</w:t>
      </w:r>
    </w:p>
    <w:p>
      <w:pPr>
        <w:sectPr>
          <w:pgSz w:w="11900" w:h="16838" w:orient="portrait"/>
          <w:cols w:equalWidth="0" w:num="1">
            <w:col w:w="9979"/>
          </w:cols>
          <w:pgMar w:left="480" w:top="1440" w:right="1440" w:bottom="962" w:gutter="0" w:footer="0" w:header="0"/>
        </w:sectPr>
      </w:pPr>
    </w:p>
    <w:bookmarkStart w:id="3" w:name="page4"/>
    <w:bookmarkEnd w:id="3"/>
    <w:p>
      <w:pPr>
        <w:spacing w:after="0"/>
        <w:tabs>
          <w:tab w:leader="none" w:pos="2100" w:val="left"/>
        </w:tabs>
        <w:rPr>
          <w:sz w:val="20"/>
          <w:szCs w:val="20"/>
          <w:color w:val="auto"/>
        </w:rPr>
      </w:pPr>
    </w:p>
    <w:p>
      <w:pPr>
        <w:sectPr>
          <w:pgSz w:w="11900" w:h="16838" w:orient="portrait"/>
          <w:cols w:equalWidth="1" w:num="1" w:space="0"/>
          <w:pgMar w:left="1440" w:top="1440" w:right="1440" w:bottom="875" w:gutter="0" w:footer="0" w:header="0"/>
        </w:sectPr>
      </w:pPr>
    </w:p>
    <w:bookmarkStart w:id="4" w:name="page5"/>
    <w:bookmarkEnd w:id="4"/>
    <w:p>
      <w:pPr>
        <w:spacing w:after="0" w:line="200" w:lineRule="exact"/>
        <w:rPr>
          <w:sz w:val="20"/>
          <w:szCs w:val="20"/>
          <w:color w:val="auto"/>
        </w:rPr>
      </w:pP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260"/>
        </w:trPr>
        <w:tc>
          <w:tcPr>
            <w:tcW w:w="218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3. acting in the capacity of</w:t>
            </w:r>
          </w:p>
        </w:tc>
        <w:tc>
          <w:tcPr>
            <w:tcW w:w="386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notary public</w:t>
            </w:r>
          </w:p>
        </w:tc>
      </w:tr>
      <w:tr>
        <w:trPr>
          <w:trHeight w:val="510"/>
        </w:trPr>
        <w:tc>
          <w:tcPr>
            <w:tcW w:w="218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4. bears the seal/stamp of</w:t>
            </w:r>
          </w:p>
        </w:tc>
        <w:tc>
          <w:tcPr>
            <w:tcW w:w="3860" w:type="dxa"/>
            <w:vAlign w:val="bottom"/>
          </w:tcPr>
          <w:p>
            <w:pPr>
              <w:ind w:left="40"/>
              <w:spacing w:after="0"/>
              <w:rPr>
                <w:sz w:val="20"/>
                <w:szCs w:val="20"/>
                <w:color w:val="auto"/>
              </w:rPr>
            </w:pPr>
            <w:r>
              <w:rPr>
                <w:rFonts w:ascii="Times New Roman" w:cs="Times New Roman" w:eastAsia="Times New Roman" w:hAnsi="Times New Roman"/>
                <w:sz w:val="20"/>
                <w:szCs w:val="20"/>
                <w:color w:val="auto"/>
                <w:w w:val="99"/>
              </w:rPr>
              <w:t>Mascha Diefenbach - Notarin in Mainz [SEAL]</w:t>
            </w:r>
          </w:p>
        </w:tc>
      </w:tr>
      <w:tr>
        <w:trPr>
          <w:trHeight w:val="780"/>
        </w:trPr>
        <w:tc>
          <w:tcPr>
            <w:tcW w:w="720" w:type="dxa"/>
            <w:vAlign w:val="bottom"/>
            <w:gridSpan w:val="2"/>
          </w:tcPr>
          <w:p>
            <w:pPr>
              <w:spacing w:after="0"/>
              <w:rPr>
                <w:sz w:val="20"/>
                <w:szCs w:val="20"/>
                <w:color w:val="auto"/>
              </w:rPr>
            </w:pPr>
            <w:r>
              <w:rPr>
                <w:rFonts w:ascii="Times New Roman" w:cs="Times New Roman" w:eastAsia="Times New Roman" w:hAnsi="Times New Roman"/>
                <w:sz w:val="20"/>
                <w:szCs w:val="20"/>
                <w:color w:val="auto"/>
                <w:w w:val="98"/>
              </w:rPr>
              <w:t>Certified</w:t>
            </w:r>
          </w:p>
        </w:tc>
        <w:tc>
          <w:tcPr>
            <w:tcW w:w="9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860" w:type="dxa"/>
            <w:vAlign w:val="bottom"/>
          </w:tcPr>
          <w:p>
            <w:pPr>
              <w:spacing w:after="0"/>
              <w:rPr>
                <w:sz w:val="24"/>
                <w:szCs w:val="24"/>
                <w:color w:val="auto"/>
              </w:rPr>
            </w:pPr>
          </w:p>
        </w:tc>
      </w:tr>
      <w:tr>
        <w:trPr>
          <w:trHeight w:val="510"/>
        </w:trPr>
        <w:tc>
          <w:tcPr>
            <w:tcW w:w="7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5. at</w:t>
            </w:r>
          </w:p>
        </w:tc>
        <w:tc>
          <w:tcPr>
            <w:tcW w:w="9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Mainz</w:t>
            </w:r>
          </w:p>
        </w:tc>
        <w:tc>
          <w:tcPr>
            <w:tcW w:w="5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6. the</w:t>
            </w:r>
          </w:p>
        </w:tc>
        <w:tc>
          <w:tcPr>
            <w:tcW w:w="386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27.02.2026</w:t>
            </w:r>
          </w:p>
        </w:tc>
      </w:tr>
      <w:tr>
        <w:trPr>
          <w:trHeight w:val="510"/>
        </w:trPr>
        <w:tc>
          <w:tcPr>
            <w:tcW w:w="7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7. by the</w:t>
            </w:r>
          </w:p>
        </w:tc>
        <w:tc>
          <w:tcPr>
            <w:tcW w:w="5320" w:type="dxa"/>
            <w:vAlign w:val="bottom"/>
            <w:gridSpan w:val="3"/>
          </w:tcPr>
          <w:p>
            <w:pPr>
              <w:ind w:left="180"/>
              <w:spacing w:after="0"/>
              <w:rPr>
                <w:sz w:val="20"/>
                <w:szCs w:val="20"/>
                <w:color w:val="auto"/>
              </w:rPr>
            </w:pPr>
            <w:r>
              <w:rPr>
                <w:rFonts w:ascii="Times New Roman" w:cs="Times New Roman" w:eastAsia="Times New Roman" w:hAnsi="Times New Roman"/>
                <w:sz w:val="20"/>
                <w:szCs w:val="20"/>
                <w:color w:val="auto"/>
              </w:rPr>
              <w:t>President of the District Court</w:t>
            </w:r>
          </w:p>
        </w:tc>
      </w:tr>
      <w:tr>
        <w:trPr>
          <w:trHeight w:val="510"/>
        </w:trPr>
        <w:tc>
          <w:tcPr>
            <w:tcW w:w="180" w:type="dxa"/>
            <w:vAlign w:val="bottom"/>
          </w:tcPr>
          <w:p>
            <w:pPr>
              <w:spacing w:after="0"/>
              <w:rPr>
                <w:sz w:val="20"/>
                <w:szCs w:val="20"/>
                <w:color w:val="auto"/>
              </w:rPr>
            </w:pPr>
            <w:r>
              <w:rPr>
                <w:rFonts w:ascii="Times New Roman" w:cs="Times New Roman" w:eastAsia="Times New Roman" w:hAnsi="Times New Roman"/>
                <w:sz w:val="20"/>
                <w:szCs w:val="20"/>
                <w:color w:val="auto"/>
              </w:rPr>
              <w:t>8.</w:t>
            </w:r>
          </w:p>
        </w:tc>
        <w:tc>
          <w:tcPr>
            <w:tcW w:w="5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No</w:t>
            </w:r>
          </w:p>
        </w:tc>
        <w:tc>
          <w:tcPr>
            <w:tcW w:w="90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262/2026</w:t>
            </w:r>
          </w:p>
        </w:tc>
        <w:tc>
          <w:tcPr>
            <w:tcW w:w="560" w:type="dxa"/>
            <w:vAlign w:val="bottom"/>
          </w:tcPr>
          <w:p>
            <w:pPr>
              <w:spacing w:after="0"/>
              <w:rPr>
                <w:sz w:val="24"/>
                <w:szCs w:val="24"/>
                <w:color w:val="auto"/>
              </w:rPr>
            </w:pPr>
          </w:p>
        </w:tc>
        <w:tc>
          <w:tcPr>
            <w:tcW w:w="3860" w:type="dxa"/>
            <w:vAlign w:val="bottom"/>
          </w:tcPr>
          <w:p>
            <w:pPr>
              <w:spacing w:after="0"/>
              <w:rPr>
                <w:sz w:val="24"/>
                <w:szCs w:val="24"/>
                <w:color w:val="auto"/>
              </w:rPr>
            </w:pPr>
          </w:p>
        </w:tc>
      </w:tr>
      <w:tr>
        <w:trPr>
          <w:trHeight w:val="490"/>
        </w:trPr>
        <w:tc>
          <w:tcPr>
            <w:tcW w:w="180" w:type="dxa"/>
            <w:vAlign w:val="bottom"/>
          </w:tcPr>
          <w:p>
            <w:pPr>
              <w:spacing w:after="0"/>
              <w:rPr>
                <w:sz w:val="20"/>
                <w:szCs w:val="20"/>
                <w:color w:val="auto"/>
              </w:rPr>
            </w:pPr>
            <w:r>
              <w:rPr>
                <w:rFonts w:ascii="Times New Roman" w:cs="Times New Roman" w:eastAsia="Times New Roman" w:hAnsi="Times New Roman"/>
                <w:sz w:val="20"/>
                <w:szCs w:val="20"/>
                <w:color w:val="auto"/>
              </w:rPr>
              <w:t>9.</w:t>
            </w:r>
          </w:p>
        </w:tc>
        <w:tc>
          <w:tcPr>
            <w:tcW w:w="144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Stamp: [SEAL]</w:t>
            </w:r>
          </w:p>
        </w:tc>
        <w:tc>
          <w:tcPr>
            <w:tcW w:w="4420" w:type="dxa"/>
            <w:vAlign w:val="bottom"/>
            <w:gridSpan w:val="2"/>
          </w:tcPr>
          <w:p>
            <w:pPr>
              <w:ind w:left="240"/>
              <w:spacing w:after="0"/>
              <w:rPr>
                <w:sz w:val="20"/>
                <w:szCs w:val="20"/>
                <w:color w:val="auto"/>
              </w:rPr>
            </w:pPr>
            <w:r>
              <w:rPr>
                <w:rFonts w:ascii="Times New Roman" w:cs="Times New Roman" w:eastAsia="Times New Roman" w:hAnsi="Times New Roman"/>
                <w:sz w:val="20"/>
                <w:szCs w:val="20"/>
                <w:color w:val="auto"/>
              </w:rPr>
              <w:t>10. Signature:</w:t>
            </w:r>
          </w:p>
        </w:tc>
      </w:tr>
      <w:tr>
        <w:trPr>
          <w:trHeight w:val="240"/>
        </w:trPr>
        <w:tc>
          <w:tcPr>
            <w:tcW w:w="1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320" w:type="dxa"/>
            <w:vAlign w:val="bottom"/>
            <w:gridSpan w:val="3"/>
          </w:tcPr>
          <w:p>
            <w:pPr>
              <w:ind w:left="80"/>
              <w:spacing w:after="0"/>
              <w:rPr>
                <w:sz w:val="20"/>
                <w:szCs w:val="20"/>
                <w:color w:val="auto"/>
              </w:rPr>
            </w:pPr>
            <w:r>
              <w:rPr>
                <w:rFonts w:ascii="Times New Roman" w:cs="Times New Roman" w:eastAsia="Times New Roman" w:hAnsi="Times New Roman"/>
                <w:sz w:val="20"/>
                <w:szCs w:val="20"/>
                <w:color w:val="auto"/>
              </w:rPr>
              <w:t>/s/ Thomas Bergmann</w:t>
            </w:r>
          </w:p>
        </w:tc>
      </w:tr>
      <w:tr>
        <w:trPr>
          <w:trHeight w:val="260"/>
        </w:trPr>
        <w:tc>
          <w:tcPr>
            <w:tcW w:w="1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5320" w:type="dxa"/>
            <w:vAlign w:val="bottom"/>
            <w:gridSpan w:val="3"/>
          </w:tcPr>
          <w:p>
            <w:pPr>
              <w:ind w:left="80"/>
              <w:spacing w:after="0"/>
              <w:rPr>
                <w:sz w:val="20"/>
                <w:szCs w:val="20"/>
                <w:color w:val="auto"/>
              </w:rPr>
            </w:pPr>
            <w:r>
              <w:rPr>
                <w:rFonts w:ascii="Times New Roman" w:cs="Times New Roman" w:eastAsia="Times New Roman" w:hAnsi="Times New Roman"/>
                <w:sz w:val="20"/>
                <w:szCs w:val="20"/>
                <w:color w:val="auto"/>
              </w:rPr>
              <w:t>Thomas Bergmann</w:t>
            </w:r>
          </w:p>
        </w:tc>
      </w:tr>
    </w:tbl>
    <w:p>
      <w:pPr>
        <w:spacing w:after="0" w:line="1" w:lineRule="exact"/>
        <w:rPr>
          <w:sz w:val="20"/>
          <w:szCs w:val="20"/>
          <w:color w:val="auto"/>
        </w:rPr>
      </w:pPr>
    </w:p>
    <w:sectPr>
      <w:pgSz w:w="11900" w:h="16838" w:orient="portrait"/>
      <w:cols w:equalWidth="0" w:num="1">
        <w:col w:w="9979"/>
      </w:cols>
      <w:pgMar w:left="48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2123971" TargetMode="External"/><Relationship Id="rId11" Type="http://schemas.openxmlformats.org/officeDocument/2006/relationships/hyperlink" Target="http://www.sec.gov/cgi-bin/browse-edgar?action=getcompany&amp;CIK=000177698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2026-03-25T16:56:41Z</dcterms:created>
  <dcterms:modified xsi:type="dcterms:W3CDTF">2026-03-25T16:56:41Z</dcterms:modified>
</cp:coreProperties>
</file>