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bidi w:val="0"/>
        <w:spacing w:lineRule="auto" w:line="288" w:before="0" w:after="0"/>
        <w:jc w:val="center"/>
        <w:rPr/>
      </w:pPr>
      <w:r>
        <w:rPr>
          <w:rFonts w:ascii="Times New Roman;sans-serif" w:hAnsi="Times New Roman;sans-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ans-serif" w:hAnsi="Times New Roman;sans-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ans-serif" w:hAnsi="Times New Roman;sans-serif"/>
          <w:b w:val="false"/>
          <w:color w:val="000000"/>
          <w:sz w:val="40"/>
        </w:rPr>
        <w:br/>
      </w:r>
      <w:r>
        <w:rPr>
          <w:rFonts w:ascii="Times New Roman;sans-serif" w:hAnsi="Times New Roman;sans-serif"/>
          <w:b/>
          <w:color w:val="000000"/>
          <w:sz w:val="40"/>
        </w:rPr>
        <w:t>FORM 6-K</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ans-serif" w:hAnsi="Times New Roman;sans-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 THE MONTH OF MARCH 2025</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COMMISSION FILE NUMBER 001-39081 </w:t>
      </w:r>
    </w:p>
    <w:p>
      <w:pPr>
        <w:pStyle w:val="TextBody"/>
        <w:bidi w:val="0"/>
        <w:spacing w:lineRule="auto" w:line="288" w:before="0" w:after="240"/>
        <w:jc w:val="center"/>
        <w:rPr/>
      </w:pPr>
      <w:r>
        <w:rPr>
          <w:rFonts w:ascii="Times New Roman;sans-serif" w:hAnsi="Times New Roman;sans-serif"/>
          <w:b/>
          <w:color w:val="000000"/>
          <w:sz w:val="40"/>
        </w:rPr>
        <w:t>BioNTech SE</w:t>
        <w:br/>
      </w:r>
      <w:r>
        <w:rPr>
          <w:rFonts w:ascii="Times New Roman;sans-serif" w:hAnsi="Times New Roman;sans-serif"/>
          <w:b w:val="false"/>
          <w:color w:val="333333"/>
          <w:sz w:val="20"/>
        </w:rPr>
        <w:t>(Translation of registrant’s name into English)</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 der Goldgrube 12</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D-55131 Mainz</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Germany</w:t>
      </w:r>
    </w:p>
    <w:p>
      <w:pPr>
        <w:pStyle w:val="TextBody"/>
        <w:bidi w:val="0"/>
        <w:spacing w:lineRule="auto" w:line="288" w:before="0" w:after="240"/>
        <w:jc w:val="center"/>
        <w:rPr/>
      </w:pPr>
      <w:r>
        <w:rPr>
          <w:rFonts w:ascii="Times New Roman;sans-serif" w:hAnsi="Times New Roman;sans-serif"/>
          <w:b/>
          <w:color w:val="000000"/>
          <w:sz w:val="22"/>
        </w:rPr>
        <w:t>+49 6131-9084-0</w:t>
        <w:br/>
      </w:r>
      <w:r>
        <w:rPr>
          <w:rFonts w:ascii="Times New Roman;sans-serif" w:hAnsi="Times New Roman;sans-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ans-serif" w:hAnsi="Times New Roman;sans-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ans-serif" w:hAnsi="Times New Roman;sans-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ans-serif" w:hAnsi="Times New Roman;sans-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INFORMATION INCLUDED AS PART OF THIS FORM 6-K</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U.S. Food and Drug Administration (“FDA”) has informed BioNTech SE (“BioNTech”) that it has placed a clinical hold on BioNTech’s Investigational New Drug application (“IND”) and the related Phase I/IIa clinical trial (NCT06069544) evaluating the safety, tolerability, immunogenicity and efficacy of an investigational RNA-based vaccine (BNT165e) for prevention of P. falciparum malaria in healthy malaria-naive adults.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BioNTech has complied with the hold by the FDA and, in accordance with the clinical trial protocol, had proactively paused the study. BioNTech is taking actions to address the FDA’s requests and will work with the FDA to assess next steps.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SIGNATURE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367" w:type="dxa"/>
        <w:jc w:val="center"/>
        <w:tblInd w:w="0" w:type="dxa"/>
        <w:tblLayout w:type="fixed"/>
        <w:tblCellMar>
          <w:top w:w="28" w:type="dxa"/>
          <w:left w:w="28" w:type="dxa"/>
          <w:bottom w:w="28" w:type="dxa"/>
          <w:right w:w="28" w:type="dxa"/>
        </w:tblCellMar>
      </w:tblPr>
      <w:tblGrid>
        <w:gridCol w:w="280"/>
        <w:gridCol w:w="246"/>
        <w:gridCol w:w="246"/>
        <w:gridCol w:w="945"/>
        <w:gridCol w:w="945"/>
        <w:gridCol w:w="960"/>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62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Operating Officer</w:t>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March 4, 2025</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295</Words>
  <Characters>1581</Characters>
  <CharactersWithSpaces>1857</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