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Morawietz Anja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BioNTech SE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BNTX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6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0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BIONTECH SE</w:t>
            </w:r>
          </w:p>
        </w:tc>
        <w:tc>
          <w:tcPr>
            <w:tcW w:w="122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AN DER GOLDGRUBE 12</w:t>
            </w:r>
          </w:p>
        </w:tc>
      </w:tr>
      <w:tr>
        <w:trPr>
          <w:trHeight w:val="177"/>
        </w:trPr>
        <w:tc>
          <w:tcPr>
            <w:tcW w:w="86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MAINZ</w:t>
            </w:r>
          </w:p>
        </w:tc>
        <w:tc>
          <w:tcPr>
            <w:tcW w:w="102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2M</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D-55131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20" w:type="dxa"/>
            <w:vAlign w:val="bottom"/>
          </w:tcPr>
          <w:p>
            <w:pPr>
              <w:jc w:val="right"/>
              <w:ind w:right="357"/>
              <w:spacing w:after="0"/>
              <w:rPr>
                <w:sz w:val="20"/>
                <w:szCs w:val="20"/>
                <w:color w:val="auto"/>
              </w:rPr>
            </w:pPr>
            <w:r>
              <w:rPr>
                <w:rFonts w:ascii="Times New Roman" w:cs="Times New Roman" w:eastAsia="Times New Roman" w:hAnsi="Times New Roman"/>
                <w:sz w:val="20"/>
                <w:szCs w:val="20"/>
                <w:color w:val="0000FF"/>
              </w:rPr>
              <w:t>200</w:t>
            </w:r>
          </w:p>
        </w:tc>
        <w:tc>
          <w:tcPr>
            <w:tcW w:w="1140" w:type="dxa"/>
            <w:vAlign w:val="bottom"/>
            <w:gridSpan w:val="2"/>
          </w:tcPr>
          <w:p>
            <w:pPr>
              <w:ind w:left="9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jc w:val="right"/>
              <w:ind w:right="397"/>
              <w:spacing w:after="0"/>
              <w:rPr>
                <w:sz w:val="20"/>
                <w:szCs w:val="20"/>
                <w:color w:val="auto"/>
              </w:rPr>
            </w:pPr>
            <w:r>
              <w:rPr>
                <w:rFonts w:ascii="Times New Roman" w:cs="Times New Roman" w:eastAsia="Times New Roman" w:hAnsi="Times New Roman"/>
                <w:sz w:val="20"/>
                <w:szCs w:val="20"/>
                <w:color w:val="0000FF"/>
              </w:rPr>
              <w:t>40</w:t>
            </w:r>
          </w:p>
        </w:tc>
        <w:tc>
          <w:tcPr>
            <w:tcW w:w="1140" w:type="dxa"/>
            <w:vAlign w:val="bottom"/>
            <w:tcBorders>
              <w:bottom w:val="single" w:sz="8" w:color="2C2C2C"/>
            </w:tcBorders>
            <w:gridSpan w:val="2"/>
          </w:tcPr>
          <w:p>
            <w:pPr>
              <w:ind w:left="1020"/>
              <w:spacing w:after="0"/>
              <w:rPr>
                <w:sz w:val="20"/>
                <w:szCs w:val="20"/>
                <w:color w:val="auto"/>
              </w:rPr>
            </w:pPr>
            <w:r>
              <w:rPr>
                <w:rFonts w:ascii="Times New Roman" w:cs="Times New Roman" w:eastAsia="Times New Roman" w:hAnsi="Times New Roman"/>
                <w:sz w:val="20"/>
                <w:szCs w:val="20"/>
                <w:color w:val="0000FF"/>
              </w:rPr>
              <w:t>I</w:t>
            </w:r>
          </w:p>
        </w:tc>
        <w:tc>
          <w:tcPr>
            <w:tcW w:w="186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140" w:type="dxa"/>
            <w:vAlign w:val="bottom"/>
            <w:gridSpan w:val="2"/>
            <w:vMerge w:val="restart"/>
          </w:tcPr>
          <w:p>
            <w:pPr>
              <w:ind w:left="4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20" w:type="dxa"/>
            <w:vAlign w:val="bottom"/>
          </w:tcPr>
          <w:p>
            <w:pPr>
              <w:spacing w:after="0"/>
              <w:rPr>
                <w:sz w:val="14"/>
                <w:szCs w:val="14"/>
                <w:color w:val="auto"/>
              </w:rPr>
            </w:pPr>
          </w:p>
        </w:tc>
        <w:tc>
          <w:tcPr>
            <w:tcW w:w="1140" w:type="dxa"/>
            <w:vAlign w:val="bottom"/>
            <w:gridSpan w:val="2"/>
          </w:tcPr>
          <w:p>
            <w:pPr>
              <w:ind w:left="4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40" w:type="dxa"/>
            <w:vAlign w:val="bottom"/>
            <w:gridSpan w:val="2"/>
          </w:tcPr>
          <w:p>
            <w:pPr>
              <w:ind w:left="4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The ordinary shares are held by the Reporting Person's immediate family.</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Humza Bokhari,</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03/25/2026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LIMITED POWER OF ATTORNEY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SEC REPORTING OBLIGATIONS</w:t>
      </w:r>
    </w:p>
    <w:p>
      <w:pPr>
        <w:spacing w:after="0" w:line="260" w:lineRule="exact"/>
        <w:rPr>
          <w:sz w:val="20"/>
          <w:szCs w:val="20"/>
          <w:color w:val="auto"/>
        </w:rPr>
      </w:pPr>
    </w:p>
    <w:p>
      <w:pPr>
        <w:ind w:right="2139"/>
        <w:spacing w:after="0" w:line="261" w:lineRule="auto"/>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each of Zoey Neuenschwander, Stefanie Lutze, and Humza Bokhari, signing singly and each acting individually, as the undersigned’s true and lawful attorney-in-fact with full power and authority as hereinafter described to:</w:t>
      </w:r>
    </w:p>
    <w:p>
      <w:pPr>
        <w:spacing w:after="0" w:line="230" w:lineRule="exact"/>
        <w:rPr>
          <w:sz w:val="20"/>
          <w:szCs w:val="20"/>
          <w:color w:val="auto"/>
        </w:rPr>
      </w:pPr>
    </w:p>
    <w:p>
      <w:pPr>
        <w:ind w:right="2079"/>
        <w:spacing w:after="0" w:line="261"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submit to the U.S. Securities and Exchange Commission (the “SEC”) a Form ID Application and/or Passphrase Update Application or any other application materials to enable the undersigned to gain or maintain access to the Electronic Data Gathering, Analysis and Retrieval system of the SEC;</w:t>
      </w:r>
    </w:p>
    <w:p>
      <w:pPr>
        <w:spacing w:after="0" w:line="230" w:lineRule="exact"/>
        <w:rPr>
          <w:rFonts w:ascii="Times New Roman" w:cs="Times New Roman" w:eastAsia="Times New Roman" w:hAnsi="Times New Roman"/>
          <w:sz w:val="20"/>
          <w:szCs w:val="20"/>
          <w:color w:val="auto"/>
        </w:rPr>
      </w:pPr>
    </w:p>
    <w:p>
      <w:pPr>
        <w:ind w:left="280" w:hanging="280"/>
        <w:spacing w:after="0"/>
        <w:tabs>
          <w:tab w:leader="none" w:pos="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w:t>
      </w:r>
    </w:p>
    <w:p>
      <w:pPr>
        <w:spacing w:after="0" w:line="30" w:lineRule="exact"/>
        <w:rPr>
          <w:rFonts w:ascii="Times New Roman" w:cs="Times New Roman" w:eastAsia="Times New Roman" w:hAnsi="Times New Roman"/>
          <w:sz w:val="20"/>
          <w:szCs w:val="20"/>
          <w:color w:val="auto"/>
        </w:rPr>
      </w:pPr>
    </w:p>
    <w:p>
      <w:pPr>
        <w:ind w:right="2079"/>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38" w:lineRule="exact"/>
        <w:rPr>
          <w:rFonts w:ascii="Times New Roman" w:cs="Times New Roman" w:eastAsia="Times New Roman" w:hAnsi="Times New Roman"/>
          <w:sz w:val="20"/>
          <w:szCs w:val="20"/>
          <w:color w:val="auto"/>
        </w:rPr>
      </w:pPr>
    </w:p>
    <w:p>
      <w:pPr>
        <w:ind w:right="2099"/>
        <w:spacing w:after="0" w:line="286" w:lineRule="auto"/>
        <w:tabs>
          <w:tab w:leader="none" w:pos="28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BioNTech SE (the “Company”), filings under Section 16 of the Securities Exchange Act of 1934, Forms 144, and Schedules 13D and 13G, each including any amendments thereto;</w:t>
      </w:r>
    </w:p>
    <w:p>
      <w:pPr>
        <w:spacing w:after="0" w:line="209" w:lineRule="exact"/>
        <w:rPr>
          <w:rFonts w:ascii="Times New Roman" w:cs="Times New Roman" w:eastAsia="Times New Roman" w:hAnsi="Times New Roman"/>
          <w:sz w:val="19"/>
          <w:szCs w:val="19"/>
          <w:color w:val="auto"/>
        </w:rPr>
      </w:pPr>
    </w:p>
    <w:p>
      <w:pPr>
        <w:jc w:val="both"/>
        <w:ind w:right="2159"/>
        <w:spacing w:after="0" w:line="261"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prepare, complete and execute any such filings, prepare, complete and execute any amendment or amendments thereto, and timely deliver and file such form with the SEC and any stock exchange or similar authority; and</w:t>
      </w:r>
    </w:p>
    <w:p>
      <w:pPr>
        <w:spacing w:after="0" w:line="230" w:lineRule="exact"/>
        <w:rPr>
          <w:rFonts w:ascii="Times New Roman" w:cs="Times New Roman" w:eastAsia="Times New Roman" w:hAnsi="Times New Roman"/>
          <w:sz w:val="20"/>
          <w:szCs w:val="20"/>
          <w:color w:val="auto"/>
        </w:rPr>
      </w:pPr>
    </w:p>
    <w:p>
      <w:pPr>
        <w:ind w:right="2039"/>
        <w:spacing w:after="0" w:line="258"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attorney-in-fact and approves and ratifies any such release of information.</w:t>
      </w:r>
    </w:p>
    <w:p>
      <w:pPr>
        <w:spacing w:after="0" w:line="235" w:lineRule="exact"/>
        <w:rPr>
          <w:sz w:val="20"/>
          <w:szCs w:val="20"/>
          <w:color w:val="auto"/>
        </w:rPr>
      </w:pPr>
    </w:p>
    <w:p>
      <w:pPr>
        <w:ind w:right="2079"/>
        <w:spacing w:after="0" w:line="267"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relieving, nor is the Company assuming nor relieving, any of the undersigned’s responsibilities to comply with filing obligations pursuant to Form 144, Schedule 13D, Schedule 13G, Form 3, Form 4, or Form 5. The undersigned acknowledges that neither the Company nor the foregoing attorneys-in-fact assume (i) any liability for the undersigned’s responsibility to comply with the beneficial ownership and transaction reporting requirements associated with the foregoing filings or (ii) any liability of the undersigned for any failure to comply with such requirements.</w:t>
      </w:r>
    </w:p>
    <w:p>
      <w:pPr>
        <w:spacing w:after="0" w:line="229" w:lineRule="exact"/>
        <w:rPr>
          <w:sz w:val="20"/>
          <w:szCs w:val="20"/>
          <w:color w:val="auto"/>
        </w:rPr>
      </w:pPr>
    </w:p>
    <w:p>
      <w:pPr>
        <w:ind w:right="2339"/>
        <w:spacing w:after="0" w:line="261" w:lineRule="auto"/>
        <w:rPr>
          <w:sz w:val="20"/>
          <w:szCs w:val="20"/>
          <w:color w:val="auto"/>
        </w:rPr>
      </w:pPr>
      <w:r>
        <w:rPr>
          <w:rFonts w:ascii="Times New Roman" w:cs="Times New Roman" w:eastAsia="Times New Roman" w:hAnsi="Times New Roman"/>
          <w:sz w:val="20"/>
          <w:szCs w:val="20"/>
          <w:color w:val="auto"/>
        </w:rPr>
        <w:t>This Limited Power of Attorney shall remain in full force and effect until the undersigned is no longer required to file any such with respect to the undersigned’s beneficial ownership of and transactions in securities issued by the Company, unless earlier revoked by the undersigned in a signed writing delivered to the foregoing attorneys-in-fact.</w:t>
      </w:r>
    </w:p>
    <w:p>
      <w:pPr>
        <w:sectPr>
          <w:pgSz w:w="11900" w:h="16838" w:orient="portrait"/>
          <w:cols w:equalWidth="0" w:num="1">
            <w:col w:w="9979"/>
          </w:cols>
          <w:pgMar w:left="480" w:top="1440" w:right="1440" w:bottom="1440" w:gutter="0" w:footer="0" w:header="0"/>
        </w:sectPr>
      </w:pPr>
    </w:p>
    <w:bookmarkStart w:id="2" w:name="page3"/>
    <w:bookmarkEnd w:id="2"/>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w:t>
      </w:r>
    </w:p>
    <w:p>
      <w:pPr>
        <w:spacing w:after="0" w:line="30" w:lineRule="exact"/>
        <w:rPr>
          <w:sz w:val="20"/>
          <w:szCs w:val="20"/>
          <w:color w:val="auto"/>
        </w:rPr>
      </w:pPr>
    </w:p>
    <w:p>
      <w:pPr>
        <w:ind w:right="2559"/>
        <w:spacing w:after="0" w:line="261" w:lineRule="auto"/>
        <w:rPr>
          <w:sz w:val="20"/>
          <w:szCs w:val="20"/>
          <w:color w:val="auto"/>
        </w:rPr>
      </w:pPr>
      <w:r>
        <w:rPr>
          <w:rFonts w:ascii="Times New Roman" w:cs="Times New Roman" w:eastAsia="Times New Roman" w:hAnsi="Times New Roman"/>
          <w:sz w:val="20"/>
          <w:szCs w:val="20"/>
          <w:color w:val="auto"/>
        </w:rPr>
        <w:t>IN WITNESS WHEREOF, the undersigned has caused this Limited Power of Attorney to be executed as of this _____ day of _______________, 2026.</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Anja Morawietz</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Page to Power of Attorney]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File No. 983 /2026 D.</w:t>
      </w:r>
    </w:p>
    <w:p>
      <w:pPr>
        <w:spacing w:after="0" w:line="280" w:lineRule="exact"/>
        <w:rPr>
          <w:sz w:val="20"/>
          <w:szCs w:val="20"/>
          <w:color w:val="auto"/>
        </w:rPr>
      </w:pPr>
    </w:p>
    <w:p>
      <w:pPr>
        <w:ind w:right="4159"/>
        <w:spacing w:after="0" w:line="282" w:lineRule="auto"/>
        <w:rPr>
          <w:sz w:val="20"/>
          <w:szCs w:val="20"/>
          <w:color w:val="auto"/>
        </w:rPr>
      </w:pPr>
      <w:r>
        <w:rPr>
          <w:rFonts w:ascii="Times New Roman" w:cs="Times New Roman" w:eastAsia="Times New Roman" w:hAnsi="Times New Roman"/>
          <w:sz w:val="20"/>
          <w:szCs w:val="20"/>
          <w:color w:val="auto"/>
        </w:rPr>
        <w:t>I hereby certify, that the above signature the true signature, subscribed in my presence, of</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Prof. Dr. Anja Morawietz,</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born [***],</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 adress: 55131 Mainz, An der Goldgrube 12,</w:t>
      </w:r>
    </w:p>
    <w:p>
      <w:pPr>
        <w:spacing w:after="0" w:line="10" w:lineRule="exact"/>
        <w:rPr>
          <w:sz w:val="20"/>
          <w:szCs w:val="20"/>
          <w:color w:val="auto"/>
        </w:rPr>
      </w:pPr>
    </w:p>
    <w:p>
      <w:pPr>
        <w:ind w:right="7579"/>
        <w:spacing w:after="0" w:line="525" w:lineRule="auto"/>
        <w:tabs>
          <w:tab w:leader="none" w:pos="11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personally known to me – Mainz, 25th of February 2026 [SEAL]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Mascha Diefenbach</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Diefenbach, Notary public</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26D0983.docx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APOSTILLE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(Convention de La Haye du 5 octobre 1961)</w:t>
      </w:r>
    </w:p>
    <w:p>
      <w:pPr>
        <w:spacing w:after="0" w:line="260" w:lineRule="exact"/>
        <w:rPr>
          <w:sz w:val="20"/>
          <w:szCs w:val="20"/>
          <w:color w:val="auto"/>
        </w:rPr>
      </w:pPr>
    </w:p>
    <w:p>
      <w:pPr>
        <w:ind w:right="6479"/>
        <w:spacing w:after="0" w:line="532" w:lineRule="auto"/>
        <w:tabs>
          <w:tab w:leader="none" w:pos="2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Country: Federal Republic of Germany This public document</w:t>
      </w:r>
    </w:p>
    <w:p>
      <w:pPr>
        <w:spacing w:after="0" w:line="1" w:lineRule="exact"/>
        <w:rPr>
          <w:sz w:val="20"/>
          <w:szCs w:val="20"/>
          <w:color w:val="auto"/>
        </w:rPr>
      </w:pPr>
    </w:p>
    <w:p>
      <w:pPr>
        <w:spacing w:after="0"/>
        <w:tabs>
          <w:tab w:leader="none" w:pos="2100" w:val="left"/>
        </w:tabs>
        <w:rPr>
          <w:sz w:val="20"/>
          <w:szCs w:val="20"/>
          <w:color w:val="auto"/>
        </w:rPr>
      </w:pPr>
      <w:r>
        <w:rPr>
          <w:rFonts w:ascii="Times New Roman" w:cs="Times New Roman" w:eastAsia="Times New Roman" w:hAnsi="Times New Roman"/>
          <w:sz w:val="20"/>
          <w:szCs w:val="20"/>
          <w:color w:val="auto"/>
        </w:rPr>
        <w:t>2. has been signed by</w:t>
      </w:r>
      <w:r>
        <w:rPr>
          <w:sz w:val="20"/>
          <w:szCs w:val="20"/>
          <w:color w:val="auto"/>
        </w:rPr>
        <w:tab/>
      </w:r>
      <w:r>
        <w:rPr>
          <w:rFonts w:ascii="Times New Roman" w:cs="Times New Roman" w:eastAsia="Times New Roman" w:hAnsi="Times New Roman"/>
          <w:sz w:val="20"/>
          <w:szCs w:val="20"/>
          <w:color w:val="auto"/>
        </w:rPr>
        <w:t>Mascha Diefenbach</w:t>
      </w:r>
    </w:p>
    <w:p>
      <w:pPr>
        <w:spacing w:after="0" w:line="280"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20"/>
          <w:szCs w:val="20"/>
          <w:color w:val="auto"/>
        </w:rPr>
        <w:t>3. acting in the capacity of</w:t>
      </w:r>
      <w:r>
        <w:rPr>
          <w:sz w:val="20"/>
          <w:szCs w:val="20"/>
          <w:color w:val="auto"/>
        </w:rPr>
        <w:tab/>
      </w:r>
      <w:r>
        <w:rPr>
          <w:rFonts w:ascii="Times New Roman" w:cs="Times New Roman" w:eastAsia="Times New Roman" w:hAnsi="Times New Roman"/>
          <w:sz w:val="19"/>
          <w:szCs w:val="19"/>
          <w:color w:val="auto"/>
        </w:rPr>
        <w:t>notary public</w:t>
      </w:r>
    </w:p>
    <w:p>
      <w:pPr>
        <w:sectPr>
          <w:pgSz w:w="11900" w:h="16838" w:orient="portrait"/>
          <w:cols w:equalWidth="0" w:num="1">
            <w:col w:w="9979"/>
          </w:cols>
          <w:pgMar w:left="480" w:top="1440" w:right="1440" w:bottom="992" w:gutter="0" w:footer="0" w:header="0"/>
        </w:sectPr>
      </w:pPr>
    </w:p>
    <w:bookmarkStart w:id="3" w:name="page4"/>
    <w:bookmarkEnd w:id="3"/>
    <w:p>
      <w:pPr>
        <w:spacing w:after="0"/>
        <w:tabs>
          <w:tab w:leader="none" w:pos="2300" w:val="left"/>
        </w:tabs>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12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4. bears the seal/stamp of</w:t>
            </w:r>
          </w:p>
        </w:tc>
        <w:tc>
          <w:tcPr>
            <w:tcW w:w="3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Mascha Diefenbach - Notarin in Mainz [SEAL]</w:t>
            </w:r>
          </w:p>
        </w:tc>
      </w:tr>
      <w:tr>
        <w:trPr>
          <w:trHeight w:val="780"/>
        </w:trPr>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Certified</w:t>
            </w: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510"/>
        </w:trPr>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5. at</w:t>
            </w:r>
          </w:p>
        </w:tc>
        <w:tc>
          <w:tcPr>
            <w:tcW w:w="9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Mainz</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 the</w:t>
            </w:r>
          </w:p>
        </w:tc>
        <w:tc>
          <w:tcPr>
            <w:tcW w:w="3920" w:type="dxa"/>
            <w:vAlign w:val="bottom"/>
          </w:tcPr>
          <w:p>
            <w:pPr>
              <w:jc w:val="right"/>
              <w:ind w:right="2740"/>
              <w:spacing w:after="0"/>
              <w:rPr>
                <w:sz w:val="20"/>
                <w:szCs w:val="20"/>
                <w:color w:val="auto"/>
              </w:rPr>
            </w:pPr>
            <w:r>
              <w:rPr>
                <w:rFonts w:ascii="Times New Roman" w:cs="Times New Roman" w:eastAsia="Times New Roman" w:hAnsi="Times New Roman"/>
                <w:sz w:val="20"/>
                <w:szCs w:val="20"/>
                <w:color w:val="auto"/>
              </w:rPr>
              <w:t>27.02.2026</w:t>
            </w:r>
          </w:p>
        </w:tc>
      </w:tr>
      <w:tr>
        <w:trPr>
          <w:trHeight w:val="510"/>
        </w:trPr>
        <w:tc>
          <w:tcPr>
            <w:tcW w:w="7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7. by the</w:t>
            </w:r>
          </w:p>
        </w:tc>
        <w:tc>
          <w:tcPr>
            <w:tcW w:w="532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President of the District Court</w:t>
            </w:r>
          </w:p>
        </w:tc>
      </w:tr>
      <w:tr>
        <w:trPr>
          <w:trHeight w:val="510"/>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8.</w:t>
            </w:r>
          </w:p>
        </w:tc>
        <w:tc>
          <w:tcPr>
            <w:tcW w:w="5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w:t>
            </w:r>
          </w:p>
        </w:tc>
        <w:tc>
          <w:tcPr>
            <w:tcW w:w="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260/2026</w:t>
            </w:r>
          </w:p>
        </w:tc>
        <w:tc>
          <w:tcPr>
            <w:tcW w:w="5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90"/>
        </w:trPr>
        <w:tc>
          <w:tcPr>
            <w:tcW w:w="180" w:type="dxa"/>
            <w:vAlign w:val="bottom"/>
          </w:tcPr>
          <w:p>
            <w:pPr>
              <w:spacing w:after="0"/>
              <w:rPr>
                <w:sz w:val="20"/>
                <w:szCs w:val="20"/>
                <w:color w:val="auto"/>
              </w:rPr>
            </w:pPr>
            <w:r>
              <w:rPr>
                <w:rFonts w:ascii="Times New Roman" w:cs="Times New Roman" w:eastAsia="Times New Roman" w:hAnsi="Times New Roman"/>
                <w:sz w:val="20"/>
                <w:szCs w:val="20"/>
                <w:color w:val="auto"/>
              </w:rPr>
              <w:t>9.</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Stamp: [SEAL]</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3920" w:type="dxa"/>
            <w:vAlign w:val="bottom"/>
          </w:tcPr>
          <w:p>
            <w:pPr>
              <w:jc w:val="right"/>
              <w:ind w:right="2960"/>
              <w:spacing w:after="0"/>
              <w:rPr>
                <w:sz w:val="20"/>
                <w:szCs w:val="20"/>
                <w:color w:val="auto"/>
              </w:rPr>
            </w:pPr>
            <w:r>
              <w:rPr>
                <w:rFonts w:ascii="Times New Roman" w:cs="Times New Roman" w:eastAsia="Times New Roman" w:hAnsi="Times New Roman"/>
                <w:sz w:val="20"/>
                <w:szCs w:val="20"/>
                <w:color w:val="auto"/>
              </w:rPr>
              <w:t>Signature:</w:t>
            </w:r>
          </w:p>
        </w:tc>
      </w:tr>
      <w:tr>
        <w:trPr>
          <w:trHeight w:val="240"/>
        </w:trPr>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3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/s/ Thomas Bergmann</w:t>
            </w:r>
          </w:p>
        </w:tc>
      </w:tr>
      <w:tr>
        <w:trPr>
          <w:trHeight w:val="260"/>
        </w:trPr>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3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Thomas Bergmann</w:t>
            </w:r>
          </w:p>
        </w:tc>
      </w:tr>
    </w:tbl>
    <w:p>
      <w:pPr>
        <w:spacing w:after="0" w:line="1" w:lineRule="exact"/>
        <w:rPr>
          <w:sz w:val="20"/>
          <w:szCs w:val="20"/>
          <w:color w:val="auto"/>
        </w:rPr>
      </w:pP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4146" TargetMode="External"/><Relationship Id="rId11" Type="http://schemas.openxmlformats.org/officeDocument/2006/relationships/hyperlink" Target="http://www.sec.gov/cgi-bin/browse-edgar?action=getcompany&amp;CIK=0001776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2026-03-25T17:05:06Z</dcterms:created>
  <dcterms:modified xsi:type="dcterms:W3CDTF">2026-03-25T17:05:06Z</dcterms:modified>
</cp:coreProperties>
</file>