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AUGUST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On August 4, 2025, BioNTech SE (the “Company”) provided a development update and reported its financial results for the three and six months ended June 30, 2025. The interim condensed consolidated financial statements as well as the operating and financial review and prospects of the Company for the three and six months ended June 30, 2025 are attached hereto as Exhibit 99.1 and shall be deemed “filed” for purposes of Section 18 of the Securities Exchange Act of 1934, as amended (the “Exchange Act”) and incorporated by reference herein.</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Ramón Zapata-Gomez</w:t>
            </w:r>
          </w:p>
        </w:tc>
        <w:tc>
          <w:tcPr>
            <w:tcW w:w="590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Ramón Zapata-Gomez</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729"/>
        </w:trPr>
        <w:tc>
          <w:tcPr>
            <w:tcW w:w="5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August 4, 2025</w:t>
            </w:r>
          </w:p>
        </w:tc>
        <w:tc>
          <w:tcPr>
            <w:tcW w:w="1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5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5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Quarterly Report for the Three and Six Months Ended June 30, 2025</w:t>
            </w:r>
          </w:p>
        </w:tc>
      </w:tr>
    </w:tbl>
    <w:p>
      <w:pPr>
        <w:sectPr>
          <w:pgSz w:w="11900" w:h="16838" w:orient="portrait"/>
          <w:cols w:equalWidth="0" w:num="1">
            <w:col w:w="10099"/>
          </w:cols>
          <w:pgMar w:left="360" w:top="1094"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6797675" cy="9618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797675" cy="9618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80509"/>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principal executive offices are located at An der Goldgrube 12, D-55131 Mainz, Germany. Our telephone number is +49 6131-9084-0. Our website address is www.biontech.com. The information contained on, or that can be accessed through, our website is not part of this document. Our agent for service solely for the purpose of notices and communications from the Securities and Exchange Commission in the United States is c/o BioNTech US Inc., 40 Erie Street, Suite 110, Cambridge, Massachusetts 02139, +1 (617) 337-4701.</w:t>
      </w:r>
    </w:p>
    <w:p>
      <w:pPr>
        <w:sectPr>
          <w:pgSz w:w="11900" w:h="16838" w:orient="portrait"/>
          <w:cols w:equalWidth="0" w:num="1">
            <w:col w:w="11220"/>
          </w:cols>
          <w:pgMar w:left="320" w:top="14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80509"/>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460"/>
        <w:spacing w:after="0" w:line="287" w:lineRule="auto"/>
        <w:rPr>
          <w:sz w:val="20"/>
          <w:szCs w:val="20"/>
          <w:color w:val="auto"/>
        </w:rPr>
      </w:pPr>
      <w:r>
        <w:rPr>
          <w:rFonts w:ascii="Times New Roman" w:cs="Times New Roman" w:eastAsia="Times New Roman" w:hAnsi="Times New Roman"/>
          <w:sz w:val="36"/>
          <w:szCs w:val="36"/>
          <w:b w:val="1"/>
          <w:bCs w:val="1"/>
          <w:color w:val="107072"/>
        </w:rPr>
        <w:t>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Profit or Loss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Comprehensive Income</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Financial Position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Changes in Stockholders’ Equity</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Cash Flows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5</w:t>
            </w:r>
          </w:p>
        </w:tc>
      </w:tr>
      <w:tr>
        <w:trPr>
          <w:trHeight w:val="25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Explanatory Notes to the Unaudited Interim Condensed Consolidated</w:t>
            </w:r>
          </w:p>
        </w:tc>
        <w:tc>
          <w:tcPr>
            <w:tcW w:w="2360" w:type="dxa"/>
            <w:vAlign w:val="bottom"/>
          </w:tcPr>
          <w:p>
            <w:pPr>
              <w:spacing w:after="0"/>
              <w:rPr>
                <w:sz w:val="21"/>
                <w:szCs w:val="21"/>
                <w:color w:val="auto"/>
              </w:rPr>
            </w:pPr>
          </w:p>
        </w:tc>
      </w:t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Information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Basis of Preparation, Significant Accounting Policies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and Expenses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Combination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11</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13</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14</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Assets and Financial Liabilities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15</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 Capital and Reserves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20</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20</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Liabilities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21</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Disclosures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28</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Events after the Reporting Period</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00"/>
        <w:spacing w:after="0" w:line="287" w:lineRule="auto"/>
        <w:rPr>
          <w:sz w:val="20"/>
          <w:szCs w:val="20"/>
          <w:color w:val="auto"/>
        </w:rPr>
      </w:pPr>
      <w:r>
        <w:rPr>
          <w:rFonts w:ascii="Times New Roman" w:cs="Times New Roman" w:eastAsia="Times New Roman" w:hAnsi="Times New Roman"/>
          <w:sz w:val="36"/>
          <w:szCs w:val="36"/>
          <w:b w:val="1"/>
          <w:bCs w:val="1"/>
          <w:color w:val="107072"/>
        </w:rPr>
        <w:t>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Results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ectPr>
          <w:pgSz w:w="11900" w:h="16838" w:orient="portrait"/>
          <w:cols w:equalWidth="0" w:num="1">
            <w:col w:w="10960"/>
          </w:cols>
          <w:pgMar w:left="320" w:top="148" w:right="619" w:bottom="1440" w:gutter="0" w:footer="0" w:header="0"/>
        </w:sectPr>
      </w:pPr>
    </w:p>
    <w:bookmarkStart w:id="7" w:name="page8"/>
    <w:bookmarkEnd w:id="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07072"/>
        </w:rPr>
        <w:t>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80" w:type="dxa"/>
            <w:vAlign w:val="bottom"/>
          </w:tcPr>
          <w:p>
            <w:pPr>
              <w:spacing w:after="0"/>
              <w:rPr>
                <w:sz w:val="16"/>
                <w:szCs w:val="16"/>
                <w:color w:val="auto"/>
              </w:rPr>
            </w:pPr>
          </w:p>
        </w:tc>
        <w:tc>
          <w:tcPr>
            <w:tcW w:w="198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005A64"/>
              </w:rPr>
              <w:t>Six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40" w:type="dxa"/>
            <w:vAlign w:val="bottom"/>
          </w:tcPr>
          <w:p>
            <w:pPr>
              <w:spacing w:after="0"/>
              <w:rPr>
                <w:sz w:val="13"/>
                <w:szCs w:val="13"/>
                <w:color w:val="auto"/>
              </w:rPr>
            </w:pPr>
          </w:p>
        </w:tc>
        <w:tc>
          <w:tcPr>
            <w:tcW w:w="136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 except per share data)</w:t>
            </w:r>
          </w:p>
        </w:tc>
        <w:tc>
          <w:tcPr>
            <w:tcW w:w="1360" w:type="dxa"/>
            <w:vAlign w:val="bottom"/>
            <w:tcBorders>
              <w:right w:val="single" w:sz="8" w:color="BECD32"/>
            </w:tcBorders>
            <w:gridSpan w:val="2"/>
          </w:tcPr>
          <w:p>
            <w:pPr>
              <w:ind w:left="920"/>
              <w:spacing w:after="0"/>
              <w:rPr>
                <w:sz w:val="20"/>
                <w:szCs w:val="20"/>
                <w:color w:val="auto"/>
              </w:rPr>
            </w:pPr>
            <w:r>
              <w:rPr>
                <w:rFonts w:ascii="Times New Roman" w:cs="Times New Roman" w:eastAsia="Times New Roman" w:hAnsi="Times New Roman"/>
                <w:sz w:val="14"/>
                <w:szCs w:val="14"/>
                <w:b w:val="1"/>
                <w:bCs w:val="1"/>
                <w:color w:val="005A64"/>
              </w:rPr>
              <w:t>Note</w:t>
            </w:r>
          </w:p>
        </w:tc>
        <w:tc>
          <w:tcPr>
            <w:tcW w:w="80" w:type="dxa"/>
            <w:vAlign w:val="bottom"/>
          </w:tcPr>
          <w:p>
            <w:pPr>
              <w:spacing w:after="0"/>
              <w:rPr>
                <w:sz w:val="22"/>
                <w:szCs w:val="22"/>
                <w:color w:val="auto"/>
              </w:rPr>
            </w:pPr>
          </w:p>
        </w:tc>
        <w:tc>
          <w:tcPr>
            <w:tcW w:w="1400" w:type="dxa"/>
            <w:vAlign w:val="bottom"/>
            <w:tcBorders>
              <w:right w:val="single" w:sz="8" w:color="BECD32"/>
            </w:tcBorders>
            <w:gridSpan w:val="2"/>
          </w:tcPr>
          <w:p>
            <w:pPr>
              <w:ind w:left="52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420" w:type="dxa"/>
            <w:vAlign w:val="bottom"/>
            <w:gridSpan w:val="2"/>
          </w:tcPr>
          <w:p>
            <w:pPr>
              <w:spacing w:after="0"/>
              <w:rPr>
                <w:sz w:val="22"/>
                <w:szCs w:val="22"/>
                <w:color w:val="auto"/>
              </w:rPr>
            </w:pPr>
          </w:p>
        </w:tc>
        <w:tc>
          <w:tcPr>
            <w:tcW w:w="1060" w:type="dxa"/>
            <w:vAlign w:val="bottom"/>
            <w:tcBorders>
              <w:right w:val="single" w:sz="8" w:color="BECD32"/>
            </w:tcBorders>
            <w:gridSpan w:val="2"/>
          </w:tcPr>
          <w:p>
            <w:pPr>
              <w:ind w:left="18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80" w:type="dxa"/>
            <w:vAlign w:val="bottom"/>
          </w:tcPr>
          <w:p>
            <w:pPr>
              <w:spacing w:after="0"/>
              <w:rPr>
                <w:sz w:val="22"/>
                <w:szCs w:val="22"/>
                <w:color w:val="auto"/>
              </w:rPr>
            </w:pPr>
          </w:p>
        </w:tc>
        <w:tc>
          <w:tcPr>
            <w:tcW w:w="1400" w:type="dxa"/>
            <w:vAlign w:val="bottom"/>
            <w:tcBorders>
              <w:right w:val="single" w:sz="8" w:color="BECD32"/>
            </w:tcBorders>
            <w:gridSpan w:val="2"/>
          </w:tcPr>
          <w:p>
            <w:pPr>
              <w:ind w:left="52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580" w:type="dxa"/>
            <w:vAlign w:val="bottom"/>
            <w:gridSpan w:val="2"/>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0" w:type="dxa"/>
            <w:vAlign w:val="bottom"/>
          </w:tcPr>
          <w:p>
            <w:pPr>
              <w:spacing w:after="0"/>
              <w:rPr>
                <w:sz w:val="1"/>
                <w:szCs w:val="1"/>
                <w:color w:val="auto"/>
              </w:rPr>
            </w:pPr>
          </w:p>
        </w:tc>
      </w:tr>
      <w:tr>
        <w:trPr>
          <w:trHeight w:val="51"/>
        </w:trPr>
        <w:tc>
          <w:tcPr>
            <w:tcW w:w="382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Revenues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260.8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128.7</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443.6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316.3</w:t>
            </w:r>
          </w:p>
        </w:tc>
        <w:tc>
          <w:tcPr>
            <w:tcW w:w="0" w:type="dxa"/>
            <w:vAlign w:val="bottom"/>
          </w:tcPr>
          <w:p>
            <w:pPr>
              <w:spacing w:after="0"/>
              <w:rPr>
                <w:sz w:val="1"/>
                <w:szCs w:val="1"/>
                <w:color w:val="auto"/>
              </w:rPr>
            </w:pPr>
          </w:p>
        </w:tc>
      </w:tr>
      <w:tr>
        <w:trPr>
          <w:trHeight w:val="51"/>
        </w:trPr>
        <w:tc>
          <w:tcPr>
            <w:tcW w:w="382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Cost of sales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(76.4)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(59.8)</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(160.2)</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(118.9)</w:t>
            </w:r>
          </w:p>
        </w:tc>
        <w:tc>
          <w:tcPr>
            <w:tcW w:w="0" w:type="dxa"/>
            <w:vAlign w:val="bottom"/>
          </w:tcPr>
          <w:p>
            <w:pPr>
              <w:spacing w:after="0"/>
              <w:rPr>
                <w:sz w:val="1"/>
                <w:szCs w:val="1"/>
                <w:color w:val="auto"/>
              </w:rPr>
            </w:pPr>
          </w:p>
        </w:tc>
      </w:tr>
      <w:tr>
        <w:trPr>
          <w:trHeight w:val="51"/>
        </w:trPr>
        <w:tc>
          <w:tcPr>
            <w:tcW w:w="382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Research and development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(509.1)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(584.6)</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(1,034.7)</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(1,092.1)</w:t>
            </w:r>
          </w:p>
        </w:tc>
        <w:tc>
          <w:tcPr>
            <w:tcW w:w="0" w:type="dxa"/>
            <w:vAlign w:val="bottom"/>
          </w:tcPr>
          <w:p>
            <w:pPr>
              <w:spacing w:after="0"/>
              <w:rPr>
                <w:sz w:val="1"/>
                <w:szCs w:val="1"/>
                <w:color w:val="auto"/>
              </w:rPr>
            </w:pPr>
          </w:p>
        </w:tc>
      </w:tr>
      <w:tr>
        <w:trPr>
          <w:trHeight w:val="51"/>
        </w:trPr>
        <w:tc>
          <w:tcPr>
            <w:tcW w:w="382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Sales and marketing expenses</w:t>
            </w:r>
          </w:p>
        </w:tc>
        <w:tc>
          <w:tcPr>
            <w:tcW w:w="124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(19.7)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(12.9)</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(33.4)</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(28.5)</w:t>
            </w:r>
          </w:p>
        </w:tc>
        <w:tc>
          <w:tcPr>
            <w:tcW w:w="0" w:type="dxa"/>
            <w:vAlign w:val="bottom"/>
          </w:tcPr>
          <w:p>
            <w:pPr>
              <w:spacing w:after="0"/>
              <w:rPr>
                <w:sz w:val="1"/>
                <w:szCs w:val="1"/>
                <w:color w:val="auto"/>
              </w:rPr>
            </w:pPr>
          </w:p>
        </w:tc>
      </w:tr>
      <w:tr>
        <w:trPr>
          <w:trHeight w:val="51"/>
        </w:trPr>
        <w:tc>
          <w:tcPr>
            <w:tcW w:w="382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General and administrative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(117.7)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(170.9)</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(224.6)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(287.9)</w:t>
            </w:r>
          </w:p>
        </w:tc>
        <w:tc>
          <w:tcPr>
            <w:tcW w:w="0" w:type="dxa"/>
            <w:vAlign w:val="bottom"/>
          </w:tcPr>
          <w:p>
            <w:pPr>
              <w:spacing w:after="0"/>
              <w:rPr>
                <w:sz w:val="1"/>
                <w:szCs w:val="1"/>
                <w:color w:val="auto"/>
              </w:rPr>
            </w:pPr>
          </w:p>
        </w:tc>
      </w:tr>
      <w:tr>
        <w:trPr>
          <w:trHeight w:val="50"/>
        </w:trPr>
        <w:tc>
          <w:tcPr>
            <w:tcW w:w="382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operating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(117.2)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(290.8)</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(165.7)</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(314.7)</w:t>
            </w:r>
          </w:p>
        </w:tc>
        <w:tc>
          <w:tcPr>
            <w:tcW w:w="0" w:type="dxa"/>
            <w:vAlign w:val="bottom"/>
          </w:tcPr>
          <w:p>
            <w:pPr>
              <w:spacing w:after="0"/>
              <w:rPr>
                <w:sz w:val="1"/>
                <w:szCs w:val="1"/>
                <w:color w:val="auto"/>
              </w:rPr>
            </w:pPr>
          </w:p>
        </w:tc>
      </w:tr>
      <w:tr>
        <w:trPr>
          <w:trHeight w:val="50"/>
        </w:trPr>
        <w:tc>
          <w:tcPr>
            <w:tcW w:w="382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operating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78.2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24.1</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139.8</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52.4</w:t>
            </w:r>
          </w:p>
        </w:tc>
        <w:tc>
          <w:tcPr>
            <w:tcW w:w="0" w:type="dxa"/>
            <w:vAlign w:val="bottom"/>
          </w:tcPr>
          <w:p>
            <w:pPr>
              <w:spacing w:after="0"/>
              <w:rPr>
                <w:sz w:val="1"/>
                <w:szCs w:val="1"/>
                <w:color w:val="auto"/>
              </w:rPr>
            </w:pPr>
          </w:p>
        </w:tc>
      </w:tr>
      <w:tr>
        <w:trPr>
          <w:trHeight w:val="50"/>
        </w:trPr>
        <w:tc>
          <w:tcPr>
            <w:tcW w:w="382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Operating loss</w:t>
            </w:r>
          </w:p>
        </w:tc>
        <w:tc>
          <w:tcPr>
            <w:tcW w:w="124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(501.1)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(966.2)</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(1,035.2)</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(1,473.4)</w:t>
            </w:r>
          </w:p>
        </w:tc>
        <w:tc>
          <w:tcPr>
            <w:tcW w:w="0" w:type="dxa"/>
            <w:vAlign w:val="bottom"/>
          </w:tcPr>
          <w:p>
            <w:pPr>
              <w:spacing w:after="0"/>
              <w:rPr>
                <w:sz w:val="1"/>
                <w:szCs w:val="1"/>
                <w:color w:val="auto"/>
              </w:rPr>
            </w:pPr>
          </w:p>
        </w:tc>
      </w:tr>
      <w:tr>
        <w:trPr>
          <w:trHeight w:val="50"/>
        </w:trPr>
        <w:tc>
          <w:tcPr>
            <w:tcW w:w="382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Finance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4.3</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105.4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167.7</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228.0</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345.3</w:t>
            </w:r>
          </w:p>
        </w:tc>
        <w:tc>
          <w:tcPr>
            <w:tcW w:w="0" w:type="dxa"/>
            <w:vAlign w:val="bottom"/>
          </w:tcPr>
          <w:p>
            <w:pPr>
              <w:spacing w:after="0"/>
              <w:rPr>
                <w:sz w:val="1"/>
                <w:szCs w:val="1"/>
                <w:color w:val="auto"/>
              </w:rPr>
            </w:pPr>
          </w:p>
        </w:tc>
      </w:tr>
      <w:tr>
        <w:trPr>
          <w:trHeight w:val="50"/>
        </w:trPr>
        <w:tc>
          <w:tcPr>
            <w:tcW w:w="382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Finance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4.3</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(7.3)</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(40.9)</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(9.5)</w:t>
            </w:r>
          </w:p>
        </w:tc>
        <w:tc>
          <w:tcPr>
            <w:tcW w:w="0" w:type="dxa"/>
            <w:vAlign w:val="bottom"/>
          </w:tcPr>
          <w:p>
            <w:pPr>
              <w:spacing w:after="0"/>
              <w:rPr>
                <w:sz w:val="1"/>
                <w:szCs w:val="1"/>
                <w:color w:val="auto"/>
              </w:rPr>
            </w:pPr>
          </w:p>
        </w:tc>
      </w:tr>
      <w:tr>
        <w:trPr>
          <w:trHeight w:val="50"/>
        </w:trPr>
        <w:tc>
          <w:tcPr>
            <w:tcW w:w="382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Loss before tax</w:t>
            </w:r>
          </w:p>
        </w:tc>
        <w:tc>
          <w:tcPr>
            <w:tcW w:w="124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(402.7)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(805.8)</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(848.1)</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(1,137.6)</w:t>
            </w:r>
          </w:p>
        </w:tc>
        <w:tc>
          <w:tcPr>
            <w:tcW w:w="0" w:type="dxa"/>
            <w:vAlign w:val="bottom"/>
          </w:tcPr>
          <w:p>
            <w:pPr>
              <w:spacing w:after="0"/>
              <w:rPr>
                <w:sz w:val="1"/>
                <w:szCs w:val="1"/>
                <w:color w:val="auto"/>
              </w:rPr>
            </w:pPr>
          </w:p>
        </w:tc>
      </w:tr>
      <w:tr>
        <w:trPr>
          <w:trHeight w:val="50"/>
        </w:trPr>
        <w:tc>
          <w:tcPr>
            <w:tcW w:w="382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Income taxes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(2.0)</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45.7</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14.7</w:t>
            </w:r>
          </w:p>
        </w:tc>
        <w:tc>
          <w:tcPr>
            <w:tcW w:w="0" w:type="dxa"/>
            <w:vAlign w:val="bottom"/>
          </w:tcPr>
          <w:p>
            <w:pPr>
              <w:spacing w:after="0"/>
              <w:rPr>
                <w:sz w:val="1"/>
                <w:szCs w:val="1"/>
                <w:color w:val="auto"/>
              </w:rPr>
            </w:pPr>
          </w:p>
        </w:tc>
      </w:tr>
      <w:tr>
        <w:trPr>
          <w:trHeight w:val="50"/>
        </w:trPr>
        <w:tc>
          <w:tcPr>
            <w:tcW w:w="382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Net loss</w:t>
            </w:r>
          </w:p>
        </w:tc>
        <w:tc>
          <w:tcPr>
            <w:tcW w:w="124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(386.6)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(807.8)</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(802.4)</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(1,122.9)</w:t>
            </w:r>
          </w:p>
        </w:tc>
        <w:tc>
          <w:tcPr>
            <w:tcW w:w="0" w:type="dxa"/>
            <w:vAlign w:val="bottom"/>
          </w:tcPr>
          <w:p>
            <w:pPr>
              <w:spacing w:after="0"/>
              <w:rPr>
                <w:sz w:val="1"/>
                <w:szCs w:val="1"/>
                <w:color w:val="auto"/>
              </w:rPr>
            </w:pPr>
          </w:p>
        </w:tc>
      </w:tr>
      <w:tr>
        <w:trPr>
          <w:trHeight w:val="50"/>
        </w:trPr>
        <w:tc>
          <w:tcPr>
            <w:tcW w:w="382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Loss per share</w:t>
            </w:r>
          </w:p>
        </w:tc>
        <w:tc>
          <w:tcPr>
            <w:tcW w:w="1240" w:type="dxa"/>
            <w:vAlign w:val="bottom"/>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82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7FACB1"/>
            </w:tcBorders>
          </w:tcPr>
          <w:p>
            <w:pPr>
              <w:spacing w:after="0"/>
              <w:rPr>
                <w:sz w:val="3"/>
                <w:szCs w:val="3"/>
                <w:color w:val="auto"/>
              </w:rPr>
            </w:pPr>
          </w:p>
        </w:tc>
        <w:tc>
          <w:tcPr>
            <w:tcW w:w="9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7FACB1"/>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7FACB1"/>
            </w:tcBorders>
          </w:tcPr>
          <w:p>
            <w:pPr>
              <w:spacing w:after="0"/>
              <w:rPr>
                <w:sz w:val="3"/>
                <w:szCs w:val="3"/>
                <w:color w:val="auto"/>
              </w:rPr>
            </w:pPr>
          </w:p>
        </w:tc>
        <w:tc>
          <w:tcPr>
            <w:tcW w:w="8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Basic and diluted loss per share</w:t>
            </w:r>
          </w:p>
        </w:tc>
        <w:tc>
          <w:tcPr>
            <w:tcW w:w="124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(3.36)</w:t>
            </w:r>
          </w:p>
        </w:tc>
        <w:tc>
          <w:tcPr>
            <w:tcW w:w="14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(3.33)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(4.67)</w:t>
            </w:r>
          </w:p>
        </w:tc>
        <w:tc>
          <w:tcPr>
            <w:tcW w:w="0" w:type="dxa"/>
            <w:vAlign w:val="bottom"/>
          </w:tcPr>
          <w:p>
            <w:pPr>
              <w:spacing w:after="0"/>
              <w:rPr>
                <w:sz w:val="1"/>
                <w:szCs w:val="1"/>
                <w:color w:val="auto"/>
              </w:rPr>
            </w:pPr>
          </w:p>
        </w:tc>
      </w:tr>
      <w:tr>
        <w:trPr>
          <w:trHeight w:val="50"/>
        </w:trPr>
        <w:tc>
          <w:tcPr>
            <w:tcW w:w="382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1260" w:type="dxa"/>
            <w:vAlign w:val="bottom"/>
            <w:tcBorders>
              <w:bottom w:val="single" w:sz="8" w:color="BECE33"/>
            </w:tcBorders>
          </w:tcPr>
          <w:p>
            <w:pPr>
              <w:spacing w:after="0"/>
              <w:rPr>
                <w:sz w:val="4"/>
                <w:szCs w:val="4"/>
                <w:color w:val="auto"/>
              </w:rPr>
            </w:pPr>
          </w:p>
        </w:tc>
        <w:tc>
          <w:tcPr>
            <w:tcW w:w="140" w:type="dxa"/>
            <w:vAlign w:val="bottom"/>
            <w:tcBorders>
              <w:bottom w:val="single" w:sz="8" w:color="BECE33"/>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128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w:t>
            </w:r>
          </w:p>
        </w:tc>
      </w:tr>
    </w:tbl>
    <w:p>
      <w:pPr>
        <w:sectPr>
          <w:pgSz w:w="11900" w:h="16838" w:orient="portrait"/>
          <w:cols w:equalWidth="0" w:num="1">
            <w:col w:w="11220"/>
          </w:cols>
          <w:pgMar w:left="320" w:top="166" w:right="359" w:bottom="1440" w:gutter="0" w:footer="0" w:header="0"/>
        </w:sectPr>
      </w:pPr>
    </w:p>
    <w:bookmarkStart w:id="8" w:name="page9"/>
    <w:bookmarkEnd w:id="8"/>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274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274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74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6" w:lineRule="exact"/>
        <w:rPr>
          <w:sz w:val="20"/>
          <w:szCs w:val="20"/>
          <w:color w:val="auto"/>
        </w:rPr>
      </w:pPr>
    </w:p>
    <w:p>
      <w:pPr>
        <w:ind w:left="20" w:right="80"/>
        <w:spacing w:after="0" w:line="345" w:lineRule="auto"/>
        <w:rPr>
          <w:sz w:val="20"/>
          <w:szCs w:val="20"/>
          <w:color w:val="auto"/>
        </w:rPr>
      </w:pPr>
      <w:r>
        <w:rPr>
          <w:rFonts w:ascii="Times New Roman" w:cs="Times New Roman" w:eastAsia="Times New Roman" w:hAnsi="Times New Roman"/>
          <w:sz w:val="14"/>
          <w:szCs w:val="14"/>
          <w:i w:val="1"/>
          <w:iCs w:val="1"/>
          <w:color w:val="005A64"/>
        </w:rPr>
        <w:t>Other comprehensive income that may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743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005A64"/>
        </w:rPr>
        <w:t>Exchange differences on translation of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2743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87" w:lineRule="exact"/>
        <w:rPr>
          <w:sz w:val="20"/>
          <w:szCs w:val="20"/>
          <w:color w:val="auto"/>
        </w:rPr>
      </w:pPr>
    </w:p>
    <w:p>
      <w:pPr>
        <w:ind w:left="20"/>
        <w:spacing w:after="0" w:line="345" w:lineRule="auto"/>
        <w:rPr>
          <w:sz w:val="20"/>
          <w:szCs w:val="20"/>
          <w:color w:val="auto"/>
        </w:rPr>
      </w:pPr>
      <w:r>
        <w:rPr>
          <w:rFonts w:ascii="Times New Roman" w:cs="Times New Roman" w:eastAsia="Times New Roman" w:hAnsi="Times New Roman"/>
          <w:sz w:val="14"/>
          <w:szCs w:val="14"/>
          <w:b w:val="1"/>
          <w:bCs w:val="1"/>
          <w:color w:val="005A64"/>
        </w:rPr>
        <w:t>Net other comprehensive income / (loss) that may be reclassified to profit or loss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743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20" w:right="60"/>
        <w:spacing w:after="0" w:line="345" w:lineRule="auto"/>
        <w:rPr>
          <w:sz w:val="20"/>
          <w:szCs w:val="20"/>
          <w:color w:val="auto"/>
        </w:rPr>
      </w:pPr>
      <w:r>
        <w:rPr>
          <w:rFonts w:ascii="Times New Roman" w:cs="Times New Roman" w:eastAsia="Times New Roman" w:hAnsi="Times New Roman"/>
          <w:sz w:val="14"/>
          <w:szCs w:val="14"/>
          <w:i w:val="1"/>
          <w:iCs w:val="1"/>
          <w:color w:val="005A64"/>
        </w:rPr>
        <w:t>Other comprehensive loss that will not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743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20" w:right="260"/>
        <w:spacing w:after="0" w:line="342" w:lineRule="auto"/>
        <w:rPr>
          <w:sz w:val="20"/>
          <w:szCs w:val="20"/>
          <w:color w:val="auto"/>
        </w:rPr>
      </w:pPr>
      <w:r>
        <w:rPr>
          <w:rFonts w:ascii="Times New Roman" w:cs="Times New Roman" w:eastAsia="Times New Roman" w:hAnsi="Times New Roman"/>
          <w:sz w:val="14"/>
          <w:szCs w:val="14"/>
          <w:color w:val="005A64"/>
        </w:rPr>
        <w:t>Net gain / (loss) on equity instruments designated at fair value through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743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20" w:right="560"/>
        <w:spacing w:after="0" w:line="345" w:lineRule="auto"/>
        <w:rPr>
          <w:sz w:val="20"/>
          <w:szCs w:val="20"/>
          <w:color w:val="auto"/>
        </w:rPr>
      </w:pPr>
      <w:r>
        <w:rPr>
          <w:rFonts w:ascii="Times New Roman" w:cs="Times New Roman" w:eastAsia="Times New Roman" w:hAnsi="Times New Roman"/>
          <w:sz w:val="14"/>
          <w:szCs w:val="14"/>
          <w:b w:val="1"/>
          <w:bCs w:val="1"/>
          <w:color w:val="005A64"/>
        </w:rPr>
        <w:t>Net other comprehensive income / (loss) that will not be reclassified to profit or loss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743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20" w:right="1820"/>
        <w:spacing w:after="0" w:line="446" w:lineRule="auto"/>
        <w:rPr>
          <w:sz w:val="20"/>
          <w:szCs w:val="20"/>
          <w:color w:val="auto"/>
        </w:rPr>
      </w:pPr>
      <w:r>
        <w:rPr>
          <w:rFonts w:ascii="Times New Roman" w:cs="Times New Roman" w:eastAsia="Times New Roman" w:hAnsi="Times New Roman"/>
          <w:sz w:val="14"/>
          <w:szCs w:val="14"/>
          <w:b w:val="1"/>
          <w:bCs w:val="1"/>
          <w:color w:val="005A64"/>
        </w:rPr>
        <w:t>Other comprehensive loss, net of tax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743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2743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19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005A64"/>
              </w:rPr>
              <w:t>Six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BECD32"/>
            </w:tcBorders>
          </w:tcPr>
          <w:p>
            <w:pPr>
              <w:spacing w:after="0"/>
              <w:rPr>
                <w:sz w:val="13"/>
                <w:szCs w:val="13"/>
                <w:color w:val="auto"/>
              </w:rPr>
            </w:pPr>
          </w:p>
        </w:tc>
        <w:tc>
          <w:tcPr>
            <w:tcW w:w="1260" w:type="dxa"/>
            <w:vAlign w:val="bottom"/>
            <w:tcBorders>
              <w:bottom w:val="single" w:sz="8" w:color="BECD32"/>
            </w:tcBorders>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00" w:type="dxa"/>
            <w:vAlign w:val="bottom"/>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240" w:type="dxa"/>
            <w:vAlign w:val="bottom"/>
            <w:tcBorders>
              <w:bottom w:val="single" w:sz="8" w:color="BECD32"/>
            </w:tcBorders>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005A64"/>
              </w:rPr>
              <w:t>Note</w:t>
            </w:r>
          </w:p>
        </w:tc>
        <w:tc>
          <w:tcPr>
            <w:tcW w:w="1820" w:type="dxa"/>
            <w:vAlign w:val="bottom"/>
            <w:gridSpan w:val="4"/>
          </w:tcPr>
          <w:p>
            <w:pPr>
              <w:ind w:left="52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1940" w:type="dxa"/>
            <w:vAlign w:val="bottom"/>
            <w:gridSpan w:val="4"/>
          </w:tcPr>
          <w:p>
            <w:pPr>
              <w:ind w:left="50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0" w:type="dxa"/>
            <w:vAlign w:val="bottom"/>
          </w:tcPr>
          <w:p>
            <w:pPr>
              <w:spacing w:after="0"/>
              <w:rPr>
                <w:sz w:val="1"/>
                <w:szCs w:val="1"/>
                <w:color w:val="auto"/>
              </w:rPr>
            </w:pPr>
          </w:p>
        </w:tc>
      </w:tr>
      <w:tr>
        <w:trPr>
          <w:trHeight w:val="50"/>
        </w:trPr>
        <w:tc>
          <w:tcPr>
            <w:tcW w:w="6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(386.6)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(807.8)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(1,122.9)</w:t>
            </w:r>
          </w:p>
        </w:tc>
        <w:tc>
          <w:tcPr>
            <w:tcW w:w="0" w:type="dxa"/>
            <w:vAlign w:val="bottom"/>
          </w:tcPr>
          <w:p>
            <w:pPr>
              <w:spacing w:after="0"/>
              <w:rPr>
                <w:sz w:val="1"/>
                <w:szCs w:val="1"/>
                <w:color w:val="auto"/>
              </w:rPr>
            </w:pPr>
          </w:p>
        </w:tc>
      </w:tr>
      <w:tr>
        <w:trPr>
          <w:trHeight w:val="50"/>
        </w:trPr>
        <w:tc>
          <w:tcPr>
            <w:tcW w:w="6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80" w:type="dxa"/>
            <w:vAlign w:val="bottom"/>
            <w:tcBorders>
              <w:bottom w:val="single" w:sz="8" w:color="7FACB1"/>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7FACB1"/>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7FACB1"/>
            </w:tcBorders>
          </w:tcPr>
          <w:p>
            <w:pPr>
              <w:spacing w:after="0"/>
              <w:rPr>
                <w:sz w:val="19"/>
                <w:szCs w:val="19"/>
                <w:color w:val="auto"/>
              </w:rPr>
            </w:pPr>
          </w:p>
        </w:tc>
        <w:tc>
          <w:tcPr>
            <w:tcW w:w="920" w:type="dxa"/>
            <w:vAlign w:val="bottom"/>
            <w:tcBorders>
              <w:bottom w:val="single" w:sz="8" w:color="7FACB1"/>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7FACB1"/>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7FACB1"/>
            </w:tcBorders>
          </w:tcPr>
          <w:p>
            <w:pPr>
              <w:spacing w:after="0"/>
              <w:rPr>
                <w:sz w:val="19"/>
                <w:szCs w:val="19"/>
                <w:color w:val="auto"/>
              </w:rPr>
            </w:pPr>
          </w:p>
        </w:tc>
        <w:tc>
          <w:tcPr>
            <w:tcW w:w="80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-668020</wp:posOffset>
            </wp:positionV>
            <wp:extent cx="4174490" cy="268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74490" cy="26828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880" w:type="dxa"/>
        <w:tblCellMar>
          <w:top w:w="0" w:type="dxa"/>
          <w:left w:w="0" w:type="dxa"/>
          <w:bottom w:w="0" w:type="dxa"/>
          <w:right w:w="0" w:type="dxa"/>
        </w:tblCellMar>
      </w:tblPr>
      <w:tr>
        <w:trPr>
          <w:trHeight w:val="188"/>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(63.3)</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8.3</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(94.1)</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23.7</w:t>
            </w:r>
          </w:p>
        </w:tc>
      </w:tr>
      <w:tr>
        <w:trPr>
          <w:trHeight w:val="50"/>
        </w:trPr>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r>
      <w:tr>
        <w:trPr>
          <w:trHeight w:val="294"/>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(63.3)</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8.3</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(94.1)</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23.7</w:t>
            </w:r>
          </w:p>
        </w:tc>
      </w:tr>
      <w:tr>
        <w:trPr>
          <w:trHeight w:val="158"/>
        </w:trPr>
        <w:tc>
          <w:tcPr>
            <w:tcW w:w="126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bottom w:val="single" w:sz="8" w:color="005A64"/>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291465</wp:posOffset>
            </wp:positionV>
            <wp:extent cx="805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291465</wp:posOffset>
            </wp:positionV>
            <wp:extent cx="7969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291465</wp:posOffset>
            </wp:positionV>
            <wp:extent cx="428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-307975</wp:posOffset>
            </wp:positionV>
            <wp:extent cx="428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-8255</wp:posOffset>
            </wp:positionV>
            <wp:extent cx="428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5A64"/>
              </w:rPr>
              <w:t>24.9</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(115.9)</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5A64"/>
              </w:rPr>
              <w:t>(7.2)</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(109.0)</w:t>
            </w:r>
          </w:p>
        </w:tc>
      </w:tr>
      <w:tr>
        <w:trPr>
          <w:trHeight w:val="158"/>
        </w:trPr>
        <w:tc>
          <w:tcPr>
            <w:tcW w:w="680" w:type="dxa"/>
            <w:vAlign w:val="bottom"/>
            <w:tcBorders>
              <w:bottom w:val="single" w:sz="8" w:color="7FACB1"/>
            </w:tcBorders>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7FACB1"/>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bottom w:val="single" w:sz="8" w:color="7FACB1"/>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7FACB1"/>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bottom w:val="single" w:sz="8" w:color="7FACB1"/>
            </w:tcBorders>
          </w:tcPr>
          <w:p>
            <w:pPr>
              <w:spacing w:after="0"/>
              <w:rPr>
                <w:sz w:val="13"/>
                <w:szCs w:val="13"/>
                <w:color w:val="auto"/>
              </w:rPr>
            </w:pPr>
          </w:p>
        </w:tc>
      </w:tr>
      <w:tr>
        <w:trPr>
          <w:trHeight w:val="294"/>
        </w:trPr>
        <w:tc>
          <w:tcPr>
            <w:tcW w:w="6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24.9</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(115.9)</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(7.2)</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(109.0)</w:t>
            </w:r>
          </w:p>
        </w:tc>
      </w:tr>
      <w:tr>
        <w:trPr>
          <w:trHeight w:val="158"/>
        </w:trPr>
        <w:tc>
          <w:tcPr>
            <w:tcW w:w="680" w:type="dxa"/>
            <w:vAlign w:val="bottom"/>
            <w:tcBorders>
              <w:bottom w:val="single" w:sz="8" w:color="005A64"/>
            </w:tcBorders>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bottom w:val="single" w:sz="8" w:color="005A64"/>
            </w:tcBorders>
          </w:tcPr>
          <w:p>
            <w:pPr>
              <w:spacing w:after="0"/>
              <w:rPr>
                <w:sz w:val="13"/>
                <w:szCs w:val="13"/>
                <w:color w:val="auto"/>
              </w:rPr>
            </w:pPr>
          </w:p>
        </w:tc>
      </w:tr>
      <w:tr>
        <w:trPr>
          <w:trHeight w:val="200"/>
        </w:trPr>
        <w:tc>
          <w:tcPr>
            <w:tcW w:w="68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(38.4)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(107.6)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(101.3)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(85.3)</w:t>
            </w:r>
          </w:p>
        </w:tc>
      </w:tr>
      <w:tr>
        <w:trPr>
          <w:trHeight w:val="50"/>
        </w:trPr>
        <w:tc>
          <w:tcPr>
            <w:tcW w:w="68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r>
      <w:tr>
        <w:trPr>
          <w:trHeight w:val="200"/>
        </w:trPr>
        <w:tc>
          <w:tcPr>
            <w:tcW w:w="68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(425.0)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(915.4)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(903.7)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(1,208.2)</w:t>
            </w:r>
          </w:p>
        </w:tc>
      </w:tr>
      <w:tr>
        <w:trPr>
          <w:trHeight w:val="50"/>
        </w:trPr>
        <w:tc>
          <w:tcPr>
            <w:tcW w:w="68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r>
    </w:tbl>
    <w:p>
      <w:pPr>
        <w:spacing w:after="0" w:line="274" w:lineRule="exact"/>
        <w:rPr>
          <w:sz w:val="20"/>
          <w:szCs w:val="20"/>
          <w:color w:val="auto"/>
        </w:rPr>
      </w:pPr>
    </w:p>
    <w:p>
      <w:pPr>
        <w:sectPr>
          <w:pgSz w:w="11900" w:h="16838" w:orient="portrait"/>
          <w:cols w:equalWidth="0" w:num="2">
            <w:col w:w="4220" w:space="420"/>
            <w:col w:w="6580"/>
          </w:cols>
          <w:pgMar w:left="320" w:top="166" w:right="359" w:bottom="1440" w:gutter="0" w:footer="0" w:header="0"/>
          <w:type w:val="continuous"/>
        </w:sectPr>
      </w:pP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w:t>
            </w:r>
          </w:p>
        </w:tc>
      </w:tr>
    </w:tbl>
    <w:p>
      <w:pPr>
        <w:sectPr>
          <w:pgSz w:w="11900" w:h="16838" w:orient="portrait"/>
          <w:cols w:equalWidth="0" w:num="1">
            <w:col w:w="11220"/>
          </w:cols>
          <w:pgMar w:left="320" w:top="166" w:right="359" w:bottom="1440" w:gutter="0" w:footer="0" w:header="0"/>
          <w:type w:val="continuous"/>
        </w:sectPr>
      </w:pPr>
    </w:p>
    <w:bookmarkStart w:id="9" w:name="page10"/>
    <w:bookmarkEnd w:id="9"/>
    <w:p>
      <w:pPr>
        <w:ind w:left="106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234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right w:val="single" w:sz="8" w:color="BECD32"/>
            </w:tcBorders>
          </w:tcPr>
          <w:p>
            <w:pPr>
              <w:spacing w:after="0"/>
              <w:rPr>
                <w:sz w:val="19"/>
                <w:szCs w:val="19"/>
                <w:color w:val="auto"/>
              </w:rPr>
            </w:pPr>
          </w:p>
        </w:tc>
        <w:tc>
          <w:tcPr>
            <w:tcW w:w="80" w:type="dxa"/>
            <w:vAlign w:val="bottom"/>
            <w:tcBorders>
              <w:top w:val="single" w:sz="8" w:color="BECD32"/>
            </w:tcBorders>
          </w:tcPr>
          <w:p>
            <w:pPr>
              <w:spacing w:after="0"/>
              <w:rPr>
                <w:sz w:val="19"/>
                <w:szCs w:val="19"/>
                <w:color w:val="auto"/>
              </w:rPr>
            </w:pPr>
          </w:p>
        </w:tc>
        <w:tc>
          <w:tcPr>
            <w:tcW w:w="2240" w:type="dxa"/>
            <w:vAlign w:val="bottom"/>
            <w:tcBorders>
              <w:top w:val="single" w:sz="8" w:color="BECD32"/>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December 31,</w:t>
            </w:r>
          </w:p>
        </w:tc>
      </w:tr>
      <w:tr>
        <w:trPr>
          <w:trHeight w:val="25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120" w:type="dxa"/>
            <w:vAlign w:val="bottom"/>
          </w:tcPr>
          <w:p>
            <w:pPr>
              <w:spacing w:after="0"/>
              <w:rPr>
                <w:sz w:val="22"/>
                <w:szCs w:val="22"/>
                <w:color w:val="auto"/>
              </w:rPr>
            </w:pPr>
          </w:p>
        </w:tc>
        <w:tc>
          <w:tcPr>
            <w:tcW w:w="140" w:type="dxa"/>
            <w:vAlign w:val="bottom"/>
            <w:tcBorders>
              <w:right w:val="single" w:sz="8" w:color="BECD32"/>
            </w:tcBorders>
          </w:tcPr>
          <w:p>
            <w:pPr>
              <w:spacing w:after="0"/>
              <w:rPr>
                <w:sz w:val="22"/>
                <w:szCs w:val="22"/>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22"/>
                <w:szCs w:val="22"/>
                <w:color w:val="auto"/>
              </w:rPr>
            </w:pP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r>
      <w:tr>
        <w:trPr>
          <w:trHeight w:val="25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Assets</w:t>
            </w:r>
          </w:p>
        </w:tc>
        <w:tc>
          <w:tcPr>
            <w:tcW w:w="1260" w:type="dxa"/>
            <w:vAlign w:val="bottom"/>
            <w:tcBorders>
              <w:right w:val="single" w:sz="8" w:color="BECD32"/>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005A64"/>
              </w:rPr>
              <w:t>Note</w:t>
            </w:r>
          </w:p>
        </w:tc>
        <w:tc>
          <w:tcPr>
            <w:tcW w:w="80" w:type="dxa"/>
            <w:vAlign w:val="bottom"/>
          </w:tcPr>
          <w:p>
            <w:pPr>
              <w:spacing w:after="0"/>
              <w:rPr>
                <w:sz w:val="22"/>
                <w:szCs w:val="22"/>
                <w:color w:val="auto"/>
              </w:rPr>
            </w:pPr>
          </w:p>
        </w:tc>
        <w:tc>
          <w:tcPr>
            <w:tcW w:w="224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8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51"/>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Non-current assets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Goodwill</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364.1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380.6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intangible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1,487.0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790.4</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Property, plant and equipment</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1,017.8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935.3</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Right-of-use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224.3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248.1</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9.8</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2,504.8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1,254.0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26.8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26.3</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Deferred tax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77.8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81.7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non-current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5,708.5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3,726.2</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Current assets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Inventories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230.7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283.3</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Trade and other receivables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1,368.3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1,463.9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3,767.2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7,021.7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215.0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212.7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Income tax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69.7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50.0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Cash and cash equivalents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10,269.5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9,761.9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current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15,929.1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18,803.5</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21,637.6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22,529.7</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38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Equity and liabilities</w:t>
            </w:r>
          </w:p>
        </w:tc>
        <w:tc>
          <w:tcPr>
            <w:tcW w:w="1120" w:type="dxa"/>
            <w:vAlign w:val="bottom"/>
          </w:tcPr>
          <w:p>
            <w:pPr>
              <w:spacing w:after="0"/>
              <w:rPr>
                <w:sz w:val="24"/>
                <w:szCs w:val="24"/>
                <w:color w:val="auto"/>
              </w:rPr>
            </w:pP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Equity</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Share capital</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248.6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248.6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Capital reserve</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1,447.9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1,398.6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Treasury shares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Retained earnings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18,295.6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19,098.0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reserves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(1,478.8)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(1,325.5)</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equity</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18,505.1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19,411.1</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Non-current liabilities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Lease liabilities, loans and borrowings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217.2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214.7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145.0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46.9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20.9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787.7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183.0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80.4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87.5</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Deferred tax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28.5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42.4</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non-current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1,281.7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595.4</w:t>
            </w:r>
          </w:p>
        </w:tc>
      </w:tr>
      <w:tr>
        <w:trPr>
          <w:trHeight w:val="51"/>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Current liabilities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Lease liabilities, loans and borrowings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52.4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39.5</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Trade payables and other payables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504.2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426.7</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40.9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1,443.4</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Income tax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4.5</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145.6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144.8</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945.4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294.9</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158.6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169.4</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current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1,850.8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2,523.2</w:t>
            </w:r>
          </w:p>
        </w:tc>
      </w:tr>
      <w:tr>
        <w:trPr>
          <w:trHeight w:val="51"/>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3,132.5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3,118.6</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equity and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21,637.6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22,529.7</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210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bl>
    <w:p>
      <w:pPr>
        <w:sectPr>
          <w:pgSz w:w="11900" w:h="16838" w:orient="portrait"/>
          <w:cols w:equalWidth="0" w:num="1">
            <w:col w:w="11220"/>
          </w:cols>
          <w:pgMar w:left="320" w:top="166" w:right="359" w:bottom="42"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w:t>
            </w:r>
          </w:p>
        </w:tc>
      </w:tr>
    </w:tbl>
    <w:p>
      <w:pPr>
        <w:sectPr>
          <w:pgSz w:w="11900" w:h="16838" w:orient="portrait"/>
          <w:cols w:equalWidth="0" w:num="1">
            <w:col w:w="11180"/>
          </w:cols>
          <w:pgMar w:left="360" w:top="148" w:right="359" w:bottom="1440" w:gutter="0" w:footer="0" w:header="0"/>
        </w:sectPr>
      </w:pPr>
    </w:p>
    <w:bookmarkStart w:id="11" w:name="page12"/>
    <w:bookmarkEnd w:id="11"/>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0465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40" w:type="dxa"/>
            <w:vAlign w:val="bottom"/>
            <w:gridSpan w:val="6"/>
          </w:tcPr>
          <w:p>
            <w:pPr>
              <w:ind w:left="340"/>
              <w:spacing w:after="0"/>
              <w:rPr>
                <w:sz w:val="20"/>
                <w:szCs w:val="20"/>
                <w:color w:val="auto"/>
              </w:rPr>
            </w:pPr>
            <w:r>
              <w:rPr>
                <w:rFonts w:ascii="Times New Roman" w:cs="Times New Roman" w:eastAsia="Times New Roman" w:hAnsi="Times New Roman"/>
                <w:sz w:val="12"/>
                <w:szCs w:val="12"/>
                <w:b w:val="1"/>
                <w:bCs w:val="1"/>
                <w:color w:val="005A64"/>
              </w:rPr>
              <w:t>Equity attributable to equity holders of the parent</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3"/>
        </w:trPr>
        <w:tc>
          <w:tcPr>
            <w:tcW w:w="2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1160" w:type="dxa"/>
            <w:vAlign w:val="bottom"/>
            <w:tcBorders>
              <w:bottom w:val="single" w:sz="8" w:color="005A64"/>
            </w:tcBorders>
            <w:gridSpan w:val="2"/>
          </w:tcPr>
          <w:p>
            <w:pPr>
              <w:spacing w:after="0"/>
              <w:rPr>
                <w:sz w:val="2"/>
                <w:szCs w:val="2"/>
                <w:color w:val="auto"/>
              </w:rPr>
            </w:pPr>
          </w:p>
        </w:tc>
        <w:tc>
          <w:tcPr>
            <w:tcW w:w="1200" w:type="dxa"/>
            <w:vAlign w:val="bottom"/>
            <w:tcBorders>
              <w:bottom w:val="single" w:sz="8" w:color="005A64"/>
            </w:tcBorders>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7"/>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80" w:type="dxa"/>
            <w:vAlign w:val="bottom"/>
          </w:tcPr>
          <w:p>
            <w:pPr>
              <w:spacing w:after="0"/>
              <w:rPr>
                <w:sz w:val="22"/>
                <w:szCs w:val="22"/>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2"/>
                <w:szCs w:val="12"/>
                <w:b w:val="1"/>
                <w:bCs w:val="1"/>
                <w:color w:val="005A64"/>
              </w:rPr>
              <w:t>Note</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005A64"/>
              </w:rPr>
              <w:t>Share capital</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Capital reserve</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Treasury shares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Retained earnings</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005A64"/>
              </w:rPr>
              <w:t>Other reserves</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005A64"/>
              </w:rPr>
              <w:t>Total equity</w:t>
            </w: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January 1, 2024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1,229.4</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19,763.3</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(984.6)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20,245.9</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Net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(1,122.9)</w:t>
            </w: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(1,122.9)</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Other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(85.3)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(85.3)</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Total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(1,122.9)</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(85.3)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(1,208.2)</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2.9</w:t>
            </w:r>
          </w:p>
        </w:tc>
        <w:tc>
          <w:tcPr>
            <w:tcW w:w="1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31.7</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34.6</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June 30, 2024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1,232.3</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18,640.4</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(1,038.2)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19,072.3</w:t>
            </w:r>
          </w:p>
        </w:tc>
        <w:tc>
          <w:tcPr>
            <w:tcW w:w="140" w:type="dxa"/>
            <w:vAlign w:val="bottom"/>
          </w:tcPr>
          <w:p>
            <w:pPr>
              <w:spacing w:after="0"/>
              <w:rPr>
                <w:sz w:val="15"/>
                <w:szCs w:val="15"/>
                <w:color w:val="auto"/>
              </w:rPr>
            </w:pPr>
          </w:p>
        </w:tc>
      </w:tr>
      <w:tr>
        <w:trPr>
          <w:trHeight w:val="33"/>
        </w:trPr>
        <w:tc>
          <w:tcPr>
            <w:tcW w:w="2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2800" w:type="dxa"/>
            <w:vAlign w:val="bottom"/>
            <w:tcBorders>
              <w:top w:val="single" w:sz="8" w:color="005A64"/>
              <w:bottom w:val="single" w:sz="8" w:color="005A64"/>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BECE33"/>
            </w:tcBorders>
          </w:tcPr>
          <w:p>
            <w:pPr>
              <w:spacing w:after="0"/>
              <w:rPr>
                <w:sz w:val="21"/>
                <w:szCs w:val="21"/>
                <w:color w:val="auto"/>
              </w:rPr>
            </w:pPr>
          </w:p>
        </w:tc>
        <w:tc>
          <w:tcPr>
            <w:tcW w:w="98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60" w:type="dxa"/>
            <w:vAlign w:val="bottom"/>
            <w:tcBorders>
              <w:bottom w:val="single" w:sz="8" w:color="BECE33"/>
            </w:tcBorders>
          </w:tcPr>
          <w:p>
            <w:pPr>
              <w:spacing w:after="0"/>
              <w:rPr>
                <w:sz w:val="21"/>
                <w:szCs w:val="21"/>
                <w:color w:val="auto"/>
              </w:rPr>
            </w:pPr>
          </w:p>
        </w:tc>
        <w:tc>
          <w:tcPr>
            <w:tcW w:w="102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2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40" w:type="dxa"/>
            <w:vAlign w:val="bottom"/>
            <w:tcBorders>
              <w:bottom w:val="single" w:sz="8" w:color="BECE33"/>
            </w:tcBorders>
          </w:tcPr>
          <w:p>
            <w:pPr>
              <w:spacing w:after="0"/>
              <w:rPr>
                <w:sz w:val="21"/>
                <w:szCs w:val="21"/>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January 1, 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1,398.6</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19,098.0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(1,325.5)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19,411.1</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Net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(802.4)</w:t>
            </w: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(802.4)</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Other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(101.3)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(101.3)</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Total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(802.4)</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(101.3)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(903.7)</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49.3</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0.4</w:t>
            </w: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(52.0)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(2.3)</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June 30, 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1,447.9</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18,295.6</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(1,478.8)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18,505.1</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102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2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40" w:type="dxa"/>
            <w:vAlign w:val="bottom"/>
            <w:tcBorders>
              <w:bottom w:val="single" w:sz="8" w:color="BECE33"/>
              <w:right w:val="single" w:sz="8" w:color="BECE33"/>
            </w:tcBorders>
          </w:tcPr>
          <w:p>
            <w:pPr>
              <w:spacing w:after="0"/>
              <w:rPr>
                <w:sz w:val="2"/>
                <w:szCs w:val="2"/>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w:t>
            </w:r>
          </w:p>
        </w:tc>
      </w:tr>
    </w:tbl>
    <w:p>
      <w:pPr>
        <w:sectPr>
          <w:pgSz w:w="11900" w:h="16838" w:orient="portrait"/>
          <w:cols w:equalWidth="0" w:num="1">
            <w:col w:w="11220"/>
          </w:cols>
          <w:pgMar w:left="320" w:top="167" w:right="359" w:bottom="1440" w:gutter="0" w:footer="0" w:header="0"/>
        </w:sectPr>
      </w:pPr>
    </w:p>
    <w:bookmarkStart w:id="12" w:name="page13"/>
    <w:bookmarkEnd w:id="12"/>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151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4"/>
          </w:tcPr>
          <w:p>
            <w:pPr>
              <w:ind w:left="680"/>
              <w:spacing w:after="0"/>
              <w:rPr>
                <w:sz w:val="20"/>
                <w:szCs w:val="20"/>
                <w:color w:val="auto"/>
              </w:rPr>
            </w:pPr>
            <w:r>
              <w:rPr>
                <w:rFonts w:ascii="Times New Roman" w:cs="Times New Roman" w:eastAsia="Times New Roman" w:hAnsi="Times New Roman"/>
                <w:sz w:val="12"/>
                <w:szCs w:val="12"/>
                <w:b w:val="1"/>
                <w:bCs w:val="1"/>
                <w:color w:val="005A64"/>
              </w:rPr>
              <w:t>Three months ended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ind w:left="740"/>
              <w:spacing w:after="0"/>
              <w:rPr>
                <w:sz w:val="20"/>
                <w:szCs w:val="20"/>
                <w:color w:val="auto"/>
              </w:rPr>
            </w:pPr>
            <w:r>
              <w:rPr>
                <w:rFonts w:ascii="Times New Roman" w:cs="Times New Roman" w:eastAsia="Times New Roman" w:hAnsi="Times New Roman"/>
                <w:sz w:val="12"/>
                <w:szCs w:val="12"/>
                <w:b w:val="1"/>
                <w:bCs w:val="1"/>
                <w:color w:val="005A64"/>
              </w:rPr>
              <w:t>Six months ended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ind w:left="1000"/>
              <w:spacing w:after="0"/>
              <w:rPr>
                <w:sz w:val="20"/>
                <w:szCs w:val="20"/>
                <w:color w:val="auto"/>
              </w:rPr>
            </w:pPr>
            <w:r>
              <w:rPr>
                <w:rFonts w:ascii="Times New Roman" w:cs="Times New Roman" w:eastAsia="Times New Roman" w:hAnsi="Times New Roman"/>
                <w:sz w:val="12"/>
                <w:szCs w:val="12"/>
                <w:b w:val="1"/>
                <w:bCs w:val="1"/>
                <w:color w:val="005A64"/>
              </w:rPr>
              <w:t>June 30,</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ind w:left="1000"/>
              <w:spacing w:after="0"/>
              <w:rPr>
                <w:sz w:val="20"/>
                <w:szCs w:val="20"/>
                <w:color w:val="auto"/>
              </w:rPr>
            </w:pPr>
            <w:r>
              <w:rPr>
                <w:rFonts w:ascii="Times New Roman" w:cs="Times New Roman" w:eastAsia="Times New Roman" w:hAnsi="Times New Roman"/>
                <w:sz w:val="12"/>
                <w:szCs w:val="12"/>
                <w:b w:val="1"/>
                <w:bCs w:val="1"/>
                <w:color w:val="005A64"/>
              </w:rPr>
              <w:t>June 30,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bottom w:val="single" w:sz="8" w:color="BECD32"/>
            </w:tcBorders>
            <w:gridSpan w:val="2"/>
          </w:tcPr>
          <w:p>
            <w:pPr>
              <w:spacing w:after="0"/>
              <w:rPr>
                <w:sz w:val="12"/>
                <w:szCs w:val="12"/>
                <w:color w:val="auto"/>
              </w:rPr>
            </w:pPr>
          </w:p>
        </w:tc>
        <w:tc>
          <w:tcPr>
            <w:tcW w:w="140" w:type="dxa"/>
            <w:vAlign w:val="bottom"/>
            <w:tcBorders>
              <w:bottom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2024</w:t>
            </w:r>
          </w:p>
        </w:tc>
        <w:tc>
          <w:tcPr>
            <w:tcW w:w="120" w:type="dxa"/>
            <w:vAlign w:val="bottom"/>
          </w:tcPr>
          <w:p>
            <w:pPr>
              <w:spacing w:after="0"/>
              <w:rPr>
                <w:sz w:val="12"/>
                <w:szCs w:val="12"/>
                <w:color w:val="auto"/>
              </w:rPr>
            </w:pPr>
          </w:p>
        </w:tc>
        <w:tc>
          <w:tcPr>
            <w:tcW w:w="1220" w:type="dxa"/>
            <w:vAlign w:val="bottom"/>
            <w:tcBorders>
              <w:bottom w:val="single" w:sz="8" w:color="BECD32"/>
            </w:tcBorders>
            <w:gridSpan w:val="2"/>
          </w:tcPr>
          <w:p>
            <w:pPr>
              <w:spacing w:after="0"/>
              <w:rPr>
                <w:sz w:val="12"/>
                <w:szCs w:val="12"/>
                <w:color w:val="auto"/>
              </w:rPr>
            </w:pPr>
          </w:p>
        </w:tc>
        <w:tc>
          <w:tcPr>
            <w:tcW w:w="120" w:type="dxa"/>
            <w:vAlign w:val="bottom"/>
            <w:tcBorders>
              <w:bottom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2024</w:t>
            </w:r>
          </w:p>
        </w:tc>
        <w:tc>
          <w:tcPr>
            <w:tcW w:w="0" w:type="dxa"/>
            <w:vAlign w:val="bottom"/>
          </w:tcPr>
          <w:p>
            <w:pPr>
              <w:spacing w:after="0"/>
              <w:rPr>
                <w:sz w:val="1"/>
                <w:szCs w:val="1"/>
                <w:color w:val="auto"/>
              </w:rPr>
            </w:pPr>
          </w:p>
        </w:tc>
      </w:tr>
      <w:tr>
        <w:trPr>
          <w:trHeight w:val="176"/>
        </w:trPr>
        <w:tc>
          <w:tcPr>
            <w:tcW w:w="5860" w:type="dxa"/>
            <w:vAlign w:val="bottom"/>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2025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2025</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80" w:type="dxa"/>
            <w:vAlign w:val="bottom"/>
          </w:tcPr>
          <w:p>
            <w:pPr>
              <w:spacing w:after="0"/>
              <w:rPr>
                <w:sz w:val="18"/>
                <w:szCs w:val="18"/>
                <w:color w:val="auto"/>
              </w:rPr>
            </w:pPr>
          </w:p>
        </w:tc>
        <w:tc>
          <w:tcPr>
            <w:tcW w:w="1260" w:type="dxa"/>
            <w:vAlign w:val="bottom"/>
            <w:tcBorders>
              <w:right w:val="single" w:sz="8" w:color="BECD32"/>
            </w:tcBorders>
            <w:gridSpan w:val="2"/>
          </w:tcPr>
          <w:p>
            <w:pPr>
              <w:ind w:left="50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540" w:type="dxa"/>
            <w:vAlign w:val="bottom"/>
            <w:gridSpan w:val="2"/>
          </w:tcPr>
          <w:p>
            <w:pPr>
              <w:spacing w:after="0"/>
              <w:rPr>
                <w:sz w:val="18"/>
                <w:szCs w:val="18"/>
                <w:color w:val="auto"/>
              </w:rPr>
            </w:pPr>
          </w:p>
        </w:tc>
        <w:tc>
          <w:tcPr>
            <w:tcW w:w="780" w:type="dxa"/>
            <w:vAlign w:val="bottom"/>
            <w:tcBorders>
              <w:right w:val="single" w:sz="8" w:color="BECD32"/>
            </w:tcBorders>
            <w:gridSpan w:val="2"/>
          </w:tcPr>
          <w:p>
            <w:pPr>
              <w:ind w:left="4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100" w:type="dxa"/>
            <w:vAlign w:val="bottom"/>
          </w:tcPr>
          <w:p>
            <w:pPr>
              <w:spacing w:after="0"/>
              <w:rPr>
                <w:sz w:val="18"/>
                <w:szCs w:val="18"/>
                <w:color w:val="auto"/>
              </w:rPr>
            </w:pPr>
          </w:p>
        </w:tc>
        <w:tc>
          <w:tcPr>
            <w:tcW w:w="1240" w:type="dxa"/>
            <w:vAlign w:val="bottom"/>
            <w:tcBorders>
              <w:right w:val="single" w:sz="8" w:color="BECD32"/>
            </w:tcBorders>
            <w:gridSpan w:val="2"/>
          </w:tcPr>
          <w:p>
            <w:pPr>
              <w:ind w:left="50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520" w:type="dxa"/>
            <w:vAlign w:val="bottom"/>
            <w:gridSpan w:val="2"/>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0" w:type="dxa"/>
            <w:vAlign w:val="bottom"/>
          </w:tcPr>
          <w:p>
            <w:pPr>
              <w:spacing w:after="0"/>
              <w:rPr>
                <w:sz w:val="1"/>
                <w:szCs w:val="1"/>
                <w:color w:val="auto"/>
              </w:rPr>
            </w:pPr>
          </w:p>
        </w:tc>
      </w:tr>
      <w:tr>
        <w:trPr>
          <w:trHeight w:val="33"/>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005A64"/>
            </w:tcBorders>
          </w:tcPr>
          <w:p>
            <w:pPr>
              <w:spacing w:after="0"/>
              <w:rPr>
                <w:sz w:val="2"/>
                <w:szCs w:val="2"/>
                <w:color w:val="auto"/>
              </w:rPr>
            </w:pPr>
          </w:p>
        </w:tc>
        <w:tc>
          <w:tcPr>
            <w:tcW w:w="7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Operating activities</w:t>
            </w:r>
          </w:p>
        </w:tc>
        <w:tc>
          <w:tcPr>
            <w:tcW w:w="8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7FACB1"/>
            </w:tcBorders>
          </w:tcPr>
          <w:p>
            <w:pPr>
              <w:spacing w:after="0"/>
              <w:rPr>
                <w:sz w:val="15"/>
                <w:szCs w:val="15"/>
                <w:color w:val="auto"/>
              </w:rPr>
            </w:pPr>
          </w:p>
        </w:tc>
        <w:tc>
          <w:tcPr>
            <w:tcW w:w="66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7FACB1"/>
            </w:tcBorders>
          </w:tcPr>
          <w:p>
            <w:pPr>
              <w:spacing w:after="0"/>
              <w:rPr>
                <w:sz w:val="15"/>
                <w:szCs w:val="15"/>
                <w:color w:val="auto"/>
              </w:rPr>
            </w:pPr>
          </w:p>
        </w:tc>
        <w:tc>
          <w:tcPr>
            <w:tcW w:w="7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Net loss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(386.6)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(807.8)</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(802.4)</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(1,122.9)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Income taxes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(16.1)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2.0</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(45.7)</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(14.7)</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Loss before tax</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(402.7)</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(805.8)</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(848.1)</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(1,137.6)</w:t>
            </w:r>
          </w:p>
        </w:tc>
        <w:tc>
          <w:tcPr>
            <w:tcW w:w="0" w:type="dxa"/>
            <w:vAlign w:val="bottom"/>
          </w:tcPr>
          <w:p>
            <w:pPr>
              <w:spacing w:after="0"/>
              <w:rPr>
                <w:sz w:val="1"/>
                <w:szCs w:val="1"/>
                <w:color w:val="auto"/>
              </w:rPr>
            </w:pPr>
          </w:p>
        </w:tc>
      </w:tr>
      <w:tr>
        <w:trPr>
          <w:trHeight w:val="33"/>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005A64"/>
            </w:tcBorders>
          </w:tcPr>
          <w:p>
            <w:pPr>
              <w:spacing w:after="0"/>
              <w:rPr>
                <w:sz w:val="2"/>
                <w:szCs w:val="2"/>
                <w:color w:val="auto"/>
              </w:rPr>
            </w:pPr>
          </w:p>
        </w:tc>
        <w:tc>
          <w:tcPr>
            <w:tcW w:w="7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Adjustments to reconcile loss before tax to net cash flows:</w:t>
            </w:r>
          </w:p>
        </w:tc>
        <w:tc>
          <w:tcPr>
            <w:tcW w:w="8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7FACB1"/>
            </w:tcBorders>
          </w:tcPr>
          <w:p>
            <w:pPr>
              <w:spacing w:after="0"/>
              <w:rPr>
                <w:sz w:val="15"/>
                <w:szCs w:val="15"/>
                <w:color w:val="auto"/>
              </w:rPr>
            </w:pPr>
          </w:p>
        </w:tc>
        <w:tc>
          <w:tcPr>
            <w:tcW w:w="66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7FACB1"/>
            </w:tcBorders>
          </w:tcPr>
          <w:p>
            <w:pPr>
              <w:spacing w:after="0"/>
              <w:rPr>
                <w:sz w:val="15"/>
                <w:szCs w:val="15"/>
                <w:color w:val="auto"/>
              </w:rPr>
            </w:pPr>
          </w:p>
        </w:tc>
        <w:tc>
          <w:tcPr>
            <w:tcW w:w="7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Depreciation and amortization of property, plant, equipment, intangible assets and right-of-use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51.0</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49.9</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93.8</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88.2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Share-based payment expenses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32.1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20.2</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54.2</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36.5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Net foreign exchange differences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12.2</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(13.2)</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60.5</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(41.9)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Gain on disposal of property, plant and equipment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(0.3)</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(0.2)</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(0.4)</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Finance income excluding foreign exchange differences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(105.4)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(167.7)</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(228.0)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(342.6)</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Finance expense excluding foreign exchange differences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4.8</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14.5</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Government grants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(18.5)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(3.1)</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(33.0)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non-cash (income) / loss</w:t>
            </w:r>
          </w:p>
        </w:tc>
        <w:tc>
          <w:tcPr>
            <w:tcW w:w="80" w:type="dxa"/>
            <w:vAlign w:val="bottom"/>
          </w:tcPr>
          <w:p>
            <w:pPr>
              <w:spacing w:after="0"/>
              <w:rPr>
                <w:sz w:val="15"/>
                <w:szCs w:val="15"/>
                <w:color w:val="auto"/>
              </w:rPr>
            </w:pPr>
          </w:p>
        </w:tc>
        <w:tc>
          <w:tcPr>
            <w:tcW w:w="126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005A64"/>
              </w:rPr>
              <w:t>—</w:t>
            </w:r>
          </w:p>
        </w:tc>
        <w:tc>
          <w:tcPr>
            <w:tcW w:w="540" w:type="dxa"/>
            <w:vAlign w:val="bottom"/>
            <w:gridSpan w:val="2"/>
          </w:tcPr>
          <w:p>
            <w:pPr>
              <w:spacing w:after="0"/>
              <w:rPr>
                <w:sz w:val="15"/>
                <w:szCs w:val="15"/>
                <w:color w:val="auto"/>
              </w:rPr>
            </w:pPr>
          </w:p>
        </w:tc>
        <w:tc>
          <w:tcPr>
            <w:tcW w:w="780" w:type="dxa"/>
            <w:vAlign w:val="bottom"/>
            <w:tcBorders>
              <w:right w:val="single" w:sz="8" w:color="BECD32"/>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005A6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Unrealized (gain) / loss on derivative instruments at fair value through profit or loss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(17.3)</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5.0</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(28.6)</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6.7</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Working capital adjustments:</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7FACB1"/>
            </w:tcBorders>
          </w:tcPr>
          <w:p>
            <w:pPr>
              <w:spacing w:after="0"/>
              <w:rPr>
                <w:sz w:val="15"/>
                <w:szCs w:val="15"/>
                <w:color w:val="auto"/>
              </w:rPr>
            </w:pPr>
          </w:p>
        </w:tc>
        <w:tc>
          <w:tcPr>
            <w:tcW w:w="66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7FACB1"/>
            </w:tcBorders>
          </w:tcPr>
          <w:p>
            <w:pPr>
              <w:spacing w:after="0"/>
              <w:rPr>
                <w:sz w:val="15"/>
                <w:szCs w:val="15"/>
                <w:color w:val="auto"/>
              </w:rPr>
            </w:pPr>
          </w:p>
        </w:tc>
        <w:tc>
          <w:tcPr>
            <w:tcW w:w="7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Decrease / (Increase) in trade and other receivables, contract assets and other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(400.4)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1,599.6</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121.0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2,097.8</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Decrease in inventories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22.8</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5.3</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56.6</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17.6</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(Decrease) / Increase in trade payables, other financial liabilities, other liabilities, contract liabilities,</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5A64"/>
              </w:rPr>
              <w:t>914.6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760.8</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5A64"/>
              </w:rPr>
              <w:t>(56.4)</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472.8</w:t>
            </w:r>
          </w:p>
        </w:tc>
        <w:tc>
          <w:tcPr>
            <w:tcW w:w="0" w:type="dxa"/>
            <w:vAlign w:val="bottom"/>
          </w:tcPr>
          <w:p>
            <w:pPr>
              <w:spacing w:after="0"/>
              <w:rPr>
                <w:sz w:val="1"/>
                <w:szCs w:val="1"/>
                <w:color w:val="auto"/>
              </w:rPr>
            </w:pPr>
          </w:p>
        </w:tc>
      </w:tr>
      <w:tr>
        <w:trPr>
          <w:trHeight w:val="81"/>
        </w:trPr>
        <w:tc>
          <w:tcPr>
            <w:tcW w:w="6000" w:type="dxa"/>
            <w:vAlign w:val="bottom"/>
            <w:tcBorders>
              <w:right w:val="single" w:sz="8" w:color="BECD32"/>
            </w:tcBorders>
            <w:gridSpan w:val="2"/>
            <w:vMerge w:val="restart"/>
          </w:tcPr>
          <w:p>
            <w:pPr>
              <w:ind w:left="280"/>
              <w:spacing w:after="0"/>
              <w:rPr>
                <w:sz w:val="20"/>
                <w:szCs w:val="20"/>
                <w:color w:val="auto"/>
              </w:rPr>
            </w:pPr>
            <w:r>
              <w:rPr>
                <w:rFonts w:ascii="Times New Roman" w:cs="Times New Roman" w:eastAsia="Times New Roman" w:hAnsi="Times New Roman"/>
                <w:sz w:val="12"/>
                <w:szCs w:val="12"/>
                <w:color w:val="005A64"/>
              </w:rPr>
              <w:t>refund liabilities and provisions</w:t>
            </w:r>
          </w:p>
        </w:tc>
        <w:tc>
          <w:tcPr>
            <w:tcW w:w="1200" w:type="dxa"/>
            <w:vAlign w:val="bottom"/>
            <w:gridSpan w:val="2"/>
            <w:vMerge w:val="continue"/>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00" w:type="dxa"/>
            <w:vAlign w:val="bottom"/>
            <w:tcBorders>
              <w:right w:val="single" w:sz="8" w:color="BECD32"/>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Interest received and realized gains from cash and cash equivalents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73.1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80.8</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191.7</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280.2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Interest paid and realized losses from cash and cash equivalents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(2.7)</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(5.8)</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Income tax received / (paid), net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(14.9)</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66.4</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(27.1)</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(192.4)</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(11.5)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(6.8)</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(15.1)</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Government grants received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7.8</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32.8</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31.0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42.0</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from / (used in) operating activities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146.5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1,627.2</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(634.2)</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1,309.9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005A64"/>
            </w:tcBorders>
          </w:tcPr>
          <w:p>
            <w:pPr>
              <w:spacing w:after="0"/>
              <w:rPr>
                <w:sz w:val="2"/>
                <w:szCs w:val="2"/>
                <w:color w:val="auto"/>
              </w:rPr>
            </w:pPr>
          </w:p>
        </w:tc>
        <w:tc>
          <w:tcPr>
            <w:tcW w:w="7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Investing activities</w:t>
            </w:r>
          </w:p>
        </w:tc>
        <w:tc>
          <w:tcPr>
            <w:tcW w:w="8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7FACB1"/>
            </w:tcBorders>
          </w:tcPr>
          <w:p>
            <w:pPr>
              <w:spacing w:after="0"/>
              <w:rPr>
                <w:sz w:val="15"/>
                <w:szCs w:val="15"/>
                <w:color w:val="auto"/>
              </w:rPr>
            </w:pPr>
          </w:p>
        </w:tc>
        <w:tc>
          <w:tcPr>
            <w:tcW w:w="66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7FACB1"/>
            </w:tcBorders>
          </w:tcPr>
          <w:p>
            <w:pPr>
              <w:spacing w:after="0"/>
              <w:rPr>
                <w:sz w:val="15"/>
                <w:szCs w:val="15"/>
                <w:color w:val="auto"/>
              </w:rPr>
            </w:pPr>
          </w:p>
        </w:tc>
        <w:tc>
          <w:tcPr>
            <w:tcW w:w="7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Purchase of property, plant and equipment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(27.1)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(88.6)</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(76.0)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(147.1)</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Proceeds from sale of property, plant and equipment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0.2</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Purchase of intangible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(52.7)</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(572.3)</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(131.1)</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Acquisition of subsidiaries and businesses, net of cash acquired</w:t>
            </w:r>
          </w:p>
        </w:tc>
        <w:tc>
          <w:tcPr>
            <w:tcW w:w="80" w:type="dxa"/>
            <w:vAlign w:val="bottom"/>
          </w:tcPr>
          <w:p>
            <w:pPr>
              <w:spacing w:after="0"/>
              <w:rPr>
                <w:sz w:val="15"/>
                <w:szCs w:val="15"/>
                <w:color w:val="auto"/>
              </w:rPr>
            </w:pPr>
          </w:p>
        </w:tc>
        <w:tc>
          <w:tcPr>
            <w:tcW w:w="126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005A64"/>
              </w:rPr>
              <w:t>—</w:t>
            </w:r>
          </w:p>
        </w:tc>
        <w:tc>
          <w:tcPr>
            <w:tcW w:w="540" w:type="dxa"/>
            <w:vAlign w:val="bottom"/>
            <w:gridSpan w:val="2"/>
          </w:tcPr>
          <w:p>
            <w:pPr>
              <w:spacing w:after="0"/>
              <w:rPr>
                <w:sz w:val="15"/>
                <w:szCs w:val="15"/>
                <w:color w:val="auto"/>
              </w:rPr>
            </w:pPr>
          </w:p>
        </w:tc>
        <w:tc>
          <w:tcPr>
            <w:tcW w:w="780" w:type="dxa"/>
            <w:vAlign w:val="bottom"/>
            <w:tcBorders>
              <w:right w:val="single" w:sz="8" w:color="BECD32"/>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005A6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(78.5)</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Investment in other financial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(1,670.0)</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(2,448.2)</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(4,177.7)</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(7,343.3)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Proceeds from maturity of other financial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1,635.3</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2,347.9</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6,085.9</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5,075.5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from / (used in) investing activities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(64.4)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(241.4)</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1,182.4</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(2,545.8)</w:t>
            </w:r>
          </w:p>
        </w:tc>
        <w:tc>
          <w:tcPr>
            <w:tcW w:w="0" w:type="dxa"/>
            <w:vAlign w:val="bottom"/>
          </w:tcPr>
          <w:p>
            <w:pPr>
              <w:spacing w:after="0"/>
              <w:rPr>
                <w:sz w:val="1"/>
                <w:szCs w:val="1"/>
                <w:color w:val="auto"/>
              </w:rPr>
            </w:pPr>
          </w:p>
        </w:tc>
      </w:tr>
      <w:tr>
        <w:trPr>
          <w:trHeight w:val="33"/>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005A64"/>
            </w:tcBorders>
          </w:tcPr>
          <w:p>
            <w:pPr>
              <w:spacing w:after="0"/>
              <w:rPr>
                <w:sz w:val="2"/>
                <w:szCs w:val="2"/>
                <w:color w:val="auto"/>
              </w:rPr>
            </w:pPr>
          </w:p>
        </w:tc>
        <w:tc>
          <w:tcPr>
            <w:tcW w:w="7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Financing activities</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7FACB1"/>
            </w:tcBorders>
          </w:tcPr>
          <w:p>
            <w:pPr>
              <w:spacing w:after="0"/>
              <w:rPr>
                <w:sz w:val="15"/>
                <w:szCs w:val="15"/>
                <w:color w:val="auto"/>
              </w:rPr>
            </w:pPr>
          </w:p>
        </w:tc>
        <w:tc>
          <w:tcPr>
            <w:tcW w:w="66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7FACB1"/>
            </w:tcBorders>
          </w:tcPr>
          <w:p>
            <w:pPr>
              <w:spacing w:after="0"/>
              <w:rPr>
                <w:sz w:val="15"/>
                <w:szCs w:val="15"/>
                <w:color w:val="auto"/>
              </w:rPr>
            </w:pPr>
          </w:p>
        </w:tc>
        <w:tc>
          <w:tcPr>
            <w:tcW w:w="7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Repayment of loans and borrowings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(3.7)</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(2.3)</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(8.2)</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Payments related to lease liabilities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(20.6)</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(18.9)</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(28.4)</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used in financing activities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(13.3)</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(22.9)</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(27.1)</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(30.7)</w:t>
            </w:r>
          </w:p>
        </w:tc>
        <w:tc>
          <w:tcPr>
            <w:tcW w:w="0" w:type="dxa"/>
            <w:vAlign w:val="bottom"/>
          </w:tcPr>
          <w:p>
            <w:pPr>
              <w:spacing w:after="0"/>
              <w:rPr>
                <w:sz w:val="1"/>
                <w:szCs w:val="1"/>
                <w:color w:val="auto"/>
              </w:rPr>
            </w:pPr>
          </w:p>
        </w:tc>
      </w:tr>
      <w:tr>
        <w:trPr>
          <w:trHeight w:val="34"/>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005A64"/>
            </w:tcBorders>
          </w:tcPr>
          <w:p>
            <w:pPr>
              <w:spacing w:after="0"/>
              <w:rPr>
                <w:sz w:val="2"/>
                <w:szCs w:val="2"/>
                <w:color w:val="auto"/>
              </w:rPr>
            </w:pPr>
          </w:p>
        </w:tc>
        <w:tc>
          <w:tcPr>
            <w:tcW w:w="7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Net increase / (decrease) in cash and cash equivalents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68.8</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1,362.9</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521.1</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(1,266.6)</w:t>
            </w:r>
          </w:p>
        </w:tc>
        <w:tc>
          <w:tcPr>
            <w:tcW w:w="0" w:type="dxa"/>
            <w:vAlign w:val="bottom"/>
          </w:tcPr>
          <w:p>
            <w:pPr>
              <w:spacing w:after="0"/>
              <w:rPr>
                <w:sz w:val="1"/>
                <w:szCs w:val="1"/>
                <w:color w:val="auto"/>
              </w:rPr>
            </w:pPr>
          </w:p>
        </w:tc>
      </w:tr>
      <w:tr>
        <w:trPr>
          <w:trHeight w:val="34"/>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Change in cash and cash equivalents resulting from exchange rate differences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9.2</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(3.3)</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(6.9)</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3.5</w:t>
            </w:r>
          </w:p>
        </w:tc>
        <w:tc>
          <w:tcPr>
            <w:tcW w:w="0" w:type="dxa"/>
            <w:vAlign w:val="bottom"/>
          </w:tcPr>
          <w:p>
            <w:pPr>
              <w:spacing w:after="0"/>
              <w:rPr>
                <w:sz w:val="1"/>
                <w:szCs w:val="1"/>
                <w:color w:val="auto"/>
              </w:rPr>
            </w:pPr>
          </w:p>
        </w:tc>
      </w:tr>
      <w:tr>
        <w:trPr>
          <w:trHeight w:val="34"/>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Change in cash and cash equivalents resulting from other valuation effects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40.5</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(6.6)</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(23.9)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Cash and cash equivalents at the beginning of the period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10,184.9</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8,976.6</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9,761.9</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11,663.7</w:t>
            </w:r>
          </w:p>
        </w:tc>
        <w:tc>
          <w:tcPr>
            <w:tcW w:w="0" w:type="dxa"/>
            <w:vAlign w:val="bottom"/>
          </w:tcPr>
          <w:p>
            <w:pPr>
              <w:spacing w:after="0"/>
              <w:rPr>
                <w:sz w:val="1"/>
                <w:szCs w:val="1"/>
                <w:color w:val="auto"/>
              </w:rPr>
            </w:pPr>
          </w:p>
        </w:tc>
      </w:tr>
      <w:tr>
        <w:trPr>
          <w:trHeight w:val="34"/>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7FACB1"/>
            </w:tcBorders>
          </w:tcPr>
          <w:p>
            <w:pPr>
              <w:spacing w:after="0"/>
              <w:rPr>
                <w:sz w:val="2"/>
                <w:szCs w:val="2"/>
                <w:color w:val="auto"/>
              </w:rPr>
            </w:pPr>
          </w:p>
        </w:tc>
        <w:tc>
          <w:tcPr>
            <w:tcW w:w="7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Cash and cash equivalents as of June 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10,269.5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10,376.7</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10,269.5</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10,376.7</w:t>
            </w:r>
          </w:p>
        </w:tc>
        <w:tc>
          <w:tcPr>
            <w:tcW w:w="0" w:type="dxa"/>
            <w:vAlign w:val="bottom"/>
          </w:tcPr>
          <w:p>
            <w:pPr>
              <w:spacing w:after="0"/>
              <w:rPr>
                <w:sz w:val="1"/>
                <w:szCs w:val="1"/>
                <w:color w:val="auto"/>
              </w:rPr>
            </w:pPr>
          </w:p>
        </w:tc>
      </w:tr>
      <w:tr>
        <w:trPr>
          <w:trHeight w:val="34"/>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Borders>
              <w:bottom w:val="single" w:sz="8" w:color="BECD32"/>
            </w:tcBorders>
          </w:tcPr>
          <w:p>
            <w:pPr>
              <w:spacing w:after="0"/>
              <w:rPr>
                <w:sz w:val="2"/>
                <w:szCs w:val="2"/>
                <w:color w:val="auto"/>
              </w:rPr>
            </w:pPr>
          </w:p>
        </w:tc>
        <w:tc>
          <w:tcPr>
            <w:tcW w:w="1120" w:type="dxa"/>
            <w:vAlign w:val="bottom"/>
            <w:tcBorders>
              <w:bottom w:val="single" w:sz="8" w:color="BECD32"/>
            </w:tcBorders>
          </w:tcPr>
          <w:p>
            <w:pPr>
              <w:spacing w:after="0"/>
              <w:rPr>
                <w:sz w:val="2"/>
                <w:szCs w:val="2"/>
                <w:color w:val="auto"/>
              </w:rPr>
            </w:pPr>
          </w:p>
        </w:tc>
        <w:tc>
          <w:tcPr>
            <w:tcW w:w="140" w:type="dxa"/>
            <w:vAlign w:val="bottom"/>
            <w:tcBorders>
              <w:bottom w:val="single" w:sz="8" w:color="BECD32"/>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Borders>
              <w:bottom w:val="single" w:sz="8" w:color="BECD32"/>
            </w:tcBorders>
          </w:tcPr>
          <w:p>
            <w:pPr>
              <w:spacing w:after="0"/>
              <w:rPr>
                <w:sz w:val="2"/>
                <w:szCs w:val="2"/>
                <w:color w:val="auto"/>
              </w:rPr>
            </w:pPr>
          </w:p>
        </w:tc>
        <w:tc>
          <w:tcPr>
            <w:tcW w:w="1120" w:type="dxa"/>
            <w:vAlign w:val="bottom"/>
            <w:tcBorders>
              <w:bottom w:val="single" w:sz="8" w:color="BECD32"/>
            </w:tcBorders>
          </w:tcPr>
          <w:p>
            <w:pPr>
              <w:spacing w:after="0"/>
              <w:rPr>
                <w:sz w:val="2"/>
                <w:szCs w:val="2"/>
                <w:color w:val="auto"/>
              </w:rPr>
            </w:pPr>
          </w:p>
        </w:tc>
        <w:tc>
          <w:tcPr>
            <w:tcW w:w="120" w:type="dxa"/>
            <w:vAlign w:val="bottom"/>
            <w:tcBorders>
              <w:bottom w:val="single" w:sz="8" w:color="BECD32"/>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005A64"/>
            </w:tcBorders>
          </w:tcPr>
          <w:p>
            <w:pPr>
              <w:spacing w:after="0"/>
              <w:rPr>
                <w:sz w:val="2"/>
                <w:szCs w:val="2"/>
                <w:color w:val="auto"/>
              </w:rPr>
            </w:pPr>
          </w:p>
        </w:tc>
        <w:tc>
          <w:tcPr>
            <w:tcW w:w="7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ectPr>
          <w:pgSz w:w="11900" w:h="16838" w:orient="portrait"/>
          <w:cols w:equalWidth="0" w:num="1">
            <w:col w:w="11220"/>
          </w:cols>
          <w:pgMar w:left="320" w:top="16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108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19"/>
          <w:szCs w:val="19"/>
          <w:b w:val="1"/>
          <w:bCs w:val="1"/>
          <w:color w:val="C3C3C3"/>
        </w:rPr>
        <w:t>5</w:t>
      </w:r>
    </w:p>
    <w:p>
      <w:pPr>
        <w:sectPr>
          <w:pgSz w:w="11900" w:h="16838" w:orient="portrait"/>
          <w:cols w:equalWidth="0" w:num="1">
            <w:col w:w="11220"/>
          </w:cols>
          <w:pgMar w:left="320" w:top="167" w:right="359" w:bottom="1440" w:gutter="0" w:footer="0" w:header="0"/>
          <w:type w:val="continuous"/>
        </w:sectPr>
      </w:pPr>
    </w:p>
    <w:bookmarkStart w:id="13" w:name="page14"/>
    <w:bookmarkEnd w:id="13"/>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60"/>
        <w:spacing w:after="0" w:line="287" w:lineRule="auto"/>
        <w:rPr>
          <w:sz w:val="20"/>
          <w:szCs w:val="20"/>
          <w:color w:val="auto"/>
        </w:rPr>
      </w:pPr>
      <w:r>
        <w:rPr>
          <w:rFonts w:ascii="Times New Roman" w:cs="Times New Roman" w:eastAsia="Times New Roman" w:hAnsi="Times New Roman"/>
          <w:sz w:val="36"/>
          <w:szCs w:val="36"/>
          <w:b w:val="1"/>
          <w:bCs w:val="1"/>
          <w:color w:val="107072"/>
        </w:rPr>
        <w:t>Selected Explanatory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 Corporate Information</w:t>
      </w:r>
    </w:p>
    <w:p>
      <w:pPr>
        <w:spacing w:after="0" w:line="19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BioNTech SE is a limited company incorporated and domiciled in Germany. The registered office is located in Mainz, Germany (An der Goldgrube 12, 55131 Mainz). The accompanying unaudited interim condensed consolidated financial statements present the financial position and the results of operation of BioNTech SE and its subsidiaries and have been prepared on a going concern basis in accordance with the IFRS Accounting Standards as issued by the International Accounting Standards Board. References to the “Company”, “BioNTech”, “Group”, “we”, “us” and “our” refer to BioNTech SE and its consolidated subsidiaries.</w:t>
      </w:r>
    </w:p>
    <w:p>
      <w:pPr>
        <w:spacing w:after="0" w:line="24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are a global next-generation immunotherapy company pioneering novel medicines against cancer, infectious diseases and other serious diseases. Since our founding in 2008, we have focused on harnessing the power of the immune system to address human diseases with unmet medical needs. Our fully integrated model combines decades of research in immunology, translational drug discovery and development, a technology agnostic innovation engine, GMP manufacturing, and commercial capabilities to rapidly discover, develop and commercialize our marketed product and other candidate vaccines and therapies.</w:t>
      </w:r>
    </w:p>
    <w:p>
      <w:pPr>
        <w:spacing w:after="0" w:line="21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built a broad toolkit across multiple technology platforms with a focus on oncology, including investigational mRNA cancer immunotherapies, immunomodulators and targeted therapies. Our multi-technology combination of platforms positions us as pioneers in the field of individualized, patient-centric therapeutic approaches.</w:t>
      </w:r>
    </w:p>
    <w:p>
      <w:pPr>
        <w:spacing w:after="0" w:line="20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approach has generated a robust and diversified product pipeline across a range of technologies in oncology and infectious disease, and has led to the approval of our first marketed product, Comirnaty.</w:t>
      </w:r>
    </w:p>
    <w:p>
      <w:pPr>
        <w:spacing w:after="0" w:line="19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unaudited interim condensed consolidated financial statements as of and for the three and six months ended June 30, 2025 were authorized for issuance in accordance with a resolution of the Audit Committee of our Supervisory Board on August 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2. Basis of Preparation,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Basis of Preparation and Principles of Consolidation</w:t>
      </w:r>
    </w:p>
    <w:p>
      <w:pPr>
        <w:spacing w:after="0" w:line="16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accompanying unaudited interim condensed consolidated financial statements as of and for the three and six months ended June 30, 2025 have been prepared in accordance with IAS 34 Interim Financial Reporting.</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w:t>
            </w:r>
          </w:p>
        </w:tc>
      </w:tr>
    </w:tbl>
    <w:p>
      <w:pPr>
        <w:sectPr>
          <w:pgSz w:w="11900" w:h="16838" w:orient="portrait"/>
          <w:cols w:equalWidth="0" w:num="1">
            <w:col w:w="11240"/>
          </w:cols>
          <w:pgMar w:left="320" w:top="167" w:right="339" w:bottom="1440" w:gutter="0" w:footer="0" w:header="0"/>
        </w:sectPr>
      </w:pPr>
    </w:p>
    <w:bookmarkStart w:id="14" w:name="page15"/>
    <w:bookmarkEnd w:id="14"/>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The unaudited interim condensed consolidated financial statements do not include all the information and disclosures required in the audited consolidated financial statements, and should be read in conjunction with our audited consolidated financial statements and accompanying notes included in our Annual Report on Form 20-F as of and for the year ended December 31, 2024.</w:t>
      </w:r>
    </w:p>
    <w:p>
      <w:pPr>
        <w:spacing w:after="0" w:line="23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prepare and present our unaudited interim condensed consolidated financial statements in Euros and round numbers to millions of Euros. Accordingly, numerical figures rounded in the table context may be adjusted to match totals in some tables while some totals may not be the exact arithmetic aggregations of the figures.</w:t>
      </w:r>
    </w:p>
    <w:p>
      <w:pPr>
        <w:spacing w:after="0" w:line="23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unaudited interim condensed consolidated financial statements as of and for the three and six months ended June 30, 2025, include BioNTech SE and its subsidiaries. All intercompany transactions and balances have been eliminated in consolidation.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Significant Accounting Judgments, Estimates and Assumptions and Accounting Policies</w:t>
      </w:r>
    </w:p>
    <w:p>
      <w:pPr>
        <w:spacing w:after="0" w:line="179"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The preparation of the unaudited interim condensed consolidated financial statements requires our management to make judgments, estimates and assumptions that affect the reported amounts of revenues, expenses, assets, liabilities and contingent liabilities and the accompanying disclosures.</w:t>
      </w:r>
    </w:p>
    <w:p>
      <w:pPr>
        <w:spacing w:after="0" w:line="200" w:lineRule="exact"/>
        <w:rPr>
          <w:sz w:val="20"/>
          <w:szCs w:val="20"/>
          <w:color w:val="auto"/>
        </w:rPr>
      </w:pPr>
    </w:p>
    <w:p>
      <w:pPr>
        <w:spacing w:after="0" w:line="26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This includes but is not limited to our judgment relating to our collaboration with Pfizer, Inc., or Pfizer, as described under the subheading “Pfizer Agreement Characteristics” in Note 3 to our audited consolidated financial statements as of and for the year ended December 31, 2024. In order to determine our share of the collaboration partner’s gross profits, we used certain information from the collaboration partner, including revenues from the sale of products and certain other sharable expense items, some of which is based on preliminary data shared between the partners.</w:t>
      </w:r>
    </w:p>
    <w:p>
      <w:pPr>
        <w:spacing w:after="0" w:line="200" w:lineRule="exact"/>
        <w:rPr>
          <w:sz w:val="20"/>
          <w:szCs w:val="20"/>
          <w:color w:val="auto"/>
        </w:rPr>
      </w:pPr>
    </w:p>
    <w:p>
      <w:pPr>
        <w:spacing w:after="0" w:line="29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This further includes but is not limited to judgments relating to the impairment tests of our goodwill and intangible assets, as the outcome of these tests is highly dependent on management’s assumptions regarding future cash flow projections, which require significant judgments and assumptions about future developments. They can be affected by a variety of factors, including but not limited to peak sales assumptions, clinical trial success rates and/or estimation of weighted-average cost of capital. Changes to the assumptions underlying our goodwill and intangible assets impairment assessments could require material adjustments to the carrying amount of our recognized goodwill and intangible assets and may lead to impairment charges recognized in our condensed consolidated statements of profit or loss.</w:t>
      </w:r>
    </w:p>
    <w:p>
      <w:pPr>
        <w:spacing w:after="0" w:line="23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Judgment is also required including, but not limited to, when accounting for business combinations. This includes determining whether an intangible asset is identifiable and whether it should be recorded separately from goodwill. Additionally, estimating the acquisition date fair values in conjunction with the purchase price allocation and with the settlement of pre-existing relationships involves estimation uncertainty and discretionary decisions. The necessary measurements are based on information available on the acquisition date and on expectations and assumptions that have been deemed reasonable by management. These judgments, estimates and assumptions can materially affect our financial position and our profit or loss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w:t>
            </w:r>
          </w:p>
        </w:tc>
      </w:tr>
    </w:tbl>
    <w:p>
      <w:pPr>
        <w:sectPr>
          <w:pgSz w:w="11900" w:h="16838" w:orient="portrait"/>
          <w:cols w:equalWidth="0" w:num="1">
            <w:col w:w="11240"/>
          </w:cols>
          <w:pgMar w:left="320" w:top="167" w:right="339" w:bottom="1440" w:gutter="0" w:footer="0" w:header="0"/>
        </w:sectPr>
      </w:pPr>
    </w:p>
    <w:bookmarkStart w:id="15" w:name="page16"/>
    <w:bookmarkEnd w:id="15"/>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This further includes, but is not limited to, judgments related to our new collaboration with Bristol-Myers Squibb Company, or BMS, as described in Note 8 below. Determining the current and non-current portions of the contract liability as of June 30, 2025 required management judgment, as revenue related to the contractual payments is only recognized once the criteria in IFRS 15.9 are met when the amended and restated agreement is in effect. The selection of the appropriate method for measuring progress is based on the final terms of the collaboration, which are still subject to negotiations.</w:t>
      </w:r>
    </w:p>
    <w:p>
      <w:pPr>
        <w:spacing w:after="0" w:line="200" w:lineRule="exact"/>
        <w:rPr>
          <w:sz w:val="20"/>
          <w:szCs w:val="20"/>
          <w:color w:val="auto"/>
        </w:rPr>
      </w:pPr>
    </w:p>
    <w:p>
      <w:pPr>
        <w:spacing w:after="0" w:line="295"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Management bases its judgments and estimates on parameters available at the time when the unaudited interim condensed consolidated financial statements were prepared. Existing circumstances and assumptions about future developments, however, may change due to market changes or circumstances arising that are beyond our control. Such changes are reflected in the assumptions when they occur.</w:t>
      </w:r>
    </w:p>
    <w:p>
      <w:pPr>
        <w:spacing w:after="0" w:line="231"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The accounting policies adopted in the preparation of the unaudited interim condensed consolidated financial statements are consistent with those followed in the preparation of our audited consolidated financial statements as of and for the year ended December 31, 2024, except for income taxes, which are accounted for using the expected annual tax rate in our unaudited interim condensed consolidated financial statements (see Note 6).</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Standards Applied for the First Time</w:t>
      </w:r>
    </w:p>
    <w:p>
      <w:pPr>
        <w:spacing w:after="0" w:line="17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IFRS Accounting Standards that were applied for the first time as of January 1, 2025, as disclosed in the notes to the audited consolidated financial statements as of and for the year ended December 31, 2024, had no impact on our unaudited interim condensed consolidated financial statements as of and for the three and six months ended June 30,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3. Revenues from Contracts with Customers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Disaggregated information on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Set forth below is the disaggregation of our revenues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005A64"/>
              </w:rPr>
              <w:t>Three months ended June 30,</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005A64"/>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60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40" w:type="dxa"/>
            <w:vAlign w:val="bottom"/>
          </w:tcPr>
          <w:p>
            <w:pPr>
              <w:spacing w:after="0"/>
              <w:rPr>
                <w:sz w:val="13"/>
                <w:szCs w:val="13"/>
                <w:color w:val="auto"/>
              </w:rPr>
            </w:pPr>
          </w:p>
        </w:tc>
        <w:tc>
          <w:tcPr>
            <w:tcW w:w="15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4460" w:type="dxa"/>
            <w:vAlign w:val="bottom"/>
            <w:gridSpan w:val="2"/>
            <w:vMerge w:val="continue"/>
          </w:tcPr>
          <w:p>
            <w:pPr>
              <w:spacing w:after="0"/>
              <w:rPr>
                <w:sz w:val="17"/>
                <w:szCs w:val="17"/>
                <w:color w:val="auto"/>
              </w:rPr>
            </w:pPr>
          </w:p>
        </w:tc>
        <w:tc>
          <w:tcPr>
            <w:tcW w:w="16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426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48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005A64"/>
            </w:tcBorders>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 revenues</w:t>
            </w:r>
          </w:p>
        </w:tc>
        <w:tc>
          <w:tcPr>
            <w:tcW w:w="16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153.3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71.9</w:t>
            </w:r>
          </w:p>
        </w:tc>
        <w:tc>
          <w:tcPr>
            <w:tcW w:w="140" w:type="dxa"/>
            <w:vAlign w:val="bottom"/>
            <w:tcBorders>
              <w:right w:val="single" w:sz="8" w:color="BECD32"/>
            </w:tcBorders>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286.3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196.1</w:t>
            </w:r>
          </w:p>
        </w:tc>
        <w:tc>
          <w:tcPr>
            <w:tcW w:w="0" w:type="dxa"/>
            <w:vAlign w:val="bottom"/>
          </w:tcPr>
          <w:p>
            <w:pPr>
              <w:spacing w:after="0"/>
              <w:rPr>
                <w:sz w:val="1"/>
                <w:szCs w:val="1"/>
                <w:color w:val="auto"/>
              </w:rPr>
            </w:pPr>
          </w:p>
        </w:tc>
      </w:tr>
      <w:tr>
        <w:trPr>
          <w:trHeight w:val="50"/>
        </w:trPr>
        <w:tc>
          <w:tcPr>
            <w:tcW w:w="426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7FACB1"/>
            </w:tcBorders>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7FACB1"/>
            </w:tcBorders>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revenues</w:t>
            </w:r>
          </w:p>
        </w:tc>
        <w:tc>
          <w:tcPr>
            <w:tcW w:w="16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107.5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56.8</w:t>
            </w:r>
          </w:p>
        </w:tc>
        <w:tc>
          <w:tcPr>
            <w:tcW w:w="140" w:type="dxa"/>
            <w:vAlign w:val="bottom"/>
            <w:tcBorders>
              <w:right w:val="single" w:sz="8" w:color="BECD32"/>
            </w:tcBorders>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157.3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120.2</w:t>
            </w:r>
          </w:p>
        </w:tc>
        <w:tc>
          <w:tcPr>
            <w:tcW w:w="0" w:type="dxa"/>
            <w:vAlign w:val="bottom"/>
          </w:tcPr>
          <w:p>
            <w:pPr>
              <w:spacing w:after="0"/>
              <w:rPr>
                <w:sz w:val="1"/>
                <w:szCs w:val="1"/>
                <w:color w:val="auto"/>
              </w:rPr>
            </w:pPr>
          </w:p>
        </w:tc>
      </w:tr>
      <w:tr>
        <w:trPr>
          <w:trHeight w:val="50"/>
        </w:trPr>
        <w:tc>
          <w:tcPr>
            <w:tcW w:w="426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7FACB1"/>
            </w:tcBorders>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7FACB1"/>
            </w:tcBorders>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160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260.8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128.7</w:t>
            </w:r>
          </w:p>
        </w:tc>
        <w:tc>
          <w:tcPr>
            <w:tcW w:w="140" w:type="dxa"/>
            <w:vAlign w:val="bottom"/>
            <w:tcBorders>
              <w:right w:val="single" w:sz="8" w:color="BECD32"/>
            </w:tcBorders>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443.6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316.3</w:t>
            </w:r>
          </w:p>
        </w:tc>
        <w:tc>
          <w:tcPr>
            <w:tcW w:w="0" w:type="dxa"/>
            <w:vAlign w:val="bottom"/>
          </w:tcPr>
          <w:p>
            <w:pPr>
              <w:spacing w:after="0"/>
              <w:rPr>
                <w:sz w:val="1"/>
                <w:szCs w:val="1"/>
                <w:color w:val="auto"/>
              </w:rPr>
            </w:pPr>
          </w:p>
        </w:tc>
      </w:tr>
      <w:tr>
        <w:trPr>
          <w:trHeight w:val="50"/>
        </w:trPr>
        <w:tc>
          <w:tcPr>
            <w:tcW w:w="426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left w:val="single" w:sz="8" w:color="BECD32"/>
              <w:bottom w:val="single" w:sz="8" w:color="BECD32"/>
            </w:tcBorders>
          </w:tcPr>
          <w:p>
            <w:pPr>
              <w:spacing w:after="0"/>
              <w:rPr>
                <w:sz w:val="4"/>
                <w:szCs w:val="4"/>
                <w:color w:val="auto"/>
              </w:rPr>
            </w:pPr>
          </w:p>
        </w:tc>
        <w:tc>
          <w:tcPr>
            <w:tcW w:w="148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005A64"/>
            </w:tcBorders>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150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COVID-19 Vaccine Revenues</w:t>
      </w:r>
    </w:p>
    <w:p>
      <w:pPr>
        <w:spacing w:after="0" w:line="166"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Our COVID-19 vaccine revenues were recognized from the supply and sales of our COVID-19 vaccine worldwide during the three and six months ended June 30, 2025 and 2024, mainly comprising our share of the collaboration partner’s gross profit derived from sales in the collaboration partner’s territory. Overall, our COVID-19 vaccine revenues amounted to €153.3 million and €286.3 million during the three and six months ended June 30, 2025, respectively. During the three and six months ended June 30, 2024, COVID-19 vaccine revenues amounted to €71.9 million and €196.1 million, respectively. During the three and six months ended June 30, 2025, our sales were higher compared to the prior</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108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19"/>
          <w:szCs w:val="19"/>
          <w:b w:val="1"/>
          <w:bCs w:val="1"/>
          <w:color w:val="C3C3C3"/>
        </w:rPr>
        <w:t>8</w:t>
      </w:r>
    </w:p>
    <w:p>
      <w:pPr>
        <w:sectPr>
          <w:pgSz w:w="11900" w:h="16838" w:orient="portrait"/>
          <w:cols w:equalWidth="0" w:num="1">
            <w:col w:w="11240"/>
          </w:cols>
          <w:pgMar w:left="320" w:top="167" w:right="339" w:bottom="1440" w:gutter="0" w:footer="0" w:header="0"/>
          <w:type w:val="continuous"/>
        </w:sectPr>
      </w:pPr>
    </w:p>
    <w:bookmarkStart w:id="16" w:name="page17"/>
    <w:bookmarkEnd w:id="16"/>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year period, which were largely driven by higher volume of doses sold. Our COVID-19 vaccine revenues are subject to seasonal effects in the fall and winter of the northern hemisphere.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Other Revenues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other revenues were mainly derived from a pandemic preparedness contract with the German government and a one-time effect associated with Pfizer´s opt-out from the further development of our shingles program, BNT167 and the associated release of the respective contract liability, during the three and six months ended June 30, 2025 and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Revenues from contracts with customers were recognized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831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831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Goods and services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8315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Goods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831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89" w:lineRule="exact"/>
        <w:rPr>
          <w:sz w:val="20"/>
          <w:szCs w:val="20"/>
          <w:color w:val="auto"/>
        </w:rPr>
      </w:pPr>
    </w:p>
    <w:p>
      <w:pPr>
        <w:ind w:left="280" w:right="120"/>
        <w:spacing w:after="0" w:line="330" w:lineRule="auto"/>
        <w:rPr>
          <w:sz w:val="20"/>
          <w:szCs w:val="20"/>
          <w:color w:val="auto"/>
        </w:rPr>
      </w:pPr>
      <w:r>
        <w:rPr>
          <w:rFonts w:ascii="Times New Roman" w:cs="Times New Roman" w:eastAsia="Times New Roman" w:hAnsi="Times New Roman"/>
          <w:sz w:val="14"/>
          <w:szCs w:val="14"/>
          <w:color w:val="005A64"/>
        </w:rPr>
        <w:t xml:space="preserve">Revenue recognition applying the sales-based or usage-based royalty recognition constraint model </w:t>
      </w:r>
      <w:r>
        <w:rPr>
          <w:rFonts w:ascii="Times New Roman" w:cs="Times New Roman" w:eastAsia="Times New Roman" w:hAnsi="Times New Roman"/>
          <w:sz w:val="18"/>
          <w:szCs w:val="18"/>
          <w:color w:val="005A6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8315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8315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176"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Represents sales based on the share of the collaboration partners’ gross profit.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4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005A64"/>
              </w:rPr>
              <w:t>Three months ended June 30,</w:t>
            </w:r>
          </w:p>
        </w:tc>
        <w:tc>
          <w:tcPr>
            <w:tcW w:w="100" w:type="dxa"/>
            <w:vAlign w:val="bottom"/>
          </w:tcPr>
          <w:p>
            <w:pPr>
              <w:spacing w:after="0"/>
              <w:rPr>
                <w:sz w:val="16"/>
                <w:szCs w:val="16"/>
                <w:color w:val="auto"/>
              </w:rPr>
            </w:pPr>
          </w:p>
        </w:tc>
        <w:tc>
          <w:tcPr>
            <w:tcW w:w="232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005A64"/>
              </w:rPr>
              <w:t>Six months ended June 30,</w:t>
            </w:r>
          </w:p>
        </w:tc>
        <w:tc>
          <w:tcPr>
            <w:tcW w:w="0" w:type="dxa"/>
            <w:vAlign w:val="bottom"/>
          </w:tcPr>
          <w:p>
            <w:pPr>
              <w:spacing w:after="0"/>
              <w:rPr>
                <w:sz w:val="1"/>
                <w:szCs w:val="1"/>
                <w:color w:val="auto"/>
              </w:rPr>
            </w:pPr>
          </w:p>
        </w:tc>
      </w:tr>
      <w:tr>
        <w:trPr>
          <w:trHeight w:val="158"/>
        </w:trPr>
        <w:tc>
          <w:tcPr>
            <w:tcW w:w="116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14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11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1160" w:type="dxa"/>
            <w:vAlign w:val="bottom"/>
            <w:tcBorders>
              <w:left w:val="single" w:sz="8" w:color="BECD32"/>
            </w:tcBorders>
            <w:gridSpan w:val="2"/>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140" w:type="dxa"/>
            <w:vAlign w:val="bottom"/>
            <w:gridSpan w:val="2"/>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0" w:type="dxa"/>
            <w:vAlign w:val="bottom"/>
            <w:tcBorders>
              <w:left w:val="single" w:sz="8" w:color="BECD32"/>
            </w:tcBorders>
          </w:tcPr>
          <w:p>
            <w:pPr>
              <w:spacing w:after="0"/>
              <w:rPr>
                <w:sz w:val="21"/>
                <w:szCs w:val="21"/>
                <w:color w:val="auto"/>
              </w:rPr>
            </w:pPr>
          </w:p>
        </w:tc>
        <w:tc>
          <w:tcPr>
            <w:tcW w:w="1040" w:type="dxa"/>
            <w:vAlign w:val="bottom"/>
            <w:tcBorders>
              <w:top w:val="single" w:sz="8" w:color="005A64"/>
              <w:bottom w:val="single" w:sz="8" w:color="7FACB1"/>
            </w:tcBorders>
          </w:tcPr>
          <w:p>
            <w:pPr>
              <w:spacing w:after="0"/>
              <w:rPr>
                <w:sz w:val="21"/>
                <w:szCs w:val="21"/>
                <w:color w:val="auto"/>
              </w:rPr>
            </w:pPr>
          </w:p>
        </w:tc>
        <w:tc>
          <w:tcPr>
            <w:tcW w:w="14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Borders>
              <w:top w:val="single" w:sz="8" w:color="005A64"/>
              <w:bottom w:val="single" w:sz="8" w:color="7FACB1"/>
            </w:tcBorders>
          </w:tcPr>
          <w:p>
            <w:pPr>
              <w:spacing w:after="0"/>
              <w:rPr>
                <w:sz w:val="21"/>
                <w:szCs w:val="21"/>
                <w:color w:val="auto"/>
              </w:rPr>
            </w:pPr>
          </w:p>
        </w:tc>
        <w:tc>
          <w:tcPr>
            <w:tcW w:w="120" w:type="dxa"/>
            <w:vAlign w:val="bottom"/>
            <w:tcBorders>
              <w:right w:val="single" w:sz="8" w:color="BECD32"/>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005A64"/>
              <w:bottom w:val="single" w:sz="8" w:color="7FACB1"/>
            </w:tcBorders>
          </w:tcPr>
          <w:p>
            <w:pPr>
              <w:spacing w:after="0"/>
              <w:rPr>
                <w:sz w:val="21"/>
                <w:szCs w:val="21"/>
                <w:color w:val="auto"/>
              </w:rPr>
            </w:pPr>
          </w:p>
        </w:tc>
        <w:tc>
          <w:tcPr>
            <w:tcW w:w="14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Borders>
              <w:top w:val="single" w:sz="8" w:color="005A64"/>
              <w:bottom w:val="single" w:sz="8" w:color="7FACB1"/>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1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70.2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21.1</w:t>
            </w:r>
          </w:p>
        </w:tc>
        <w:tc>
          <w:tcPr>
            <w:tcW w:w="120" w:type="dxa"/>
            <w:vAlign w:val="bottom"/>
            <w:tcBorders>
              <w:right w:val="single" w:sz="8" w:color="BECD32"/>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137.0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54.6</w:t>
            </w:r>
          </w:p>
        </w:tc>
        <w:tc>
          <w:tcPr>
            <w:tcW w:w="0" w:type="dxa"/>
            <w:vAlign w:val="bottom"/>
          </w:tcPr>
          <w:p>
            <w:pPr>
              <w:spacing w:after="0"/>
              <w:rPr>
                <w:sz w:val="1"/>
                <w:szCs w:val="1"/>
                <w:color w:val="auto"/>
              </w:rPr>
            </w:pPr>
          </w:p>
        </w:tc>
      </w:tr>
      <w:tr>
        <w:trPr>
          <w:trHeight w:val="51"/>
        </w:trPr>
        <w:tc>
          <w:tcPr>
            <w:tcW w:w="120" w:type="dxa"/>
            <w:vAlign w:val="bottom"/>
            <w:tcBorders>
              <w:left w:val="single" w:sz="8" w:color="BECD32"/>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1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102.9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49.6</w:t>
            </w:r>
          </w:p>
        </w:tc>
        <w:tc>
          <w:tcPr>
            <w:tcW w:w="120" w:type="dxa"/>
            <w:vAlign w:val="bottom"/>
            <w:tcBorders>
              <w:right w:val="single" w:sz="8" w:color="BECD32"/>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148.6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106.9</w:t>
            </w:r>
          </w:p>
        </w:tc>
        <w:tc>
          <w:tcPr>
            <w:tcW w:w="0" w:type="dxa"/>
            <w:vAlign w:val="bottom"/>
          </w:tcPr>
          <w:p>
            <w:pPr>
              <w:spacing w:after="0"/>
              <w:rPr>
                <w:sz w:val="1"/>
                <w:szCs w:val="1"/>
                <w:color w:val="auto"/>
              </w:rPr>
            </w:pPr>
          </w:p>
        </w:tc>
      </w:tr>
      <w:tr>
        <w:trPr>
          <w:trHeight w:val="51"/>
        </w:trPr>
        <w:tc>
          <w:tcPr>
            <w:tcW w:w="120" w:type="dxa"/>
            <w:vAlign w:val="bottom"/>
            <w:tcBorders>
              <w:left w:val="single" w:sz="8" w:color="BECD32"/>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11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87.7</w:t>
            </w: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58.0</w:t>
            </w:r>
          </w:p>
        </w:tc>
        <w:tc>
          <w:tcPr>
            <w:tcW w:w="120" w:type="dxa"/>
            <w:vAlign w:val="bottom"/>
            <w:tcBorders>
              <w:right w:val="single" w:sz="8" w:color="BECD32"/>
            </w:tcBorders>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158.0</w:t>
            </w: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154.8</w:t>
            </w:r>
          </w:p>
        </w:tc>
        <w:tc>
          <w:tcPr>
            <w:tcW w:w="0" w:type="dxa"/>
            <w:vAlign w:val="bottom"/>
          </w:tcPr>
          <w:p>
            <w:pPr>
              <w:spacing w:after="0"/>
              <w:rPr>
                <w:sz w:val="1"/>
                <w:szCs w:val="1"/>
                <w:color w:val="auto"/>
              </w:rPr>
            </w:pPr>
          </w:p>
        </w:tc>
      </w:tr>
      <w:tr>
        <w:trPr>
          <w:trHeight w:val="186"/>
        </w:trPr>
        <w:tc>
          <w:tcPr>
            <w:tcW w:w="120" w:type="dxa"/>
            <w:vAlign w:val="bottom"/>
            <w:tcBorders>
              <w:left w:val="single" w:sz="8" w:color="BECD32"/>
            </w:tcBorders>
          </w:tcPr>
          <w:p>
            <w:pPr>
              <w:spacing w:after="0"/>
              <w:rPr>
                <w:sz w:val="16"/>
                <w:szCs w:val="16"/>
                <w:color w:val="auto"/>
              </w:rPr>
            </w:pPr>
          </w:p>
        </w:tc>
        <w:tc>
          <w:tcPr>
            <w:tcW w:w="1040" w:type="dxa"/>
            <w:vAlign w:val="bottom"/>
            <w:tcBorders>
              <w:bottom w:val="single" w:sz="8" w:color="7FACB1"/>
            </w:tcBorders>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bottom w:val="single" w:sz="8" w:color="7FACB1"/>
            </w:tcBorders>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7FACB1"/>
            </w:tcBorders>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bottom w:val="single" w:sz="8" w:color="7FACB1"/>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260.8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128.7</w:t>
            </w:r>
          </w:p>
        </w:tc>
        <w:tc>
          <w:tcPr>
            <w:tcW w:w="120" w:type="dxa"/>
            <w:vAlign w:val="bottom"/>
            <w:tcBorders>
              <w:right w:val="single" w:sz="8" w:color="BECD32"/>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443.6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316.3</w:t>
            </w:r>
          </w:p>
        </w:tc>
        <w:tc>
          <w:tcPr>
            <w:tcW w:w="0" w:type="dxa"/>
            <w:vAlign w:val="bottom"/>
          </w:tcPr>
          <w:p>
            <w:pPr>
              <w:spacing w:after="0"/>
              <w:rPr>
                <w:sz w:val="1"/>
                <w:szCs w:val="1"/>
                <w:color w:val="auto"/>
              </w:rPr>
            </w:pPr>
          </w:p>
        </w:tc>
      </w:tr>
      <w:tr>
        <w:trPr>
          <w:trHeight w:val="50"/>
        </w:trPr>
        <w:tc>
          <w:tcPr>
            <w:tcW w:w="120" w:type="dxa"/>
            <w:vAlign w:val="bottom"/>
            <w:tcBorders>
              <w:left w:val="single" w:sz="8" w:color="BECD32"/>
              <w:bottom w:val="single" w:sz="8" w:color="BECD32"/>
            </w:tcBorders>
          </w:tcPr>
          <w:p>
            <w:pPr>
              <w:spacing w:after="0"/>
              <w:rPr>
                <w:sz w:val="4"/>
                <w:szCs w:val="4"/>
                <w:color w:val="auto"/>
              </w:rPr>
            </w:pPr>
          </w:p>
        </w:tc>
        <w:tc>
          <w:tcPr>
            <w:tcW w:w="104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Borders>
              <w:bottom w:val="single" w:sz="8" w:color="BECD32"/>
            </w:tcBorders>
          </w:tcPr>
          <w:p>
            <w:pPr>
              <w:spacing w:after="0"/>
              <w:rPr>
                <w:sz w:val="4"/>
                <w:szCs w:val="4"/>
                <w:color w:val="auto"/>
              </w:rPr>
            </w:pPr>
          </w:p>
        </w:tc>
        <w:tc>
          <w:tcPr>
            <w:tcW w:w="104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10" w:lineRule="exact"/>
        <w:rPr>
          <w:sz w:val="20"/>
          <w:szCs w:val="20"/>
          <w:color w:val="auto"/>
        </w:rPr>
      </w:pPr>
    </w:p>
    <w:p>
      <w:pPr>
        <w:sectPr>
          <w:pgSz w:w="11900" w:h="16838" w:orient="portrait"/>
          <w:cols w:equalWidth="0" w:num="2">
            <w:col w:w="5520" w:space="720"/>
            <w:col w:w="5000"/>
          </w:cols>
          <w:pgMar w:left="320" w:top="167" w:right="3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4. Income and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4.1 General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Cost of Sales</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cost of sales increased by €16.6 million, or 28%, from €59.8 million during the three months ended June 30, 2024 to €76.4 million during the three months ended June 30, 2025 and increased by €41.3 million, or 35%, from €118.9 million during the six months ended June 30, 2024 to €160.2 million during the six months ended June 30, 2025. While we recognized multiple positive extraordinary effects, for example derived from inventory valuation effects, in the respective prior year periods, changes in our cost of sales were additionally impacted by expenses arising from inventory write-downs to net realizable value amounting to €26.6 million and €64.3 million during the three and six months ended June 30, 2025, respectively, compared to €27.6 million and €63.6 million during the three and six months ended June 30, 2024, respectively. The inventories valued at net realizable value in our consolidated statement of financial position as of June 30, 2025 reflect contractual compensation payments.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Research and Development Expenses</w:t>
      </w:r>
    </w:p>
    <w:p>
      <w:pPr>
        <w:spacing w:after="0" w:line="15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research and development expenses decreased by €75.5 million, or 13%, from €584.6 million during the three months ended June 30, 2024 to €509.1 million during the three months ended June 30, 2025 and decreased by €57.4 million, or 5%, from €1,092.1 million during the six months ended June 30, 2024 to €1,034.7 million during the six months ended June 30, 2025. The decreases were mainly driven by the reprioritization of clinical trials towards focus programs.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w:t>
            </w:r>
          </w:p>
        </w:tc>
      </w:tr>
    </w:tbl>
    <w:p>
      <w:pPr>
        <w:sectPr>
          <w:pgSz w:w="11900" w:h="16838" w:orient="portrait"/>
          <w:cols w:equalWidth="0" w:num="1">
            <w:col w:w="11240"/>
          </w:cols>
          <w:pgMar w:left="320" w:top="167" w:right="339" w:bottom="1440" w:gutter="0" w:footer="0" w:header="0"/>
          <w:type w:val="continuous"/>
        </w:sectPr>
      </w:pPr>
    </w:p>
    <w:bookmarkStart w:id="17" w:name="page18"/>
    <w:bookmarkEnd w:id="1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General and Administrative Expenses</w:t>
      </w:r>
    </w:p>
    <w:p>
      <w:pPr>
        <w:spacing w:after="0" w:line="16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Our general and administrative expenses decreased by €53.2 million, or 31%, from €170.9 million during the three months ended June 30, 2024 to €117.7 million during the three months ended June 30, 2025 and decreased by €63.3 million, or 22%, from €287.9 million during the six months ended June 30, 2024 to €224.6 million during the six months ended June 30, 2025. The decrease was primarily driven by a reduction in external services.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4.2 Other Operating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other operating result recognized during the three and six months ended June 30, 2025 and 2024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005A64"/>
              </w:rPr>
              <w:t>Six months ended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460" w:type="dxa"/>
            <w:vAlign w:val="bottom"/>
            <w:tcBorders>
              <w:bottom w:val="single" w:sz="8" w:color="BECE33"/>
            </w:tcBorders>
            <w:gridSpan w:val="2"/>
          </w:tcPr>
          <w:p>
            <w:pPr>
              <w:spacing w:after="0"/>
              <w:rPr>
                <w:sz w:val="13"/>
                <w:szCs w:val="13"/>
                <w:color w:val="auto"/>
              </w:rPr>
            </w:pPr>
          </w:p>
        </w:tc>
        <w:tc>
          <w:tcPr>
            <w:tcW w:w="140" w:type="dxa"/>
            <w:vAlign w:val="bottom"/>
            <w:tcBorders>
              <w:bottom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40" w:type="dxa"/>
            <w:vAlign w:val="bottom"/>
          </w:tcPr>
          <w:p>
            <w:pPr>
              <w:spacing w:after="0"/>
              <w:rPr>
                <w:sz w:val="13"/>
                <w:szCs w:val="13"/>
                <w:color w:val="auto"/>
              </w:rPr>
            </w:pPr>
          </w:p>
        </w:tc>
        <w:tc>
          <w:tcPr>
            <w:tcW w:w="1320" w:type="dxa"/>
            <w:vAlign w:val="bottom"/>
            <w:tcBorders>
              <w:bottom w:val="single" w:sz="8" w:color="BECE33"/>
            </w:tcBorders>
            <w:gridSpan w:val="2"/>
          </w:tcPr>
          <w:p>
            <w:pPr>
              <w:spacing w:after="0"/>
              <w:rPr>
                <w:sz w:val="13"/>
                <w:szCs w:val="13"/>
                <w:color w:val="auto"/>
              </w:rPr>
            </w:pPr>
          </w:p>
        </w:tc>
        <w:tc>
          <w:tcPr>
            <w:tcW w:w="120" w:type="dxa"/>
            <w:vAlign w:val="bottom"/>
            <w:tcBorders>
              <w:bottom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5360" w:type="dxa"/>
            <w:vAlign w:val="bottom"/>
            <w:gridSpan w:val="2"/>
            <w:vMerge w:val="continue"/>
          </w:tcPr>
          <w:p>
            <w:pPr>
              <w:spacing w:after="0"/>
              <w:rPr>
                <w:sz w:val="17"/>
                <w:szCs w:val="17"/>
                <w:color w:val="auto"/>
              </w:rPr>
            </w:pP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6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Other operating result</w:t>
            </w:r>
          </w:p>
        </w:tc>
        <w:tc>
          <w:tcPr>
            <w:tcW w:w="220" w:type="dxa"/>
            <w:vAlign w:val="bottom"/>
            <w:tcBorders>
              <w:left w:val="single" w:sz="8" w:color="BECE33"/>
            </w:tcBorders>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right w:val="single" w:sz="8" w:color="BECE33"/>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BECE33"/>
            </w:tcBorders>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Borders>
              <w:right w:val="single" w:sz="8" w:color="BECE33"/>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left w:val="single" w:sz="8" w:color="BECE33"/>
            </w:tcBorders>
          </w:tcPr>
          <w:p>
            <w:pPr>
              <w:spacing w:after="0"/>
              <w:rPr>
                <w:sz w:val="3"/>
                <w:szCs w:val="3"/>
                <w:color w:val="auto"/>
              </w:rPr>
            </w:pPr>
          </w:p>
        </w:tc>
        <w:tc>
          <w:tcPr>
            <w:tcW w:w="1240" w:type="dxa"/>
            <w:vAlign w:val="bottom"/>
            <w:tcBorders>
              <w:bottom w:val="single" w:sz="8" w:color="A8C7CA"/>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8C7CA"/>
            </w:tcBorders>
          </w:tcPr>
          <w:p>
            <w:pPr>
              <w:spacing w:after="0"/>
              <w:rPr>
                <w:sz w:val="3"/>
                <w:szCs w:val="3"/>
                <w:color w:val="auto"/>
              </w:rPr>
            </w:pPr>
          </w:p>
        </w:tc>
        <w:tc>
          <w:tcPr>
            <w:tcW w:w="580" w:type="dxa"/>
            <w:vAlign w:val="bottom"/>
            <w:tcBorders>
              <w:bottom w:val="single" w:sz="8" w:color="A8C7CA"/>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8C7CA"/>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8C7CA"/>
            </w:tcBorders>
          </w:tcPr>
          <w:p>
            <w:pPr>
              <w:spacing w:after="0"/>
              <w:rPr>
                <w:sz w:val="3"/>
                <w:szCs w:val="3"/>
                <w:color w:val="auto"/>
              </w:rPr>
            </w:pPr>
          </w:p>
        </w:tc>
        <w:tc>
          <w:tcPr>
            <w:tcW w:w="640" w:type="dxa"/>
            <w:vAlign w:val="bottom"/>
            <w:tcBorders>
              <w:bottom w:val="single" w:sz="8" w:color="A8C7CA"/>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Other operating income</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78.2</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24.1</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139.8</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52.4</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Gain on derivative instruments at fair value through profit or loss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41.8</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68.0</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Grants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18.4</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3.1</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32.9</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12.2</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Bargain purchase</w:t>
            </w:r>
          </w:p>
        </w:tc>
        <w:tc>
          <w:tcPr>
            <w:tcW w:w="220" w:type="dxa"/>
            <w:vAlign w:val="bottom"/>
            <w:tcBorders>
              <w:left w:val="single" w:sz="8" w:color="BECE33"/>
            </w:tcBorders>
          </w:tcPr>
          <w:p>
            <w:pPr>
              <w:spacing w:after="0"/>
              <w:rPr>
                <w:sz w:val="17"/>
                <w:szCs w:val="17"/>
                <w:color w:val="auto"/>
              </w:rPr>
            </w:pPr>
          </w:p>
        </w:tc>
        <w:tc>
          <w:tcPr>
            <w:tcW w:w="138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72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15.0</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220" w:type="dxa"/>
            <w:vAlign w:val="bottom"/>
            <w:tcBorders>
              <w:left w:val="single" w:sz="8" w:color="BECE33"/>
            </w:tcBorders>
          </w:tcPr>
          <w:p>
            <w:pPr>
              <w:spacing w:after="0"/>
              <w:rPr>
                <w:sz w:val="17"/>
                <w:szCs w:val="17"/>
                <w:color w:val="auto"/>
              </w:rPr>
            </w:pPr>
          </w:p>
        </w:tc>
        <w:tc>
          <w:tcPr>
            <w:tcW w:w="138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17.3</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right w:val="single" w:sz="8" w:color="BECE33"/>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005A64"/>
              </w:rPr>
              <w:t>—</w:t>
            </w:r>
          </w:p>
        </w:tc>
        <w:tc>
          <w:tcPr>
            <w:tcW w:w="720" w:type="dxa"/>
            <w:vAlign w:val="bottom"/>
            <w:gridSpan w:val="2"/>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34.4</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18.0</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3.7</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23.9</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5.8</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Other operating expenses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(117.2)</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(290.8)</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(165.7)</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(314.7)</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Pipeline prioritization costs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(43.6)</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(43.6)</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Contractual disputes / settlements</w:t>
            </w:r>
          </w:p>
        </w:tc>
        <w:tc>
          <w:tcPr>
            <w:tcW w:w="220" w:type="dxa"/>
            <w:vAlign w:val="bottom"/>
            <w:tcBorders>
              <w:left w:val="single" w:sz="8" w:color="BECE33"/>
            </w:tcBorders>
          </w:tcPr>
          <w:p>
            <w:pPr>
              <w:spacing w:after="0"/>
              <w:rPr>
                <w:sz w:val="17"/>
                <w:szCs w:val="17"/>
                <w:color w:val="auto"/>
              </w:rPr>
            </w:pPr>
          </w:p>
        </w:tc>
        <w:tc>
          <w:tcPr>
            <w:tcW w:w="138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(239.1)</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right w:val="single" w:sz="8" w:color="BECE33"/>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005A64"/>
              </w:rPr>
              <w:t>—</w:t>
            </w:r>
          </w:p>
        </w:tc>
        <w:tc>
          <w:tcPr>
            <w:tcW w:w="720" w:type="dxa"/>
            <w:vAlign w:val="bottom"/>
            <w:gridSpan w:val="2"/>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(239.1)</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Litigation costs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(23.4)</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(21.7)</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(49.3)</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(42.9)</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Loss on derivative instruments at fair value through profit or loss</w:t>
            </w:r>
          </w:p>
        </w:tc>
        <w:tc>
          <w:tcPr>
            <w:tcW w:w="220" w:type="dxa"/>
            <w:vAlign w:val="bottom"/>
            <w:tcBorders>
              <w:left w:val="single" w:sz="8" w:color="BECE33"/>
            </w:tcBorders>
          </w:tcPr>
          <w:p>
            <w:pPr>
              <w:spacing w:after="0"/>
              <w:rPr>
                <w:sz w:val="17"/>
                <w:szCs w:val="17"/>
                <w:color w:val="auto"/>
              </w:rPr>
            </w:pPr>
          </w:p>
        </w:tc>
        <w:tc>
          <w:tcPr>
            <w:tcW w:w="138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(29.2)</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right w:val="single" w:sz="8" w:color="BECE33"/>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005A64"/>
              </w:rPr>
              <w:t>—</w:t>
            </w:r>
          </w:p>
        </w:tc>
        <w:tc>
          <w:tcPr>
            <w:tcW w:w="720" w:type="dxa"/>
            <w:vAlign w:val="bottom"/>
            <w:gridSpan w:val="2"/>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(31.9)</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(41.0)</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(54.8)</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(9.2)</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(0.8)</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(18.0)</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(0.8)</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other operating result</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(39.0)</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(266.7)</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(25.9)</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(262.3)</w:t>
            </w: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bottom w:val="single" w:sz="8" w:color="BECE33"/>
            </w:tcBorders>
          </w:tcPr>
          <w:p>
            <w:pPr>
              <w:spacing w:after="0"/>
              <w:rPr>
                <w:sz w:val="4"/>
                <w:szCs w:val="4"/>
                <w:color w:val="auto"/>
              </w:rPr>
            </w:pPr>
          </w:p>
        </w:tc>
        <w:tc>
          <w:tcPr>
            <w:tcW w:w="1240" w:type="dxa"/>
            <w:vAlign w:val="bottom"/>
            <w:tcBorders>
              <w:bottom w:val="single" w:sz="8" w:color="BECE33"/>
            </w:tcBorders>
          </w:tcPr>
          <w:p>
            <w:pPr>
              <w:spacing w:after="0"/>
              <w:rPr>
                <w:sz w:val="4"/>
                <w:szCs w:val="4"/>
                <w:color w:val="auto"/>
              </w:rPr>
            </w:pPr>
          </w:p>
        </w:tc>
        <w:tc>
          <w:tcPr>
            <w:tcW w:w="140" w:type="dxa"/>
            <w:vAlign w:val="bottom"/>
            <w:tcBorders>
              <w:bottom w:val="single" w:sz="8" w:color="BECE33"/>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124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6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total other operating result increased by €227.7 million, or 85%, from a negative operating result of €266.7 million during the three months ended June 30, 2024 to a negative operating result of €39.0 million during the three months ended June 30, 2025 and increased by €236.4 million, or 90%, from a negative operating result of €262.3 million during the six months ended June 30, 2024 to a negative operating result of €25.9 million during the six months ended June 30, 2025. These changes are mainly due to effects from contractual disputes in the respective prior year period, which exceeded the impact of pipeline prioritization costs and the net loss from foreign exchange differences and related effects from derivative instruments in the current period. For the three and six months ended June 30, 2025, our pipeline prioritization costs amounted to €43.6 million and mainly related to adjusting capacities in different sites as well as deferred costs in the context of reducing our workforce in certain areas.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As of June 30, 2025, the amount of our grants deferred disclosed as other non-financial liabilities in our unaudited interim condensed consolidated financial statements amounted to €79.7 million compared to €85.2 million as of December 31, 2024. Compared to the balance sheet amount for the</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10</w:t>
      </w:r>
    </w:p>
    <w:p>
      <w:pPr>
        <w:sectPr>
          <w:pgSz w:w="11900" w:h="16838" w:orient="portrait"/>
          <w:cols w:equalWidth="0" w:num="1">
            <w:col w:w="11240"/>
          </w:cols>
          <w:pgMar w:left="320" w:top="167" w:right="339" w:bottom="1440" w:gutter="0" w:footer="0" w:header="0"/>
          <w:type w:val="continuous"/>
        </w:sectPr>
      </w:pPr>
    </w:p>
    <w:bookmarkStart w:id="18" w:name="page19"/>
    <w:bookmarkEnd w:id="18"/>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year ended December 31, 2024, the total nominal amount of government grants and similar grants increased mainly due to an additional grant signed of approximately £129.0 million with the UK Government.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4.3 Finance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finance result recognized during the three and six months ended June 30, 2025 and 2024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005A64"/>
              </w:rPr>
              <w:t>Six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40" w:type="dxa"/>
            <w:vAlign w:val="bottom"/>
            <w:tcBorders>
              <w:bottom w:val="single" w:sz="8" w:color="BECE33"/>
            </w:tcBorders>
            <w:gridSpan w:val="2"/>
          </w:tcPr>
          <w:p>
            <w:pPr>
              <w:spacing w:after="0"/>
              <w:rPr>
                <w:sz w:val="13"/>
                <w:szCs w:val="13"/>
                <w:color w:val="auto"/>
              </w:rPr>
            </w:pPr>
          </w:p>
        </w:tc>
        <w:tc>
          <w:tcPr>
            <w:tcW w:w="120" w:type="dxa"/>
            <w:vAlign w:val="bottom"/>
            <w:tcBorders>
              <w:bottom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40" w:type="dxa"/>
            <w:vAlign w:val="bottom"/>
          </w:tcPr>
          <w:p>
            <w:pPr>
              <w:spacing w:after="0"/>
              <w:rPr>
                <w:sz w:val="13"/>
                <w:szCs w:val="13"/>
                <w:color w:val="auto"/>
              </w:rPr>
            </w:pPr>
          </w:p>
        </w:tc>
        <w:tc>
          <w:tcPr>
            <w:tcW w:w="1300" w:type="dxa"/>
            <w:vAlign w:val="bottom"/>
            <w:tcBorders>
              <w:bottom w:val="single" w:sz="8" w:color="BECE33"/>
            </w:tcBorders>
            <w:gridSpan w:val="2"/>
          </w:tcPr>
          <w:p>
            <w:pPr>
              <w:spacing w:after="0"/>
              <w:rPr>
                <w:sz w:val="13"/>
                <w:szCs w:val="13"/>
                <w:color w:val="auto"/>
              </w:rPr>
            </w:pPr>
          </w:p>
        </w:tc>
        <w:tc>
          <w:tcPr>
            <w:tcW w:w="140" w:type="dxa"/>
            <w:vAlign w:val="bottom"/>
            <w:tcBorders>
              <w:bottom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5540" w:type="dxa"/>
            <w:vAlign w:val="bottom"/>
            <w:gridSpan w:val="2"/>
            <w:vMerge w:val="continue"/>
          </w:tcPr>
          <w:p>
            <w:pPr>
              <w:spacing w:after="0"/>
              <w:rPr>
                <w:sz w:val="17"/>
                <w:szCs w:val="17"/>
                <w:color w:val="auto"/>
              </w:rPr>
            </w:pP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44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Finance result</w:t>
            </w:r>
          </w:p>
        </w:tc>
        <w:tc>
          <w:tcPr>
            <w:tcW w:w="120" w:type="dxa"/>
            <w:vAlign w:val="bottom"/>
            <w:tcBorders>
              <w:left w:val="single" w:sz="8" w:color="BECE33"/>
            </w:tcBorders>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Borders>
              <w:right w:val="single" w:sz="8" w:color="BECE33"/>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right w:val="single" w:sz="8" w:color="BECE33"/>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Borders>
              <w:right w:val="single" w:sz="8" w:color="BECE33"/>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40" w:type="dxa"/>
            <w:vAlign w:val="bottom"/>
            <w:tcBorders>
              <w:bottom w:val="single" w:sz="8" w:color="7FACB1"/>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left w:val="single" w:sz="8" w:color="BECE33"/>
            </w:tcBorders>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52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7FACB1"/>
            </w:tcBorders>
          </w:tcPr>
          <w:p>
            <w:pPr>
              <w:spacing w:after="0"/>
              <w:rPr>
                <w:sz w:val="3"/>
                <w:szCs w:val="3"/>
                <w:color w:val="auto"/>
              </w:rPr>
            </w:pPr>
          </w:p>
        </w:tc>
        <w:tc>
          <w:tcPr>
            <w:tcW w:w="58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Finance income</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105.4</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167.7</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228.0</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345.3</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Gains from financial instruments measured at amortized cost</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68.9</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118.6</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145.9</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237.5</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Gains from financial instruments measured at fair value</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36.4</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49.1</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82.0</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105.1</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20" w:type="dxa"/>
            <w:vAlign w:val="bottom"/>
            <w:tcBorders>
              <w:left w:val="single" w:sz="8" w:color="BECE33"/>
            </w:tcBorders>
          </w:tcPr>
          <w:p>
            <w:pPr>
              <w:spacing w:after="0"/>
              <w:rPr>
                <w:sz w:val="17"/>
                <w:szCs w:val="17"/>
                <w:color w:val="auto"/>
              </w:rPr>
            </w:pPr>
          </w:p>
        </w:tc>
        <w:tc>
          <w:tcPr>
            <w:tcW w:w="1340" w:type="dxa"/>
            <w:vAlign w:val="bottom"/>
            <w:tcBorders>
              <w:right w:val="single" w:sz="8" w:color="BECE33"/>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005A64"/>
              </w:rPr>
              <w:t>—</w:t>
            </w:r>
          </w:p>
        </w:tc>
        <w:tc>
          <w:tcPr>
            <w:tcW w:w="800" w:type="dxa"/>
            <w:vAlign w:val="bottom"/>
            <w:gridSpan w:val="2"/>
          </w:tcPr>
          <w:p>
            <w:pPr>
              <w:spacing w:after="0"/>
              <w:rPr>
                <w:sz w:val="17"/>
                <w:szCs w:val="17"/>
                <w:color w:val="auto"/>
              </w:rPr>
            </w:pPr>
          </w:p>
        </w:tc>
        <w:tc>
          <w:tcPr>
            <w:tcW w:w="6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80" w:type="dxa"/>
            <w:vAlign w:val="bottom"/>
          </w:tcPr>
          <w:p>
            <w:pPr>
              <w:spacing w:after="0"/>
              <w:rPr>
                <w:sz w:val="17"/>
                <w:szCs w:val="17"/>
                <w:color w:val="auto"/>
              </w:rPr>
            </w:pPr>
          </w:p>
        </w:tc>
        <w:tc>
          <w:tcPr>
            <w:tcW w:w="13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2.7</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0.1</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0.1</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Finance expenses</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(7.0)</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(7.3)</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(40.9)</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(9.5)</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Expenses from financial instruments measured at fair value</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(1.7)</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(0.3)</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(4.4)</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(0.4)</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Expenses from financial instruments measured at amortized cost without</w:t>
            </w:r>
          </w:p>
        </w:tc>
        <w:tc>
          <w:tcPr>
            <w:tcW w:w="1340" w:type="dxa"/>
            <w:vAlign w:val="bottom"/>
            <w:tcBorders>
              <w:left w:val="single" w:sz="8" w:color="BECE33"/>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005A64"/>
              </w:rPr>
              <w:t>(1.5)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5A64"/>
              </w:rPr>
              <w:t>(1.1)</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5A64"/>
              </w:rPr>
              <w:t>(2.8)</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5A64"/>
              </w:rPr>
              <w:t>(1.7)</w:t>
            </w:r>
          </w:p>
        </w:tc>
        <w:tc>
          <w:tcPr>
            <w:tcW w:w="0" w:type="dxa"/>
            <w:vAlign w:val="bottom"/>
          </w:tcPr>
          <w:p>
            <w:pPr>
              <w:spacing w:after="0"/>
              <w:rPr>
                <w:sz w:val="1"/>
                <w:szCs w:val="1"/>
                <w:color w:val="auto"/>
              </w:rPr>
            </w:pPr>
          </w:p>
        </w:tc>
      </w:tr>
      <w:tr>
        <w:trPr>
          <w:trHeight w:val="95"/>
        </w:trPr>
        <w:tc>
          <w:tcPr>
            <w:tcW w:w="5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005A64"/>
              </w:rPr>
              <w:t>expected credit losses</w:t>
            </w:r>
          </w:p>
        </w:tc>
        <w:tc>
          <w:tcPr>
            <w:tcW w:w="1340" w:type="dxa"/>
            <w:vAlign w:val="bottom"/>
            <w:tcBorders>
              <w:left w:val="single" w:sz="8" w:color="BECE33"/>
            </w:tcBorders>
            <w:gridSpan w:val="2"/>
            <w:vMerge w:val="continue"/>
          </w:tcPr>
          <w:p>
            <w:pPr>
              <w:spacing w:after="0"/>
              <w:rPr>
                <w:sz w:val="8"/>
                <w:szCs w:val="8"/>
                <w:color w:val="auto"/>
              </w:rPr>
            </w:pPr>
          </w:p>
        </w:tc>
        <w:tc>
          <w:tcPr>
            <w:tcW w:w="120" w:type="dxa"/>
            <w:vAlign w:val="bottom"/>
            <w:tcBorders>
              <w:right w:val="single" w:sz="8" w:color="BECE33"/>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Borders>
              <w:right w:val="single" w:sz="8" w:color="BECE33"/>
            </w:tcBorders>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Borders>
              <w:right w:val="single" w:sz="8" w:color="BECE33"/>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540" w:type="dxa"/>
            <w:vAlign w:val="bottom"/>
            <w:gridSpan w:val="2"/>
            <w:vMerge w:val="continue"/>
          </w:tcPr>
          <w:p>
            <w:pPr>
              <w:spacing w:after="0"/>
              <w:rPr>
                <w:sz w:val="9"/>
                <w:szCs w:val="9"/>
                <w:color w:val="auto"/>
              </w:rPr>
            </w:pPr>
          </w:p>
        </w:tc>
        <w:tc>
          <w:tcPr>
            <w:tcW w:w="120" w:type="dxa"/>
            <w:vAlign w:val="bottom"/>
            <w:tcBorders>
              <w:left w:val="single" w:sz="8" w:color="BECE33"/>
            </w:tcBorders>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Borders>
              <w:right w:val="single" w:sz="8" w:color="BECE33"/>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right w:val="single" w:sz="8" w:color="BECE33"/>
            </w:tcBorders>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Borders>
              <w:right w:val="single" w:sz="8" w:color="BECE33"/>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(0.4)</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(2.5)</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(26.4)</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(3.4)</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(3.4)</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(7.3)</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(7.4)</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finance result</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98.4</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160.4</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187.1</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335.8</w:t>
            </w:r>
          </w:p>
        </w:tc>
        <w:tc>
          <w:tcPr>
            <w:tcW w:w="0" w:type="dxa"/>
            <w:vAlign w:val="bottom"/>
          </w:tcPr>
          <w:p>
            <w:pPr>
              <w:spacing w:after="0"/>
              <w:rPr>
                <w:sz w:val="1"/>
                <w:szCs w:val="1"/>
                <w:color w:val="auto"/>
              </w:rPr>
            </w:pPr>
          </w:p>
        </w:tc>
      </w:tr>
      <w:tr>
        <w:trPr>
          <w:trHeight w:val="50"/>
        </w:trPr>
        <w:tc>
          <w:tcPr>
            <w:tcW w:w="544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bottom w:val="single" w:sz="8" w:color="BECE33"/>
            </w:tcBorders>
          </w:tcPr>
          <w:p>
            <w:pPr>
              <w:spacing w:after="0"/>
              <w:rPr>
                <w:sz w:val="4"/>
                <w:szCs w:val="4"/>
                <w:color w:val="auto"/>
              </w:rPr>
            </w:pPr>
          </w:p>
        </w:tc>
        <w:tc>
          <w:tcPr>
            <w:tcW w:w="122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1220" w:type="dxa"/>
            <w:vAlign w:val="bottom"/>
            <w:tcBorders>
              <w:bottom w:val="single" w:sz="8" w:color="BECE33"/>
            </w:tcBorders>
          </w:tcPr>
          <w:p>
            <w:pPr>
              <w:spacing w:after="0"/>
              <w:rPr>
                <w:sz w:val="4"/>
                <w:szCs w:val="4"/>
                <w:color w:val="auto"/>
              </w:rPr>
            </w:pPr>
          </w:p>
        </w:tc>
        <w:tc>
          <w:tcPr>
            <w:tcW w:w="140" w:type="dxa"/>
            <w:vAlign w:val="bottom"/>
            <w:tcBorders>
              <w:bottom w:val="single" w:sz="8" w:color="BECE33"/>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finance result during the three and six months ended June 30, 2025 and 2024 was mainly derived from returns, such as interests, resulting from our financial investments as well as fair value adjustments of our money market funds. Our total finance result decreased by €62.0 million, or 39%, from a positive finance result of €160.4 million during the three months ended June 30, 2024 to a positive finance result of €98.4 million during the three months ended June 30, 2025 and decreased by €148.7 million, or 44%, from a positive finance result of €335.8 million during the six months ended June 30, 2024 to a positive finance result of €187.1 million during the six months ended June 30, 2025. These changes are mainly due to lower interest income and a shift from positive to negative foreign exchange differences, primarily derived from our security investments disclosed as cash equivalents and bank cash accounts held in foreign currency.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5. Business Combination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Acquisition of Biotheus</w:t>
      </w:r>
    </w:p>
    <w:p>
      <w:pPr>
        <w:spacing w:after="0" w:line="17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On November 13, 2024, our subsidiary, BioNTech Collaborations GmbH, entered into an agreement and plan of merger, or the Merger Agreement, with Biotheus, a clinical-stage biotechnology company dedicated to the discovery and development of novel antibodies to address unmet medical needs of patients with oncological or inflammatory diseases, to acquire 100 percent of the issued share capital of Biotheus. The acquisition supports the global execution of our oncology strategy and provides full global rights to BNT327, an investigational PD-L1 x VEGF-A bispecific antibody, with potential to replace current checkpoint inhibitor standard of care treatments for solid tumors.</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098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19"/>
          <w:szCs w:val="19"/>
          <w:b w:val="1"/>
          <w:bCs w:val="1"/>
          <w:color w:val="C3C3C3"/>
        </w:rPr>
        <w:t>11</w:t>
      </w:r>
    </w:p>
    <w:p>
      <w:pPr>
        <w:sectPr>
          <w:pgSz w:w="11900" w:h="16838" w:orient="portrait"/>
          <w:cols w:equalWidth="0" w:num="1">
            <w:col w:w="11240"/>
          </w:cols>
          <w:pgMar w:left="320" w:top="167" w:right="339" w:bottom="1440" w:gutter="0" w:footer="0" w:header="0"/>
          <w:type w:val="continuous"/>
        </w:sectPr>
      </w:pPr>
    </w:p>
    <w:bookmarkStart w:id="19" w:name="page20"/>
    <w:bookmarkEnd w:id="19"/>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By closing the acquisition, we gained full rights to Biotheus’ other pipeline candidates and its in-house bispecific antibody-drug conjugate capability. The acquisition has expanded our footprint in China, adding a local research and development hub to conduct clinical trials. In addition, we have gained a biologics manufacturing facility to contribute to our future global manufacturing and supply, and more than 300 Biotheus employees in R&amp;D, manufacturing and enabling functions have joined the BioNTech workforce.</w:t>
      </w:r>
    </w:p>
    <w:p>
      <w:pPr>
        <w:spacing w:after="0" w:line="23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Following the satisfaction of several customary closing conditions and regulatory approvals as defined in the Merger Agreement, the acquisition closed on January 31, 2025.</w:t>
      </w:r>
    </w:p>
    <w:p>
      <w:pPr>
        <w:spacing w:after="0" w:line="21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Since the completion of the acquisition took place in January 2025, we performed an allocation of the total consideration and the underlying assets acquired and liabilities assumed based on their fair values using the information available as of the acquisition date. Due to the complexity of the transaction, this allocation is still preliminary and might be subject to change. The total consideration and the fair values determined in accordance with IFRS 3 of the identified net assets acquired of Biotheus as of January 31,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151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503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assets non-current and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5035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identifiable net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Bargain from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5035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Upfront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Contingent consideration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Payments in connection with pre-existing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Fair value recognized on</w:t>
      </w:r>
    </w:p>
    <w:p>
      <w:pPr>
        <w:spacing w:after="0" w:line="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acquisition</w:t>
      </w:r>
    </w:p>
    <w:p>
      <w:pPr>
        <w:spacing w:after="0" w:line="9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005A64"/>
        </w:rPr>
        <w:t>Biotheus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358140</wp:posOffset>
            </wp:positionV>
            <wp:extent cx="15005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386.5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359410</wp:posOffset>
            </wp:positionV>
            <wp:extent cx="15005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5A64"/>
        </w:rPr>
        <w:t>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5A64"/>
        </w:rPr>
        <w:t>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005A64"/>
        </w:rPr>
        <w:t>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3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005A64"/>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359410</wp:posOffset>
            </wp:positionV>
            <wp:extent cx="15005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847.4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(567.3)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60" w:space="720"/>
            <w:col w:w="1660"/>
          </w:cols>
          <w:pgMar w:left="320" w:top="166" w:right="339" w:bottom="1440" w:gutter="0" w:footer="0" w:header="0"/>
          <w:type w:val="continuous"/>
        </w:sectPr>
      </w:pPr>
    </w:p>
    <w:p>
      <w:pPr>
        <w:spacing w:after="0" w:line="26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Upon closing and under the terms of the agreement, we paid Biotheus shareholders an upfront payment of €767.8 million in cash. Furthermore, we agreed to pay additional performance-based contingent payments, if certain milestones are met. At the acquisition date, the contingent</w:t>
      </w:r>
    </w:p>
    <w:p>
      <w:pPr>
        <w:sectPr>
          <w:pgSz w:w="11900" w:h="16838" w:orient="portrait"/>
          <w:cols w:equalWidth="0" w:num="1">
            <w:col w:w="11240"/>
          </w:cols>
          <w:pgMar w:left="320" w:top="1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12</w:t>
      </w:r>
    </w:p>
    <w:p>
      <w:pPr>
        <w:sectPr>
          <w:pgSz w:w="11900" w:h="16838" w:orient="portrait"/>
          <w:cols w:equalWidth="0" w:num="1">
            <w:col w:w="11240"/>
          </w:cols>
          <w:pgMar w:left="320" w:top="166" w:right="339" w:bottom="1440" w:gutter="0" w:footer="0" w:header="0"/>
          <w:type w:val="continuous"/>
        </w:sectPr>
      </w:pPr>
    </w:p>
    <w:bookmarkStart w:id="20" w:name="page21"/>
    <w:bookmarkEnd w:id="20"/>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consideration was recognized at its fair value of €79.6 million based on discounted cash flow projections in connection with performance-based contingent payments. The lower end of the bandwidth of possible outcomes of the contingent consideration is zero, and the upper limit is €144.3 million.</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Under the terms of the agreement, we also transferred American Depositary Shares, or ADSs, to eligible shareholders who will provide services to the Group. Under IFRS 3, this is considered remuneration and will be recognized as equity-settled share-based payment, based on the grant date fair value (€49.2 million) as personnel expense over a four-year service period.</w:t>
      </w:r>
    </w:p>
    <w:p>
      <w:pPr>
        <w:spacing w:after="0" w:line="23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purchase price is mainly allocated to the settlement of our pre-existing relationship in connection with the License and Collaboration Agreement with Biotheus entered into in November 2023, which comprised exclusive rights to the development, manufacturing and commercialization of BNT327/PM8002 ex-Greater China. The amount is separated from the remaining purchase price to be transferred for the acquired business of Biotheus and amounts to €565.1 million. This amount for the settlement of the pre-existing relationship is identified based on the fair value of the settled rights of Biotheus in connection with contingent payments in relation to the License and Collaboration Agreement, including development, regulatory and sales milestones and royalties. This fair value was determined using a Discounted Cash flow model based on a business plan for the compound, using an appropriate WACC. The fair value of these rights is recorded as subsequent acquisition cost to our BNT327/PM8002 ex-Greater China rights. As the requirements under IAS 12 for the initial recognition exemption are fulfilled, we did not record a correspondent deferred tax liability. We did not identify a gain or a loss in connection with the settlement of the pre-existing relationship.</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 consideration for the acquired business of Biotheus is allocated to net assets acquired, which mainly include identified intangible assets in connection with Biotheus’ BNT327/PM8002 Greater China rights and other clinical pipeline candidates, property, plant and equipment, cash and liabilities assumed. The fair values of the BNT327/PM8002 Greater China rights and other clinical pipeline candidates were determined based on the direct cash flow approach and amount to €167.7 million.</w:t>
      </w:r>
    </w:p>
    <w:p>
      <w:pPr>
        <w:spacing w:after="0" w:line="23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A bargain purchase of €15.0 million was recognized in other operating income, which technically results from the separation of the identified amount in connection with the settlement of the pre-existing relationships and the application of the initial recognition exemption under IAS 12.</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Transaction costs of €6.9 million were expensed and are included in general and administrative expenses. Since the acquisition, Biotheus’ impact on our revenue and profit and loss for the period has been immaterial. Accordingly, pro-forma amounts for our revenue and profit and loss for the financial year, which were calculated on the assumption that the acquisition had taken place at the beginning of the year, would not materially differ from the actual figures reported.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6. Income Taxes</w:t>
      </w:r>
    </w:p>
    <w:p>
      <w:pPr>
        <w:spacing w:after="0" w:line="20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During the six months ended June 30, 2025 and 2024, income taxes were calculated based on the best estimate of the weighted average annual income tax rates expected for the full financial years (estimated annual effective income tax rates) on ordinary income before tax adjusted by the tax effect of any discrete items. During the six months ended June 30, 2025, our effective income tax rate was</w:t>
      </w: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w:t>
            </w:r>
          </w:p>
        </w:tc>
      </w:tr>
    </w:tbl>
    <w:p>
      <w:pPr>
        <w:sectPr>
          <w:pgSz w:w="11900" w:h="16838" w:orient="portrait"/>
          <w:cols w:equalWidth="0" w:num="1">
            <w:col w:w="11240"/>
          </w:cols>
          <w:pgMar w:left="320" w:top="166" w:right="339" w:bottom="1440" w:gutter="0" w:footer="0" w:header="0"/>
        </w:sectPr>
      </w:pPr>
    </w:p>
    <w:bookmarkStart w:id="21" w:name="page22"/>
    <w:bookmarkEnd w:id="21"/>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approximately 5.4%. During the six months ended June 30, 2024, our effective income tax rate was approximately 1.3%.</w:t>
      </w:r>
    </w:p>
    <w:p>
      <w:pPr>
        <w:spacing w:after="0" w:line="33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effective income tax rate was mainly driven by the expected negative result for 2025 and management’s assessment of the requirements in International Accounting Standards, or IAS, 12, including on the character and amounts of taxable future profits, the periods in which those profits are expected to occur, and the availability of tax planning opportunities. Thus, in countries where the requirements of IAS 12 were not fulfilled, no deferred tax asset was recognized. Such assessment takes into account the fact that there is an inherent risk of failure in pharmaceutical development and uncertainty of approvals that depend on external regulatory agencies’ opinions. As of June 30, 2025, it is considered highly probable that taxable profits for the U.S. tax group will be available against which the deferred tax assets can be utilized in the near future, fulfilling the requirements set out by IAS 12.</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apply the mandatory exception to recognizing and disclosing information about deferred tax assets and liabilities arising from Pillar Two income taxes. Furthermore, we reviewed the corporate structure with regard to the Pillar Two Model Rules in various jurisdictions. Since the Group’s relevant effective tax rate for Pillar Two purposes is expected mainly above 15% in all jurisdictions in which it operates, it has been determined that the Group is not materially subject to Pillar Two “top-up” taxes. Therefore, the consolidated financial statements for the three and six months ended June 30, 2025 do not include further information otherwise required by paragraphs 88B and 88C of IAS 12.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income taxes recognized during the three and six months ended June 30, 2025 and 2024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005A64"/>
              </w:rPr>
              <w:t>Six months ended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6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34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5420" w:type="dxa"/>
            <w:vAlign w:val="bottom"/>
            <w:gridSpan w:val="2"/>
            <w:vMerge w:val="continue"/>
          </w:tcPr>
          <w:p>
            <w:pPr>
              <w:spacing w:after="0"/>
              <w:rPr>
                <w:sz w:val="17"/>
                <w:szCs w:val="17"/>
                <w:color w:val="auto"/>
              </w:rPr>
            </w:pPr>
          </w:p>
        </w:tc>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22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Current income taxes</w:t>
            </w:r>
          </w:p>
        </w:tc>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4.0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14.3</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6.5</w:t>
            </w:r>
          </w:p>
        </w:tc>
        <w:tc>
          <w:tcPr>
            <w:tcW w:w="0" w:type="dxa"/>
            <w:vAlign w:val="bottom"/>
          </w:tcPr>
          <w:p>
            <w:pPr>
              <w:spacing w:after="0"/>
              <w:rPr>
                <w:sz w:val="1"/>
                <w:szCs w:val="1"/>
                <w:color w:val="auto"/>
              </w:rPr>
            </w:pPr>
          </w:p>
        </w:tc>
      </w:tr>
      <w:tr>
        <w:trPr>
          <w:trHeight w:val="50"/>
        </w:trPr>
        <w:tc>
          <w:tcPr>
            <w:tcW w:w="522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Deferred taxes</w:t>
            </w:r>
          </w:p>
        </w:tc>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(20.1)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(12.3)</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(52.4)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(21.2)</w:t>
            </w:r>
          </w:p>
        </w:tc>
        <w:tc>
          <w:tcPr>
            <w:tcW w:w="0" w:type="dxa"/>
            <w:vAlign w:val="bottom"/>
          </w:tcPr>
          <w:p>
            <w:pPr>
              <w:spacing w:after="0"/>
              <w:rPr>
                <w:sz w:val="1"/>
                <w:szCs w:val="1"/>
                <w:color w:val="auto"/>
              </w:rPr>
            </w:pPr>
          </w:p>
        </w:tc>
      </w:tr>
      <w:tr>
        <w:trPr>
          <w:trHeight w:val="50"/>
        </w:trPr>
        <w:tc>
          <w:tcPr>
            <w:tcW w:w="522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Income taxes expenses / (income)</w:t>
            </w:r>
          </w:p>
        </w:tc>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(16.1)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(45.7)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(14.7)</w:t>
            </w:r>
          </w:p>
        </w:tc>
        <w:tc>
          <w:tcPr>
            <w:tcW w:w="0" w:type="dxa"/>
            <w:vAlign w:val="bottom"/>
          </w:tcPr>
          <w:p>
            <w:pPr>
              <w:spacing w:after="0"/>
              <w:rPr>
                <w:sz w:val="1"/>
                <w:szCs w:val="1"/>
                <w:color w:val="auto"/>
              </w:rPr>
            </w:pPr>
          </w:p>
        </w:tc>
      </w:tr>
      <w:tr>
        <w:trPr>
          <w:trHeight w:val="50"/>
        </w:trPr>
        <w:tc>
          <w:tcPr>
            <w:tcW w:w="522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left w:val="single" w:sz="8" w:color="BECD32"/>
              <w:bottom w:val="single" w:sz="8" w:color="BECD32"/>
            </w:tcBorders>
          </w:tcPr>
          <w:p>
            <w:pPr>
              <w:spacing w:after="0"/>
              <w:rPr>
                <w:sz w:val="4"/>
                <w:szCs w:val="4"/>
                <w:color w:val="auto"/>
              </w:rPr>
            </w:pPr>
          </w:p>
        </w:tc>
        <w:tc>
          <w:tcPr>
            <w:tcW w:w="126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Borders>
              <w:bottom w:val="single" w:sz="8" w:color="BECD32"/>
            </w:tcBorders>
          </w:tcPr>
          <w:p>
            <w:pPr>
              <w:spacing w:after="0"/>
              <w:rPr>
                <w:sz w:val="4"/>
                <w:szCs w:val="4"/>
                <w:color w:val="auto"/>
              </w:rPr>
            </w:pPr>
          </w:p>
        </w:tc>
        <w:tc>
          <w:tcPr>
            <w:tcW w:w="124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7. Other Intangible Assets</w:t>
      </w:r>
    </w:p>
    <w:p>
      <w:pPr>
        <w:spacing w:after="0" w:line="19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identify indications of impairment of other intangible assets using various factors from external and internal information sources, including deviations from sales forecasts and the analysis of changes in medium-term planning.</w:t>
      </w:r>
    </w:p>
    <w:p>
      <w:pPr>
        <w:spacing w:after="0" w:line="217"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During the three months ended June 30, 2025, we identified a triggering event in connection with the asset related to the product candidate BNT323/DB-1303 due to revision of the clinical development plan. We performed an impairment test based on the valuation parameters used in the recent annual impairment test, which has been adjusted to reflect the revised clinical development plan. The impairment test performed did not reveal any impairment loss. We did not identify any further indication that other intangible assets may be impaired during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w:t>
            </w:r>
          </w:p>
        </w:tc>
      </w:tr>
    </w:tbl>
    <w:p>
      <w:pPr>
        <w:sectPr>
          <w:pgSz w:w="11900" w:h="16838" w:orient="portrait"/>
          <w:cols w:equalWidth="0" w:num="1">
            <w:col w:w="11240"/>
          </w:cols>
          <w:pgMar w:left="320" w:top="166" w:right="339" w:bottom="1440" w:gutter="0" w:footer="0" w:header="0"/>
        </w:sectPr>
      </w:pPr>
    </w:p>
    <w:bookmarkStart w:id="22" w:name="page23"/>
    <w:bookmarkEnd w:id="22"/>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8. Financial Assets and Financial Liabilities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Financial Assets and Liabilities at Amortized Cost and at Fair Value through OCI and Profit or Loss</w:t>
      </w:r>
    </w:p>
    <w:p>
      <w:pPr>
        <w:spacing w:after="0" w:line="17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080509"/>
        </w:rPr>
        <w:t>Set out below is an overview of financial assets and liabilities at amortized cost and at fair value through OCI and profit or loss,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1517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June 30, 2025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96"/>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BECE33"/>
            </w:tcBorders>
          </w:tcPr>
          <w:p>
            <w:pPr>
              <w:spacing w:after="0"/>
              <w:rPr>
                <w:sz w:val="17"/>
                <w:szCs w:val="17"/>
                <w:color w:val="auto"/>
              </w:rPr>
            </w:pPr>
          </w:p>
        </w:tc>
        <w:tc>
          <w:tcPr>
            <w:tcW w:w="780" w:type="dxa"/>
            <w:vAlign w:val="bottom"/>
            <w:tcBorders>
              <w:bottom w:val="single" w:sz="8" w:color="BECE33"/>
            </w:tcBorders>
          </w:tcPr>
          <w:p>
            <w:pPr>
              <w:spacing w:after="0"/>
              <w:rPr>
                <w:sz w:val="17"/>
                <w:szCs w:val="17"/>
                <w:color w:val="auto"/>
              </w:rPr>
            </w:pPr>
          </w:p>
        </w:tc>
        <w:tc>
          <w:tcPr>
            <w:tcW w:w="1220" w:type="dxa"/>
            <w:vAlign w:val="bottom"/>
            <w:tcBorders>
              <w:bottom w:val="single" w:sz="8" w:color="BECE33"/>
            </w:tcBorders>
            <w:gridSpan w:val="3"/>
          </w:tcPr>
          <w:p>
            <w:pPr>
              <w:spacing w:after="0"/>
              <w:rPr>
                <w:sz w:val="17"/>
                <w:szCs w:val="17"/>
                <w:color w:val="auto"/>
              </w:rPr>
            </w:pPr>
          </w:p>
        </w:tc>
        <w:tc>
          <w:tcPr>
            <w:tcW w:w="780" w:type="dxa"/>
            <w:vAlign w:val="bottom"/>
            <w:tcBorders>
              <w:bottom w:val="single" w:sz="8" w:color="BECE33"/>
            </w:tcBorders>
          </w:tcPr>
          <w:p>
            <w:pPr>
              <w:spacing w:after="0"/>
              <w:rPr>
                <w:sz w:val="17"/>
                <w:szCs w:val="17"/>
                <w:color w:val="auto"/>
              </w:rPr>
            </w:pPr>
          </w:p>
        </w:tc>
        <w:tc>
          <w:tcPr>
            <w:tcW w:w="220" w:type="dxa"/>
            <w:vAlign w:val="bottom"/>
            <w:tcBorders>
              <w:bottom w:val="single" w:sz="8" w:color="BECE33"/>
            </w:tcBorders>
          </w:tcPr>
          <w:p>
            <w:pPr>
              <w:spacing w:after="0"/>
              <w:rPr>
                <w:sz w:val="17"/>
                <w:szCs w:val="17"/>
                <w:color w:val="auto"/>
              </w:rPr>
            </w:pPr>
          </w:p>
        </w:tc>
        <w:tc>
          <w:tcPr>
            <w:tcW w:w="980" w:type="dxa"/>
            <w:vAlign w:val="bottom"/>
            <w:tcBorders>
              <w:bottom w:val="single" w:sz="8" w:color="BECE33"/>
            </w:tcBorders>
          </w:tcPr>
          <w:p>
            <w:pPr>
              <w:spacing w:after="0"/>
              <w:rPr>
                <w:sz w:val="17"/>
                <w:szCs w:val="17"/>
                <w:color w:val="auto"/>
              </w:rPr>
            </w:pPr>
          </w:p>
        </w:tc>
        <w:tc>
          <w:tcPr>
            <w:tcW w:w="220" w:type="dxa"/>
            <w:vAlign w:val="bottom"/>
            <w:tcBorders>
              <w:bottom w:val="single" w:sz="8" w:color="BECE33"/>
            </w:tcBorders>
          </w:tcPr>
          <w:p>
            <w:pPr>
              <w:spacing w:after="0"/>
              <w:rPr>
                <w:sz w:val="17"/>
                <w:szCs w:val="17"/>
                <w:color w:val="auto"/>
              </w:rPr>
            </w:pPr>
          </w:p>
        </w:tc>
        <w:tc>
          <w:tcPr>
            <w:tcW w:w="1180" w:type="dxa"/>
            <w:vAlign w:val="bottom"/>
            <w:tcBorders>
              <w:bottom w:val="single" w:sz="8" w:color="BECE33"/>
            </w:tcBorders>
            <w:gridSpan w:val="2"/>
          </w:tcPr>
          <w:p>
            <w:pPr>
              <w:spacing w:after="0"/>
              <w:rPr>
                <w:sz w:val="17"/>
                <w:szCs w:val="17"/>
                <w:color w:val="auto"/>
              </w:rPr>
            </w:pPr>
          </w:p>
        </w:tc>
        <w:tc>
          <w:tcPr>
            <w:tcW w:w="980" w:type="dxa"/>
            <w:vAlign w:val="bottom"/>
            <w:tcBorders>
              <w:bottom w:val="single" w:sz="8" w:color="BECE33"/>
            </w:tcBorders>
          </w:tcPr>
          <w:p>
            <w:pPr>
              <w:spacing w:after="0"/>
              <w:rPr>
                <w:sz w:val="17"/>
                <w:szCs w:val="17"/>
                <w:color w:val="auto"/>
              </w:rPr>
            </w:pPr>
          </w:p>
        </w:tc>
        <w:tc>
          <w:tcPr>
            <w:tcW w:w="200" w:type="dxa"/>
            <w:vAlign w:val="bottom"/>
            <w:tcBorders>
              <w:bottom w:val="single" w:sz="8" w:color="BECE33"/>
            </w:tcBorders>
          </w:tcPr>
          <w:p>
            <w:pPr>
              <w:spacing w:after="0"/>
              <w:rPr>
                <w:sz w:val="17"/>
                <w:szCs w:val="17"/>
                <w:color w:val="auto"/>
              </w:rPr>
            </w:pPr>
          </w:p>
        </w:tc>
        <w:tc>
          <w:tcPr>
            <w:tcW w:w="800" w:type="dxa"/>
            <w:vAlign w:val="bottom"/>
            <w:tcBorders>
              <w:bottom w:val="single" w:sz="8" w:color="BECE33"/>
            </w:tcBorders>
          </w:tcPr>
          <w:p>
            <w:pPr>
              <w:spacing w:after="0"/>
              <w:rPr>
                <w:sz w:val="17"/>
                <w:szCs w:val="17"/>
                <w:color w:val="auto"/>
              </w:rPr>
            </w:pPr>
          </w:p>
        </w:tc>
        <w:tc>
          <w:tcPr>
            <w:tcW w:w="220" w:type="dxa"/>
            <w:vAlign w:val="bottom"/>
            <w:tcBorders>
              <w:bottom w:val="single" w:sz="8" w:color="BECE33"/>
            </w:tcBorders>
          </w:tcPr>
          <w:p>
            <w:pPr>
              <w:spacing w:after="0"/>
              <w:rPr>
                <w:sz w:val="17"/>
                <w:szCs w:val="17"/>
                <w:color w:val="auto"/>
              </w:rPr>
            </w:pPr>
          </w:p>
        </w:tc>
      </w:tr>
      <w:tr>
        <w:trPr>
          <w:trHeight w:val="176"/>
        </w:trPr>
        <w:tc>
          <w:tcPr>
            <w:tcW w:w="3460" w:type="dxa"/>
            <w:vAlign w:val="bottom"/>
          </w:tcPr>
          <w:p>
            <w:pPr>
              <w:spacing w:after="0"/>
              <w:rPr>
                <w:sz w:val="15"/>
                <w:szCs w:val="15"/>
                <w:color w:val="auto"/>
              </w:rPr>
            </w:pPr>
          </w:p>
        </w:tc>
        <w:tc>
          <w:tcPr>
            <w:tcW w:w="120" w:type="dxa"/>
            <w:vAlign w:val="bottom"/>
            <w:tcBorders>
              <w:right w:val="single" w:sz="8" w:color="BECE33"/>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005A64"/>
              </w:rPr>
              <w:t>Carrying amount</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005A64"/>
              </w:rPr>
              <w:t>Fair value</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005A64"/>
            </w:tcBorders>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460" w:type="dxa"/>
            <w:vAlign w:val="bottom"/>
          </w:tcPr>
          <w:p>
            <w:pPr>
              <w:spacing w:after="0"/>
              <w:rPr>
                <w:sz w:val="15"/>
                <w:szCs w:val="15"/>
                <w:color w:val="auto"/>
              </w:rPr>
            </w:pPr>
          </w:p>
        </w:tc>
        <w:tc>
          <w:tcPr>
            <w:tcW w:w="120" w:type="dxa"/>
            <w:vAlign w:val="bottom"/>
            <w:tcBorders>
              <w:right w:val="single" w:sz="8" w:color="BECE33"/>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Level 1 (Fair</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Level 2 (Fair</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005A64"/>
              </w:rPr>
              <w:t>Level 3 (Fair</w:t>
            </w:r>
          </w:p>
        </w:tc>
        <w:tc>
          <w:tcPr>
            <w:tcW w:w="800" w:type="dxa"/>
            <w:vAlign w:val="bottom"/>
          </w:tcPr>
          <w:p>
            <w:pPr>
              <w:spacing w:after="0"/>
              <w:rPr>
                <w:sz w:val="15"/>
                <w:szCs w:val="15"/>
                <w:color w:val="auto"/>
              </w:rPr>
            </w:pPr>
          </w:p>
        </w:tc>
        <w:tc>
          <w:tcPr>
            <w:tcW w:w="220" w:type="dxa"/>
            <w:vAlign w:val="bottom"/>
            <w:tcBorders>
              <w:right w:val="single" w:sz="8" w:color="BECE33"/>
            </w:tcBorders>
          </w:tcPr>
          <w:p>
            <w:pPr>
              <w:spacing w:after="0"/>
              <w:rPr>
                <w:sz w:val="15"/>
                <w:szCs w:val="15"/>
                <w:color w:val="auto"/>
              </w:rPr>
            </w:pPr>
          </w:p>
        </w:tc>
      </w:tr>
      <w:tr>
        <w:trPr>
          <w:trHeight w:val="16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Current</w:t>
            </w: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005A64"/>
              </w:rPr>
              <w:t>Non-current</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020" w:type="dxa"/>
            <w:vAlign w:val="bottom"/>
            <w:tcBorders>
              <w:right w:val="single" w:sz="8" w:color="BECE33"/>
            </w:tcBorders>
            <w:gridSpan w:val="2"/>
          </w:tcPr>
          <w:p>
            <w:pPr>
              <w:ind w:left="500"/>
              <w:spacing w:after="0"/>
              <w:rPr>
                <w:sz w:val="20"/>
                <w:szCs w:val="20"/>
                <w:color w:val="auto"/>
              </w:rPr>
            </w:pPr>
            <w:r>
              <w:rPr>
                <w:rFonts w:ascii="Times New Roman" w:cs="Times New Roman" w:eastAsia="Times New Roman" w:hAnsi="Times New Roman"/>
                <w:sz w:val="12"/>
                <w:szCs w:val="12"/>
                <w:b w:val="1"/>
                <w:bCs w:val="1"/>
                <w:color w:val="005A64"/>
              </w:rPr>
              <w:t>Total</w:t>
            </w:r>
          </w:p>
        </w:tc>
      </w:tr>
      <w:tr>
        <w:trPr>
          <w:trHeight w:val="33"/>
        </w:trPr>
        <w:tc>
          <w:tcPr>
            <w:tcW w:w="346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45"/>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 through</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right w:val="single" w:sz="8" w:color="BECE33"/>
            </w:tcBorders>
          </w:tcPr>
          <w:p>
            <w:pPr>
              <w:spacing w:after="0"/>
              <w:rPr>
                <w:sz w:val="12"/>
                <w:szCs w:val="12"/>
                <w:color w:val="auto"/>
              </w:rPr>
            </w:pPr>
          </w:p>
        </w:tc>
      </w:tr>
      <w:tr>
        <w:trPr>
          <w:trHeight w:val="15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profit or loss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BECE33"/>
            </w:tcBorders>
          </w:tcPr>
          <w:p>
            <w:pPr>
              <w:spacing w:after="0"/>
              <w:rPr>
                <w:sz w:val="13"/>
                <w:szCs w:val="13"/>
                <w:color w:val="auto"/>
              </w:rPr>
            </w:pPr>
          </w:p>
        </w:tc>
      </w:tr>
      <w:tr>
        <w:trPr>
          <w:trHeight w:val="33"/>
        </w:trPr>
        <w:tc>
          <w:tcPr>
            <w:tcW w:w="3460" w:type="dxa"/>
            <w:vAlign w:val="bottom"/>
            <w:tcBorders>
              <w:bottom w:val="single" w:sz="8" w:color="7FACB1"/>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24.4</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24.4</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24.4</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24.4</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 equivalents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5,275.1</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5,275.1</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5,275.1</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5,275.1</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38.5</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38.5</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38.5</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38.5</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45"/>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 through</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right w:val="single" w:sz="8" w:color="BECE33"/>
            </w:tcBorders>
          </w:tcPr>
          <w:p>
            <w:pPr>
              <w:spacing w:after="0"/>
              <w:rPr>
                <w:sz w:val="12"/>
                <w:szCs w:val="12"/>
                <w:color w:val="auto"/>
              </w:rPr>
            </w:pPr>
          </w:p>
        </w:tc>
      </w:tr>
      <w:tr>
        <w:trPr>
          <w:trHeight w:val="15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OCI</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BECE33"/>
            </w:tcBorders>
          </w:tcPr>
          <w:p>
            <w:pPr>
              <w:spacing w:after="0"/>
              <w:rPr>
                <w:sz w:val="13"/>
                <w:szCs w:val="13"/>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Non-listed equity investments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Listed equity investments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90.0</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90.0</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90.0</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90.0</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217"/>
        </w:trPr>
        <w:tc>
          <w:tcPr>
            <w:tcW w:w="3460" w:type="dxa"/>
            <w:vAlign w:val="bottom"/>
            <w:tcBorders>
              <w:bottom w:val="single" w:sz="8" w:color="A8C7CA"/>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amortized costs</w:t>
            </w:r>
            <w:r>
              <w:rPr>
                <w:rFonts w:ascii="Times New Roman" w:cs="Times New Roman" w:eastAsia="Times New Roman" w:hAnsi="Times New Roman"/>
                <w:sz w:val="15"/>
                <w:szCs w:val="15"/>
                <w:b w:val="1"/>
                <w:bCs w:val="1"/>
                <w:color w:val="3C9673"/>
                <w:vertAlign w:val="superscript"/>
              </w:rPr>
              <w:t>(1)</w:t>
            </w:r>
          </w:p>
        </w:tc>
        <w:tc>
          <w:tcPr>
            <w:tcW w:w="120" w:type="dxa"/>
            <w:vAlign w:val="bottom"/>
            <w:tcBorders>
              <w:right w:val="single" w:sz="8" w:color="BECE33"/>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8C7CA"/>
            </w:tcBorders>
          </w:tcPr>
          <w:p>
            <w:pPr>
              <w:spacing w:after="0"/>
              <w:rPr>
                <w:sz w:val="18"/>
                <w:szCs w:val="18"/>
                <w:color w:val="auto"/>
              </w:rPr>
            </w:pPr>
          </w:p>
        </w:tc>
        <w:tc>
          <w:tcPr>
            <w:tcW w:w="220" w:type="dxa"/>
            <w:vAlign w:val="bottom"/>
            <w:tcBorders>
              <w:right w:val="single" w:sz="8" w:color="BECE33"/>
            </w:tcBorders>
          </w:tcPr>
          <w:p>
            <w:pPr>
              <w:spacing w:after="0"/>
              <w:rPr>
                <w:sz w:val="18"/>
                <w:szCs w:val="18"/>
                <w:color w:val="auto"/>
              </w:rPr>
            </w:pPr>
          </w:p>
        </w:tc>
      </w:tr>
      <w:tr>
        <w:trPr>
          <w:trHeight w:val="182"/>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other financial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3,363.8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2,356.0</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5,719.8</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5,719.8</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 equivalents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4,514.4</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4,514.4</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4,514.4</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Cash at banks and on hand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480.0</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480.0</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480.0</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Trade and other receivables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1,368.3</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1,368.3</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1,368.3</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Reimbursement asset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378.3</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378.3</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378.3</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18.8</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19.5</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19.5</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bottom w:val="single" w:sz="8" w:color="A8C7CA"/>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 fair value</w:t>
            </w:r>
          </w:p>
        </w:tc>
        <w:tc>
          <w:tcPr>
            <w:tcW w:w="80" w:type="dxa"/>
            <w:vAlign w:val="bottom"/>
            <w:tcBorders>
              <w:bottom w:val="single" w:sz="8" w:color="A8C7CA"/>
            </w:tcBorders>
          </w:tcPr>
          <w:p>
            <w:pPr>
              <w:spacing w:after="0"/>
              <w:rPr>
                <w:sz w:val="15"/>
                <w:szCs w:val="15"/>
                <w:color w:val="auto"/>
              </w:rPr>
            </w:pPr>
          </w:p>
        </w:tc>
        <w:tc>
          <w:tcPr>
            <w:tcW w:w="780" w:type="dxa"/>
            <w:vAlign w:val="bottom"/>
            <w:tcBorders>
              <w:bottom w:val="single" w:sz="8" w:color="A8C7CA"/>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8C7CA"/>
            </w:tcBorders>
          </w:tcPr>
          <w:p>
            <w:pPr>
              <w:spacing w:after="0"/>
              <w:rPr>
                <w:sz w:val="15"/>
                <w:szCs w:val="15"/>
                <w:color w:val="auto"/>
              </w:rPr>
            </w:pPr>
          </w:p>
        </w:tc>
        <w:tc>
          <w:tcPr>
            <w:tcW w:w="220" w:type="dxa"/>
            <w:vAlign w:val="bottom"/>
            <w:tcBorders>
              <w:bottom w:val="single" w:sz="8" w:color="A8C7CA"/>
            </w:tcBorders>
          </w:tcPr>
          <w:p>
            <w:pPr>
              <w:spacing w:after="0"/>
              <w:rPr>
                <w:sz w:val="15"/>
                <w:szCs w:val="15"/>
                <w:color w:val="auto"/>
              </w:rPr>
            </w:pPr>
          </w:p>
        </w:tc>
        <w:tc>
          <w:tcPr>
            <w:tcW w:w="780" w:type="dxa"/>
            <w:vAlign w:val="bottom"/>
            <w:tcBorders>
              <w:bottom w:val="single" w:sz="8" w:color="A8C7CA"/>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8C7CA"/>
            </w:tcBorders>
          </w:tcPr>
          <w:p>
            <w:pPr>
              <w:spacing w:after="0"/>
              <w:rPr>
                <w:sz w:val="15"/>
                <w:szCs w:val="15"/>
                <w:color w:val="auto"/>
              </w:rPr>
            </w:pPr>
          </w:p>
        </w:tc>
        <w:tc>
          <w:tcPr>
            <w:tcW w:w="220" w:type="dxa"/>
            <w:vAlign w:val="bottom"/>
            <w:tcBorders>
              <w:bottom w:val="single" w:sz="8" w:color="A8C7CA"/>
            </w:tcBorders>
          </w:tcPr>
          <w:p>
            <w:pPr>
              <w:spacing w:after="0"/>
              <w:rPr>
                <w:sz w:val="15"/>
                <w:szCs w:val="15"/>
                <w:color w:val="auto"/>
              </w:rPr>
            </w:pPr>
          </w:p>
        </w:tc>
        <w:tc>
          <w:tcPr>
            <w:tcW w:w="960" w:type="dxa"/>
            <w:vAlign w:val="bottom"/>
            <w:tcBorders>
              <w:bottom w:val="single" w:sz="8" w:color="A8C7CA"/>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8C7CA"/>
            </w:tcBorders>
          </w:tcPr>
          <w:p>
            <w:pPr>
              <w:spacing w:after="0"/>
              <w:rPr>
                <w:sz w:val="15"/>
                <w:szCs w:val="15"/>
                <w:color w:val="auto"/>
              </w:rPr>
            </w:pPr>
          </w:p>
        </w:tc>
        <w:tc>
          <w:tcPr>
            <w:tcW w:w="200" w:type="dxa"/>
            <w:vAlign w:val="bottom"/>
            <w:tcBorders>
              <w:bottom w:val="single" w:sz="8" w:color="A8C7CA"/>
            </w:tcBorders>
          </w:tcPr>
          <w:p>
            <w:pPr>
              <w:spacing w:after="0"/>
              <w:rPr>
                <w:sz w:val="15"/>
                <w:szCs w:val="15"/>
                <w:color w:val="auto"/>
              </w:rPr>
            </w:pPr>
          </w:p>
        </w:tc>
        <w:tc>
          <w:tcPr>
            <w:tcW w:w="800" w:type="dxa"/>
            <w:vAlign w:val="bottom"/>
            <w:tcBorders>
              <w:bottom w:val="single" w:sz="8" w:color="A8C7CA"/>
            </w:tcBorders>
          </w:tcPr>
          <w:p>
            <w:pPr>
              <w:spacing w:after="0"/>
              <w:rPr>
                <w:sz w:val="15"/>
                <w:szCs w:val="15"/>
                <w:color w:val="auto"/>
              </w:rPr>
            </w:pPr>
          </w:p>
        </w:tc>
        <w:tc>
          <w:tcPr>
            <w:tcW w:w="220" w:type="dxa"/>
            <w:vAlign w:val="bottom"/>
            <w:tcBorders>
              <w:right w:val="single" w:sz="8" w:color="BECE33"/>
            </w:tcBorders>
          </w:tcPr>
          <w:p>
            <w:pPr>
              <w:spacing w:after="0"/>
              <w:rPr>
                <w:sz w:val="15"/>
                <w:szCs w:val="15"/>
                <w:color w:val="auto"/>
              </w:rPr>
            </w:pPr>
          </w:p>
        </w:tc>
      </w:tr>
      <w:tr>
        <w:trPr>
          <w:trHeight w:val="183"/>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0.2</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0.2</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0.2</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0.2</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Contingent consideration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128.5</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129.4</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129.4</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129.4</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217"/>
        </w:trPr>
        <w:tc>
          <w:tcPr>
            <w:tcW w:w="3460" w:type="dxa"/>
            <w:vAlign w:val="bottom"/>
            <w:tcBorders>
              <w:bottom w:val="single" w:sz="8" w:color="A8C7CA"/>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 amortized costs</w:t>
            </w:r>
            <w:r>
              <w:rPr>
                <w:rFonts w:ascii="Times New Roman" w:cs="Times New Roman" w:eastAsia="Times New Roman" w:hAnsi="Times New Roman"/>
                <w:sz w:val="15"/>
                <w:szCs w:val="15"/>
                <w:b w:val="1"/>
                <w:bCs w:val="1"/>
                <w:color w:val="3C9673"/>
                <w:vertAlign w:val="superscript"/>
              </w:rPr>
              <w:t>(1)</w:t>
            </w:r>
          </w:p>
        </w:tc>
        <w:tc>
          <w:tcPr>
            <w:tcW w:w="120" w:type="dxa"/>
            <w:vAlign w:val="bottom"/>
            <w:tcBorders>
              <w:right w:val="single" w:sz="8" w:color="BECE33"/>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8C7CA"/>
            </w:tcBorders>
          </w:tcPr>
          <w:p>
            <w:pPr>
              <w:spacing w:after="0"/>
              <w:rPr>
                <w:sz w:val="18"/>
                <w:szCs w:val="18"/>
                <w:color w:val="auto"/>
              </w:rPr>
            </w:pPr>
          </w:p>
        </w:tc>
        <w:tc>
          <w:tcPr>
            <w:tcW w:w="220" w:type="dxa"/>
            <w:vAlign w:val="bottom"/>
            <w:tcBorders>
              <w:right w:val="single" w:sz="8" w:color="BECE33"/>
            </w:tcBorders>
          </w:tcPr>
          <w:p>
            <w:pPr>
              <w:spacing w:after="0"/>
              <w:rPr>
                <w:sz w:val="18"/>
                <w:szCs w:val="18"/>
                <w:color w:val="auto"/>
              </w:rPr>
            </w:pPr>
          </w:p>
        </w:tc>
      </w:tr>
      <w:tr>
        <w:trPr>
          <w:trHeight w:val="182"/>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Loans and borrowings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27.3</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39.5</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39.5</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Trade payables and other payables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504.2</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504.2</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504.2</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liabilities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16.5</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56.3</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56.3</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45"/>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not measured according to</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right w:val="single" w:sz="8" w:color="BECE33"/>
            </w:tcBorders>
          </w:tcPr>
          <w:p>
            <w:pPr>
              <w:spacing w:after="0"/>
              <w:rPr>
                <w:sz w:val="12"/>
                <w:szCs w:val="12"/>
                <w:color w:val="auto"/>
              </w:rPr>
            </w:pPr>
          </w:p>
        </w:tc>
      </w:tr>
      <w:tr>
        <w:trPr>
          <w:trHeight w:val="15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IFRS 9</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BECE33"/>
            </w:tcBorders>
          </w:tcPr>
          <w:p>
            <w:pPr>
              <w:spacing w:after="0"/>
              <w:rPr>
                <w:sz w:val="13"/>
                <w:szCs w:val="13"/>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Lease liabilities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189.9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230.1</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230.1</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Borders>
              <w:bottom w:val="single" w:sz="8" w:color="BECE33"/>
            </w:tcBorders>
          </w:tcPr>
          <w:p>
            <w:pPr>
              <w:spacing w:after="0"/>
              <w:rPr>
                <w:sz w:val="2"/>
                <w:szCs w:val="2"/>
                <w:color w:val="auto"/>
              </w:rPr>
            </w:pPr>
          </w:p>
        </w:tc>
        <w:tc>
          <w:tcPr>
            <w:tcW w:w="7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7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7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96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200" w:type="dxa"/>
            <w:vAlign w:val="bottom"/>
            <w:tcBorders>
              <w:bottom w:val="single" w:sz="8" w:color="BECE33"/>
            </w:tcBorders>
          </w:tcPr>
          <w:p>
            <w:pPr>
              <w:spacing w:after="0"/>
              <w:rPr>
                <w:sz w:val="2"/>
                <w:szCs w:val="2"/>
                <w:color w:val="auto"/>
              </w:rPr>
            </w:pPr>
          </w:p>
        </w:tc>
        <w:tc>
          <w:tcPr>
            <w:tcW w:w="800" w:type="dxa"/>
            <w:vAlign w:val="bottom"/>
            <w:tcBorders>
              <w:bottom w:val="single" w:sz="8" w:color="BECE33"/>
            </w:tcBorders>
          </w:tcPr>
          <w:p>
            <w:pPr>
              <w:spacing w:after="0"/>
              <w:rPr>
                <w:sz w:val="2"/>
                <w:szCs w:val="2"/>
                <w:color w:val="auto"/>
              </w:rPr>
            </w:pPr>
          </w:p>
        </w:tc>
        <w:tc>
          <w:tcPr>
            <w:tcW w:w="220" w:type="dxa"/>
            <w:vAlign w:val="bottom"/>
            <w:tcBorders>
              <w:bottom w:val="single" w:sz="8" w:color="BECE33"/>
              <w:right w:val="single" w:sz="8" w:color="BECE33"/>
            </w:tcBorders>
          </w:tcPr>
          <w:p>
            <w:pPr>
              <w:spacing w:after="0"/>
              <w:rPr>
                <w:sz w:val="2"/>
                <w:szCs w:val="2"/>
                <w:color w:val="auto"/>
              </w:rPr>
            </w:pPr>
          </w:p>
        </w:tc>
      </w:tr>
    </w:tbl>
    <w:p>
      <w:pPr>
        <w:spacing w:after="0" w:line="90"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Fair values for financial assets and liabilities at amortized costs are not disclosed as the book values represent a reasonable approximation.</w:t>
      </w:r>
    </w:p>
    <w:p>
      <w:pPr>
        <w:spacing w:after="0" w:line="3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Additional developments in our financial assets and liabilities during the six months ended June 30, 2025 mainly resulted from a reallocation of existing capital and from expenditures for our operating business. This led to a decrease of €1,672.4 million in security investments disclosed as cash and cash equivalents subsequently measured at fair value through profit and loss (money market funds) and a decrease of €1,877.5 million in security investments disclosed as other financial assets subsequently measured at amortized costs (for example, bonds and commercial paper) compared to year-end 2024. Security investments disclosed as cash and cash equivalents subsequently measured at amortized cost increased by €2,150.0 million during the six months ended June 30, 2025 due to a focus on short-term investments.</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w:t>
            </w:r>
          </w:p>
        </w:tc>
      </w:tr>
    </w:tbl>
    <w:p>
      <w:pPr>
        <w:sectPr>
          <w:pgSz w:w="11900" w:h="16838" w:orient="portrait"/>
          <w:cols w:equalWidth="0" w:num="1">
            <w:col w:w="11240"/>
          </w:cols>
          <w:pgMar w:left="320" w:top="166" w:right="339" w:bottom="1440" w:gutter="0" w:footer="0" w:header="0"/>
        </w:sectPr>
      </w:pPr>
    </w:p>
    <w:bookmarkStart w:id="23" w:name="page24"/>
    <w:bookmarkEnd w:id="23"/>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On June 2, 2025, we and Bristol-Myers Squibb Company, or BMS, announced a global strategic partnership to co-develop and co-commercialize our next-generation bispecific antibody candidate, BNT327, broadly for multiple solid tumor types. Under the terms of the initial agreement, the companies will jointly share development and manufacturing costs on a 50:50 basis. Global profits and losses will be equally shared between us and BMS. In addition, we are eligible to receive an upfront payment amounting to $1.5 billion and $2.0 billion total in non-contingent anniversary payments through 2028 as well as up to $7.6 billion in additional development, regulatory and commercial milestone payments. As of June 30, 2025, trade and other receivables included mainly the upfront payment in the amount of €1,279.9 million. The trade and other receivables as of December 31, 2024 mainly included the gross profit share for the third and fourth quarter of 2024 under our collaboration with Pfizer, which have been settled. We did not recognize revenues in relation to the arrangement with BMS as of June 30, 2025, as the initial agreement did not meet the requirements of a contract with a customer under IFRS 15. Therefore, as of June 30, 2025, a contract liability in the amount of the upfront payment (€1,313.6 million, translated as of the contract date of the initial agreement, June 2, 2025) was recognized. Following the initial agreement, we and BMS are negotiating an amended and restated agreement that governs the collaboration, including in particular the performance-related rights and obligations.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total, our cash and security investments decreased by €1,369.9 million compared to December 31, 2024.</w:t>
      </w:r>
    </w:p>
    <w:p>
      <w:pPr>
        <w:spacing w:after="0" w:line="33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other financial liabilities decreased by €1,369.9 million during the six months ended June 30, 2025, which mainly related to the settlement of contractual disputes.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w:t>
            </w:r>
          </w:p>
        </w:tc>
      </w:tr>
    </w:tbl>
    <w:p>
      <w:pPr>
        <w:sectPr>
          <w:pgSz w:w="11900" w:h="16838" w:orient="portrait"/>
          <w:cols w:equalWidth="0" w:num="1">
            <w:col w:w="11240"/>
          </w:cols>
          <w:pgMar w:left="320" w:top="166" w:right="339" w:bottom="1440" w:gutter="0" w:footer="0" w:header="0"/>
        </w:sectPr>
      </w:pPr>
    </w:p>
    <w:bookmarkStart w:id="24" w:name="page25"/>
    <w:bookmarkEnd w:id="24"/>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883920</wp:posOffset>
            </wp:positionV>
            <wp:extent cx="711517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December 31, 2024</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005A64"/>
              </w:rPr>
              <w:t>Carrying amount</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Fair value</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Borders>
              <w:bottom w:val="single" w:sz="8" w:color="005A64"/>
            </w:tcBorders>
          </w:tcPr>
          <w:p>
            <w:pPr>
              <w:spacing w:after="0"/>
              <w:rPr>
                <w:sz w:val="2"/>
                <w:szCs w:val="2"/>
                <w:color w:val="auto"/>
              </w:rPr>
            </w:pPr>
          </w:p>
        </w:tc>
        <w:tc>
          <w:tcPr>
            <w:tcW w:w="720" w:type="dxa"/>
            <w:vAlign w:val="bottom"/>
            <w:tcBorders>
              <w:bottom w:val="single" w:sz="8" w:color="005A64"/>
            </w:tcBorders>
          </w:tcPr>
          <w:p>
            <w:pPr>
              <w:spacing w:after="0"/>
              <w:rPr>
                <w:sz w:val="2"/>
                <w:szCs w:val="2"/>
                <w:color w:val="auto"/>
              </w:rPr>
            </w:pPr>
          </w:p>
        </w:tc>
        <w:tc>
          <w:tcPr>
            <w:tcW w:w="400" w:type="dxa"/>
            <w:vAlign w:val="bottom"/>
            <w:tcBorders>
              <w:bottom w:val="single" w:sz="8" w:color="005A64"/>
            </w:tcBorders>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bottom w:val="single" w:sz="8" w:color="005A64"/>
            </w:tcBorders>
            <w:gridSpan w:val="2"/>
          </w:tcPr>
          <w:p>
            <w:pPr>
              <w:spacing w:after="0"/>
              <w:rPr>
                <w:sz w:val="2"/>
                <w:szCs w:val="2"/>
                <w:color w:val="auto"/>
              </w:rPr>
            </w:pPr>
          </w:p>
        </w:tc>
        <w:tc>
          <w:tcPr>
            <w:tcW w:w="1280" w:type="dxa"/>
            <w:vAlign w:val="bottom"/>
            <w:tcBorders>
              <w:bottom w:val="single" w:sz="8" w:color="005A64"/>
            </w:tcBorders>
            <w:gridSpan w:val="2"/>
          </w:tcPr>
          <w:p>
            <w:pPr>
              <w:spacing w:after="0"/>
              <w:rPr>
                <w:sz w:val="2"/>
                <w:szCs w:val="2"/>
                <w:color w:val="auto"/>
              </w:rPr>
            </w:pPr>
          </w:p>
        </w:tc>
        <w:tc>
          <w:tcPr>
            <w:tcW w:w="86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Level 1 (Fair</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005A64"/>
              </w:rPr>
              <w:t>Level 2 (Fair</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Level 3 (Fair</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Current</w:t>
            </w:r>
          </w:p>
        </w:tc>
        <w:tc>
          <w:tcPr>
            <w:tcW w:w="40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005A64"/>
              </w:rPr>
              <w:t>Non-current</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0" w:type="dxa"/>
            <w:vAlign w:val="bottom"/>
          </w:tcPr>
          <w:p>
            <w:pPr>
              <w:spacing w:after="0"/>
              <w:rPr>
                <w:sz w:val="1"/>
                <w:szCs w:val="1"/>
                <w:color w:val="auto"/>
              </w:rPr>
            </w:pPr>
          </w:p>
        </w:tc>
      </w:tr>
      <w:tr>
        <w:trPr>
          <w:trHeight w:val="165"/>
        </w:trPr>
        <w:tc>
          <w:tcPr>
            <w:tcW w:w="3260" w:type="dxa"/>
            <w:vAlign w:val="bottom"/>
            <w:tcBorders>
              <w:top w:val="single" w:sz="8" w:color="005A64"/>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w:t>
            </w:r>
          </w:p>
        </w:tc>
        <w:tc>
          <w:tcPr>
            <w:tcW w:w="74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Borders>
              <w:top w:val="single" w:sz="8" w:color="005A64"/>
            </w:tcBorders>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top w:val="single" w:sz="8" w:color="005A64"/>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6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through profit or loss</w:t>
            </w: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11.9</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11.9</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11.9</w:t>
            </w:r>
          </w:p>
        </w:tc>
        <w:tc>
          <w:tcPr>
            <w:tcW w:w="42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11.9</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6,947.5</w:t>
            </w:r>
          </w:p>
        </w:tc>
        <w:tc>
          <w:tcPr>
            <w:tcW w:w="40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6,947.5</w:t>
            </w:r>
          </w:p>
        </w:tc>
        <w:tc>
          <w:tcPr>
            <w:tcW w:w="4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6,947.5</w:t>
            </w:r>
          </w:p>
        </w:tc>
        <w:tc>
          <w:tcPr>
            <w:tcW w:w="400" w:type="dxa"/>
            <w:vAlign w:val="bottom"/>
          </w:tcPr>
          <w:p>
            <w:pPr>
              <w:spacing w:after="0"/>
              <w:rPr>
                <w:sz w:val="15"/>
                <w:szCs w:val="15"/>
                <w:color w:val="auto"/>
              </w:rPr>
            </w:pP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6,947.5</w:t>
            </w:r>
          </w:p>
        </w:tc>
        <w:tc>
          <w:tcPr>
            <w:tcW w:w="0" w:type="dxa"/>
            <w:vAlign w:val="bottom"/>
          </w:tcPr>
          <w:p>
            <w:pPr>
              <w:spacing w:after="0"/>
              <w:rPr>
                <w:sz w:val="1"/>
                <w:szCs w:val="1"/>
                <w:color w:val="auto"/>
              </w:rPr>
            </w:pPr>
          </w:p>
        </w:tc>
      </w:tr>
      <w:tr>
        <w:trPr>
          <w:trHeight w:val="81"/>
        </w:trPr>
        <w:tc>
          <w:tcPr>
            <w:tcW w:w="3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005A64"/>
              </w:rPr>
              <w:t>equivalents</w:t>
            </w: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7FACB1"/>
            </w:tcBorders>
            <w:gridSpan w:val="2"/>
            <w:vMerge w:val="continue"/>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72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20" w:type="dxa"/>
            <w:vAlign w:val="bottom"/>
            <w:tcBorders>
              <w:bottom w:val="single" w:sz="8" w:color="7FACB1"/>
            </w:tcBorders>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39.6</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39.6</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39.6</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39.6</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6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through OCI</w:t>
            </w:r>
          </w:p>
        </w:tc>
        <w:tc>
          <w:tcPr>
            <w:tcW w:w="74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2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Non-listed equity investments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Listed equity investments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92.7</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92.7</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92.7</w:t>
            </w:r>
          </w:p>
        </w:tc>
        <w:tc>
          <w:tcPr>
            <w:tcW w:w="40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92.7</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amortized</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04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costs</w:t>
            </w:r>
            <w:r>
              <w:rPr>
                <w:rFonts w:ascii="Times New Roman" w:cs="Times New Roman" w:eastAsia="Times New Roman" w:hAnsi="Times New Roman"/>
                <w:sz w:val="15"/>
                <w:szCs w:val="15"/>
                <w:b w:val="1"/>
                <w:bCs w:val="1"/>
                <w:color w:val="3C9673"/>
                <w:vertAlign w:val="superscript"/>
              </w:rPr>
              <w:t>(1)</w:t>
            </w:r>
          </w:p>
        </w:tc>
        <w:tc>
          <w:tcPr>
            <w:tcW w:w="22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other financial</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6,536.2</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5A64"/>
              </w:rPr>
              <w:t>1,061.1</w:t>
            </w:r>
          </w:p>
        </w:tc>
        <w:tc>
          <w:tcPr>
            <w:tcW w:w="4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7,597.3</w:t>
            </w:r>
          </w:p>
        </w:tc>
        <w:tc>
          <w:tcPr>
            <w:tcW w:w="400" w:type="dxa"/>
            <w:vAlign w:val="bottom"/>
          </w:tcPr>
          <w:p>
            <w:pPr>
              <w:spacing w:after="0"/>
              <w:rPr>
                <w:sz w:val="15"/>
                <w:szCs w:val="15"/>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7,597.3</w:t>
            </w:r>
          </w:p>
        </w:tc>
        <w:tc>
          <w:tcPr>
            <w:tcW w:w="0" w:type="dxa"/>
            <w:vAlign w:val="bottom"/>
          </w:tcPr>
          <w:p>
            <w:pPr>
              <w:spacing w:after="0"/>
              <w:rPr>
                <w:sz w:val="1"/>
                <w:szCs w:val="1"/>
                <w:color w:val="auto"/>
              </w:rPr>
            </w:pPr>
          </w:p>
        </w:tc>
      </w:tr>
      <w:tr>
        <w:trPr>
          <w:trHeight w:val="81"/>
        </w:trPr>
        <w:tc>
          <w:tcPr>
            <w:tcW w:w="3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005A64"/>
              </w:rPr>
              <w:t>assets</w:t>
            </w:r>
          </w:p>
        </w:tc>
        <w:tc>
          <w:tcPr>
            <w:tcW w:w="74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7FACB1"/>
            </w:tcBorders>
            <w:gridSpan w:val="2"/>
            <w:vMerge w:val="continue"/>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2,364.4</w:t>
            </w:r>
          </w:p>
        </w:tc>
        <w:tc>
          <w:tcPr>
            <w:tcW w:w="40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2,364.4</w:t>
            </w:r>
          </w:p>
        </w:tc>
        <w:tc>
          <w:tcPr>
            <w:tcW w:w="400" w:type="dxa"/>
            <w:vAlign w:val="bottom"/>
          </w:tcPr>
          <w:p>
            <w:pPr>
              <w:spacing w:after="0"/>
              <w:rPr>
                <w:sz w:val="15"/>
                <w:szCs w:val="15"/>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2,364.4</w:t>
            </w:r>
          </w:p>
        </w:tc>
        <w:tc>
          <w:tcPr>
            <w:tcW w:w="0" w:type="dxa"/>
            <w:vAlign w:val="bottom"/>
          </w:tcPr>
          <w:p>
            <w:pPr>
              <w:spacing w:after="0"/>
              <w:rPr>
                <w:sz w:val="1"/>
                <w:szCs w:val="1"/>
                <w:color w:val="auto"/>
              </w:rPr>
            </w:pPr>
          </w:p>
        </w:tc>
      </w:tr>
      <w:tr>
        <w:trPr>
          <w:trHeight w:val="81"/>
        </w:trPr>
        <w:tc>
          <w:tcPr>
            <w:tcW w:w="3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005A64"/>
              </w:rPr>
              <w:t>equivalents</w:t>
            </w: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7FACB1"/>
            </w:tcBorders>
            <w:gridSpan w:val="2"/>
            <w:vMerge w:val="continue"/>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20" w:type="dxa"/>
            <w:vAlign w:val="bottom"/>
            <w:tcBorders>
              <w:bottom w:val="single" w:sz="8" w:color="7FACB1"/>
            </w:tcBorders>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Cash at banks and on hand</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450.0</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450.0</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450.0</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Trade and other receivables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1,463.9</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1,463.9</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1,463.9</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Reimbursement asset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473.6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40.9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514.5</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514.5</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18.2</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18.2</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18.2</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 fair value</w:t>
            </w:r>
          </w:p>
        </w:tc>
        <w:tc>
          <w:tcPr>
            <w:tcW w:w="220" w:type="dxa"/>
            <w:vAlign w:val="bottom"/>
          </w:tcPr>
          <w:p>
            <w:pPr>
              <w:spacing w:after="0"/>
              <w:rPr>
                <w:sz w:val="15"/>
                <w:szCs w:val="15"/>
                <w:color w:val="auto"/>
              </w:rPr>
            </w:pPr>
          </w:p>
        </w:tc>
        <w:tc>
          <w:tcPr>
            <w:tcW w:w="740" w:type="dxa"/>
            <w:vAlign w:val="bottom"/>
            <w:tcBorders>
              <w:bottom w:val="single" w:sz="8" w:color="7FACB1"/>
            </w:tcBorders>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Borders>
              <w:bottom w:val="single" w:sz="8" w:color="7FACB1"/>
            </w:tcBorders>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Borders>
              <w:bottom w:val="single" w:sz="8" w:color="7FACB1"/>
            </w:tcBorders>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Borders>
              <w:bottom w:val="single" w:sz="8" w:color="7FACB1"/>
            </w:tcBorders>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Borders>
              <w:bottom w:val="single" w:sz="8" w:color="7FACB1"/>
            </w:tcBorders>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16.3</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16.3</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16.3</w:t>
            </w:r>
          </w:p>
        </w:tc>
        <w:tc>
          <w:tcPr>
            <w:tcW w:w="42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16.3</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Contingent consideration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46.9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47.8</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47.8</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47.8</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04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amortized costs</w:t>
            </w:r>
            <w:r>
              <w:rPr>
                <w:rFonts w:ascii="Times New Roman" w:cs="Times New Roman" w:eastAsia="Times New Roman" w:hAnsi="Times New Roman"/>
                <w:sz w:val="15"/>
                <w:szCs w:val="15"/>
                <w:b w:val="1"/>
                <w:bCs w:val="1"/>
                <w:color w:val="3C9673"/>
                <w:vertAlign w:val="superscript"/>
              </w:rPr>
              <w:t>(1)</w:t>
            </w:r>
          </w:p>
        </w:tc>
        <w:tc>
          <w:tcPr>
            <w:tcW w:w="22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Trade payables and other payables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426.7</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426.7</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426.7</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1,426.2</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1,426.2</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1,426.2</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not measured</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6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according to IFRS 9</w:t>
            </w:r>
          </w:p>
        </w:tc>
        <w:tc>
          <w:tcPr>
            <w:tcW w:w="74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2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Lease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214.7</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254.2</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254.2</w:t>
            </w:r>
          </w:p>
        </w:tc>
        <w:tc>
          <w:tcPr>
            <w:tcW w:w="0" w:type="dxa"/>
            <w:vAlign w:val="bottom"/>
          </w:tcPr>
          <w:p>
            <w:pPr>
              <w:spacing w:after="0"/>
              <w:rPr>
                <w:sz w:val="1"/>
                <w:szCs w:val="1"/>
                <w:color w:val="auto"/>
              </w:rPr>
            </w:pPr>
          </w:p>
        </w:tc>
      </w:tr>
      <w:tr>
        <w:trPr>
          <w:trHeight w:val="33"/>
        </w:trPr>
        <w:tc>
          <w:tcPr>
            <w:tcW w:w="304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005A64"/>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Fair values for financial assets and liabilities at amortized costs are not disclosed as the book values represent a reasonable approximation.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Equity investments designated at Fair Value through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140" w:type="dxa"/>
            <w:vAlign w:val="bottom"/>
            <w:tcBorders>
              <w:right w:val="single" w:sz="8" w:color="BECD32"/>
            </w:tcBorders>
          </w:tcPr>
          <w:p>
            <w:pPr>
              <w:spacing w:after="0"/>
              <w:rPr>
                <w:sz w:val="18"/>
                <w:szCs w:val="18"/>
                <w:color w:val="auto"/>
              </w:rPr>
            </w:pPr>
          </w:p>
        </w:tc>
        <w:tc>
          <w:tcPr>
            <w:tcW w:w="80" w:type="dxa"/>
            <w:vAlign w:val="bottom"/>
            <w:tcBorders>
              <w:top w:val="single" w:sz="8" w:color="BECD32"/>
            </w:tcBorders>
          </w:tcPr>
          <w:p>
            <w:pPr>
              <w:spacing w:after="0"/>
              <w:rPr>
                <w:sz w:val="18"/>
                <w:szCs w:val="18"/>
                <w:color w:val="auto"/>
              </w:rPr>
            </w:pPr>
          </w:p>
        </w:tc>
        <w:tc>
          <w:tcPr>
            <w:tcW w:w="2040" w:type="dxa"/>
            <w:vAlign w:val="bottom"/>
            <w:tcBorders>
              <w:top w:val="single" w:sz="8" w:color="BECD32"/>
            </w:tcBorders>
          </w:tcPr>
          <w:p>
            <w:pPr>
              <w:spacing w:after="0"/>
              <w:rPr>
                <w:sz w:val="18"/>
                <w:szCs w:val="18"/>
                <w:color w:val="auto"/>
              </w:rPr>
            </w:pPr>
          </w:p>
        </w:tc>
        <w:tc>
          <w:tcPr>
            <w:tcW w:w="120" w:type="dxa"/>
            <w:vAlign w:val="bottom"/>
            <w:tcBorders>
              <w:top w:val="single" w:sz="8" w:color="BECD32"/>
              <w:right w:val="single" w:sz="8" w:color="BECD32"/>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Fair value as of December 31,</w:t>
            </w:r>
          </w:p>
        </w:tc>
      </w:tr>
      <w:tr>
        <w:trPr>
          <w:trHeight w:val="198"/>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80" w:type="dxa"/>
            <w:vAlign w:val="bottom"/>
          </w:tcPr>
          <w:p>
            <w:pPr>
              <w:spacing w:after="0"/>
              <w:rPr>
                <w:sz w:val="17"/>
                <w:szCs w:val="17"/>
                <w:color w:val="auto"/>
              </w:rPr>
            </w:pPr>
          </w:p>
        </w:tc>
        <w:tc>
          <w:tcPr>
            <w:tcW w:w="2160" w:type="dxa"/>
            <w:vAlign w:val="bottom"/>
            <w:tcBorders>
              <w:right w:val="single" w:sz="8" w:color="BECD32"/>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005A64"/>
              </w:rPr>
              <w:t>Fair value as of June 30, 2025</w:t>
            </w: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r>
      <w:tr>
        <w:trPr>
          <w:trHeight w:val="50"/>
        </w:trPr>
        <w:tc>
          <w:tcPr>
            <w:tcW w:w="67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005A64"/>
            </w:tcBorders>
          </w:tcPr>
          <w:p>
            <w:pPr>
              <w:spacing w:after="0"/>
              <w:rPr>
                <w:sz w:val="4"/>
                <w:szCs w:val="4"/>
                <w:color w:val="auto"/>
              </w:rPr>
            </w:pPr>
          </w:p>
        </w:tc>
      </w:tr>
      <w:tr>
        <w:trPr>
          <w:trHeight w:val="200"/>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Investment in Autolus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64.8</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75.4</w:t>
            </w:r>
          </w:p>
        </w:tc>
      </w:tr>
      <w:tr>
        <w:trPr>
          <w:trHeight w:val="50"/>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r>
      <w:tr>
        <w:trPr>
          <w:trHeight w:val="200"/>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Investment in Ryvu</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17.3</w:t>
            </w:r>
          </w:p>
        </w:tc>
      </w:tr>
      <w:tr>
        <w:trPr>
          <w:trHeight w:val="50"/>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r>
      <w:tr>
        <w:trPr>
          <w:trHeight w:val="200"/>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Investment in DualityBio</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r>
      <w:tr>
        <w:trPr>
          <w:trHeight w:val="50"/>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r>
      <w:tr>
        <w:trPr>
          <w:trHeight w:val="199"/>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 investments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w:t>
            </w:r>
          </w:p>
        </w:tc>
      </w:tr>
      <w:tr>
        <w:trPr>
          <w:trHeight w:val="50"/>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r>
      <w:tr>
        <w:trPr>
          <w:trHeight w:val="200"/>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91.5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94.2</w:t>
            </w:r>
          </w:p>
        </w:tc>
      </w:tr>
      <w:tr>
        <w:trPr>
          <w:trHeight w:val="50"/>
        </w:trPr>
        <w:tc>
          <w:tcPr>
            <w:tcW w:w="67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204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005A64"/>
            </w:tcBorders>
          </w:tcPr>
          <w:p>
            <w:pPr>
              <w:spacing w:after="0"/>
              <w:rPr>
                <w:sz w:val="4"/>
                <w:szCs w:val="4"/>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April 2025, we invested €4.5 million in DualityBio.</w:t>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17</w:t>
      </w:r>
    </w:p>
    <w:p>
      <w:pPr>
        <w:sectPr>
          <w:pgSz w:w="11900" w:h="16838" w:orient="portrait"/>
          <w:cols w:equalWidth="0" w:num="1">
            <w:col w:w="11220"/>
          </w:cols>
          <w:pgMar w:left="320" w:top="166" w:right="359" w:bottom="1440" w:gutter="0" w:footer="0" w:header="0"/>
          <w:type w:val="continuous"/>
        </w:sectPr>
      </w:pPr>
    </w:p>
    <w:bookmarkStart w:id="25" w:name="page26"/>
    <w:bookmarkEnd w:id="25"/>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Financial investments in equity instruments measured at fair value through other comprehensive income comprise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0429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05" w:lineRule="exact"/>
        <w:rPr>
          <w:sz w:val="20"/>
          <w:szCs w:val="20"/>
          <w:color w:val="auto"/>
        </w:rPr>
      </w:pPr>
    </w:p>
    <w:p>
      <w:pPr>
        <w:ind w:left="20"/>
        <w:spacing w:after="0" w:line="342" w:lineRule="auto"/>
        <w:rPr>
          <w:sz w:val="20"/>
          <w:szCs w:val="20"/>
          <w:color w:val="auto"/>
        </w:rPr>
      </w:pPr>
      <w:r>
        <w:rPr>
          <w:rFonts w:ascii="Times New Roman" w:cs="Times New Roman" w:eastAsia="Times New Roman" w:hAnsi="Times New Roman"/>
          <w:sz w:val="14"/>
          <w:szCs w:val="14"/>
          <w:color w:val="005A64"/>
        </w:rPr>
        <w:t>Net gain / (loss) on equity instruments designated at fair value through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29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0429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1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005A64"/>
              </w:rPr>
              <w:t>Six months ended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214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4"/>
          </w:tcPr>
          <w:p>
            <w:pPr>
              <w:ind w:left="134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60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7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24.9</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(115.9)</w:t>
            </w:r>
          </w:p>
        </w:tc>
        <w:tc>
          <w:tcPr>
            <w:tcW w:w="120" w:type="dxa"/>
            <w:vAlign w:val="bottom"/>
            <w:tcBorders>
              <w:right w:val="single" w:sz="8" w:color="BECD32"/>
            </w:tcBorders>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(7.2)</w:t>
            </w: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(109.0)</w:t>
            </w:r>
          </w:p>
        </w:tc>
        <w:tc>
          <w:tcPr>
            <w:tcW w:w="0" w:type="dxa"/>
            <w:vAlign w:val="bottom"/>
          </w:tcPr>
          <w:p>
            <w:pPr>
              <w:spacing w:after="0"/>
              <w:rPr>
                <w:sz w:val="1"/>
                <w:szCs w:val="1"/>
                <w:color w:val="auto"/>
              </w:rPr>
            </w:pPr>
          </w:p>
        </w:tc>
      </w:tr>
      <w:tr>
        <w:trPr>
          <w:trHeight w:val="158"/>
        </w:trPr>
        <w:tc>
          <w:tcPr>
            <w:tcW w:w="120" w:type="dxa"/>
            <w:vAlign w:val="bottom"/>
            <w:tcBorders>
              <w:left w:val="single" w:sz="8" w:color="BECD32"/>
            </w:tcBorders>
          </w:tcPr>
          <w:p>
            <w:pPr>
              <w:spacing w:after="0"/>
              <w:rPr>
                <w:sz w:val="13"/>
                <w:szCs w:val="13"/>
                <w:color w:val="auto"/>
              </w:rPr>
            </w:pPr>
          </w:p>
        </w:tc>
        <w:tc>
          <w:tcPr>
            <w:tcW w:w="1260" w:type="dxa"/>
            <w:vAlign w:val="bottom"/>
            <w:tcBorders>
              <w:bottom w:val="single" w:sz="8" w:color="7FACB1"/>
            </w:tcBorders>
          </w:tcPr>
          <w:p>
            <w:pPr>
              <w:spacing w:after="0"/>
              <w:rPr>
                <w:sz w:val="13"/>
                <w:szCs w:val="13"/>
                <w:color w:val="auto"/>
              </w:rPr>
            </w:pP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7FACB1"/>
            </w:tcBorders>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7FACB1"/>
            </w:tcBorders>
          </w:tcPr>
          <w:p>
            <w:pPr>
              <w:spacing w:after="0"/>
              <w:rPr>
                <w:sz w:val="13"/>
                <w:szCs w:val="13"/>
                <w:color w:val="auto"/>
              </w:rPr>
            </w:pPr>
          </w:p>
        </w:tc>
        <w:tc>
          <w:tcPr>
            <w:tcW w:w="780" w:type="dxa"/>
            <w:vAlign w:val="bottom"/>
            <w:tcBorders>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24.9</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(115.9)</w:t>
            </w:r>
          </w:p>
        </w:tc>
        <w:tc>
          <w:tcPr>
            <w:tcW w:w="120" w:type="dxa"/>
            <w:vAlign w:val="bottom"/>
            <w:tcBorders>
              <w:right w:val="single" w:sz="8" w:color="BECD32"/>
            </w:tcBorders>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(7.2)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(109.0)</w:t>
            </w:r>
          </w:p>
        </w:tc>
        <w:tc>
          <w:tcPr>
            <w:tcW w:w="0" w:type="dxa"/>
            <w:vAlign w:val="bottom"/>
          </w:tcPr>
          <w:p>
            <w:pPr>
              <w:spacing w:after="0"/>
              <w:rPr>
                <w:sz w:val="1"/>
                <w:szCs w:val="1"/>
                <w:color w:val="auto"/>
              </w:rPr>
            </w:pPr>
          </w:p>
        </w:tc>
      </w:tr>
      <w:tr>
        <w:trPr>
          <w:trHeight w:val="50"/>
        </w:trPr>
        <w:tc>
          <w:tcPr>
            <w:tcW w:w="120" w:type="dxa"/>
            <w:vAlign w:val="bottom"/>
            <w:tcBorders>
              <w:left w:val="single" w:sz="8" w:color="BECD32"/>
              <w:bottom w:val="single" w:sz="8" w:color="BECD32"/>
            </w:tcBorders>
          </w:tcPr>
          <w:p>
            <w:pPr>
              <w:spacing w:after="0"/>
              <w:rPr>
                <w:sz w:val="4"/>
                <w:szCs w:val="4"/>
                <w:color w:val="auto"/>
              </w:rPr>
            </w:pPr>
          </w:p>
        </w:tc>
        <w:tc>
          <w:tcPr>
            <w:tcW w:w="126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Borders>
              <w:bottom w:val="single" w:sz="8" w:color="BECD32"/>
            </w:tcBorders>
          </w:tcPr>
          <w:p>
            <w:pPr>
              <w:spacing w:after="0"/>
              <w:rPr>
                <w:sz w:val="4"/>
                <w:szCs w:val="4"/>
                <w:color w:val="auto"/>
              </w:rPr>
            </w:pPr>
          </w:p>
        </w:tc>
        <w:tc>
          <w:tcPr>
            <w:tcW w:w="150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7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00" w:space="400"/>
            <w:col w:w="6320"/>
          </w:cols>
          <w:pgMar w:left="320" w:top="166" w:right="35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Measurement of fair values</w:t>
      </w:r>
    </w:p>
    <w:p>
      <w:pPr>
        <w:spacing w:after="0" w:line="179"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The following table shows the valuation techniques used in measuring fair values for financial instruments in our consolidated statements of financial position, as well as the significant unobservable inputs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6541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Forward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16541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Non-listed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16541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6541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92" w:lineRule="exact"/>
        <w:rPr>
          <w:sz w:val="20"/>
          <w:szCs w:val="20"/>
          <w:color w:val="auto"/>
        </w:rPr>
      </w:pPr>
    </w:p>
    <w:p>
      <w:pPr>
        <w:ind w:left="20" w:right="480"/>
        <w:spacing w:after="0" w:line="443" w:lineRule="auto"/>
        <w:rPr>
          <w:sz w:val="20"/>
          <w:szCs w:val="20"/>
          <w:color w:val="auto"/>
        </w:rPr>
      </w:pPr>
      <w:r>
        <w:rPr>
          <w:rFonts w:ascii="Times New Roman" w:cs="Times New Roman" w:eastAsia="Times New Roman" w:hAnsi="Times New Roman"/>
          <w:sz w:val="14"/>
          <w:szCs w:val="14"/>
          <w:color w:val="005A64"/>
        </w:rPr>
        <w:t>Money market funds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6541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54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16541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6541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Valuation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50800</wp:posOffset>
            </wp:positionV>
            <wp:extent cx="26142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2" w:lineRule="exact"/>
        <w:rPr>
          <w:sz w:val="20"/>
          <w:szCs w:val="20"/>
          <w:color w:val="auto"/>
        </w:rPr>
      </w:pPr>
    </w:p>
    <w:p>
      <w:pPr>
        <w:jc w:val="both"/>
        <w:ind w:right="100"/>
        <w:spacing w:after="0" w:line="315" w:lineRule="auto"/>
        <w:rPr>
          <w:sz w:val="20"/>
          <w:szCs w:val="20"/>
          <w:color w:val="auto"/>
        </w:rPr>
      </w:pPr>
      <w:r>
        <w:rPr>
          <w:rFonts w:ascii="Times New Roman" w:cs="Times New Roman" w:eastAsia="Times New Roman" w:hAnsi="Times New Roman"/>
          <w:sz w:val="14"/>
          <w:szCs w:val="14"/>
          <w:color w:val="005A64"/>
        </w:rPr>
        <w:t>Discounted cash flow using par method. Expected future cash flows based on foreign exchange forwards discounted over the respective remaining term of the contracts using the respective deposit interest rates and spot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26142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2" w:lineRule="exact"/>
        <w:rPr>
          <w:sz w:val="20"/>
          <w:szCs w:val="20"/>
          <w:color w:val="auto"/>
        </w:rPr>
      </w:pPr>
    </w:p>
    <w:p>
      <w:pPr>
        <w:spacing w:after="0" w:line="342" w:lineRule="auto"/>
        <w:rPr>
          <w:sz w:val="20"/>
          <w:szCs w:val="20"/>
          <w:color w:val="auto"/>
        </w:rPr>
      </w:pPr>
      <w:r>
        <w:rPr>
          <w:rFonts w:ascii="Times New Roman" w:cs="Times New Roman" w:eastAsia="Times New Roman" w:hAnsi="Times New Roman"/>
          <w:sz w:val="14"/>
          <w:szCs w:val="14"/>
          <w:color w:val="005A64"/>
        </w:rPr>
        <w:t>Quantitative and qualitative factors such as actual and forecasted results, cash position and financing round 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426085</wp:posOffset>
            </wp:positionV>
            <wp:extent cx="26142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80"/>
        <w:spacing w:after="0" w:line="342" w:lineRule="auto"/>
        <w:rPr>
          <w:sz w:val="20"/>
          <w:szCs w:val="20"/>
          <w:color w:val="auto"/>
        </w:rPr>
      </w:pPr>
      <w:r>
        <w:rPr>
          <w:rFonts w:ascii="Times New Roman" w:cs="Times New Roman" w:eastAsia="Times New Roman" w:hAnsi="Times New Roman"/>
          <w:sz w:val="14"/>
          <w:szCs w:val="14"/>
          <w:color w:val="005A64"/>
        </w:rPr>
        <w:t>Stock prices of the listed companies and applicable exchange rates, if the listing is in a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26142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005A64"/>
        </w:rPr>
        <w:t>Quoted prices on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49530</wp:posOffset>
            </wp:positionV>
            <wp:extent cx="26142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89" w:lineRule="exact"/>
        <w:rPr>
          <w:sz w:val="20"/>
          <w:szCs w:val="20"/>
          <w:color w:val="auto"/>
        </w:rPr>
      </w:pPr>
    </w:p>
    <w:p>
      <w:pPr>
        <w:ind w:right="240"/>
        <w:spacing w:after="0" w:line="322" w:lineRule="auto"/>
        <w:rPr>
          <w:sz w:val="20"/>
          <w:szCs w:val="20"/>
          <w:color w:val="auto"/>
        </w:rPr>
      </w:pPr>
      <w:r>
        <w:rPr>
          <w:rFonts w:ascii="Times New Roman" w:cs="Times New Roman" w:eastAsia="Times New Roman" w:hAnsi="Times New Roman"/>
          <w:sz w:val="14"/>
          <w:szCs w:val="14"/>
          <w:color w:val="005A64"/>
        </w:rPr>
        <w:t>Present value of expected future payments and reflecting changes in expected achievement of underlying performance parameters and compounding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26142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Present value of expected future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272415</wp:posOffset>
            </wp:positionV>
            <wp:extent cx="26142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26231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434975</wp:posOffset>
            </wp:positionV>
            <wp:extent cx="26231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Actual and forecasted results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Net Asset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Cash position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Nature and pricing indication of latest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92075</wp:posOffset>
            </wp:positionV>
            <wp:extent cx="26231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177800</wp:posOffset>
            </wp:positionV>
            <wp:extent cx="26231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49530</wp:posOffset>
            </wp:positionV>
            <wp:extent cx="26231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Expected future payments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Applied cost of capital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Expected future cash flows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Applied cost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100965</wp:posOffset>
            </wp:positionV>
            <wp:extent cx="26231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2318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-292735</wp:posOffset>
            </wp:positionV>
            <wp:extent cx="26231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080" w:space="720"/>
            <w:col w:w="4060" w:space="240"/>
            <w:col w:w="4120"/>
          </w:cols>
          <w:pgMar w:left="320" w:top="16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18</w:t>
            </w:r>
          </w:p>
        </w:tc>
      </w:tr>
    </w:tbl>
    <w:p>
      <w:pPr>
        <w:sectPr>
          <w:pgSz w:w="11900" w:h="16838" w:orient="portrait"/>
          <w:cols w:equalWidth="0" w:num="1">
            <w:col w:w="11220"/>
          </w:cols>
          <w:pgMar w:left="320" w:top="166" w:right="359" w:bottom="1440" w:gutter="0" w:footer="0" w:header="0"/>
          <w:type w:val="continuous"/>
        </w:sectPr>
      </w:pPr>
    </w:p>
    <w:bookmarkStart w:id="26" w:name="page27"/>
    <w:bookmarkEnd w:id="26"/>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Recurring Fair Values (Level 3)</w:t>
      </w:r>
    </w:p>
    <w:p>
      <w:pPr>
        <w:spacing w:after="0" w:line="179"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The following table shows the recurring fair value measurement of contingent consideration and royalty assets as well as the effect of the measurements on our unaudited interim condensed consolidated statements of profit or loss for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69862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Financial assets</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005A64"/>
              </w:rPr>
              <w:t>Financial liabilities</w:t>
            </w:r>
          </w:p>
        </w:tc>
        <w:tc>
          <w:tcPr>
            <w:tcW w:w="0" w:type="dxa"/>
            <w:vAlign w:val="bottom"/>
          </w:tcPr>
          <w:p>
            <w:pPr>
              <w:spacing w:after="0"/>
              <w:rPr>
                <w:sz w:val="1"/>
                <w:szCs w:val="1"/>
                <w:color w:val="auto"/>
              </w:rPr>
            </w:pPr>
          </w:p>
        </w:tc>
      </w:tr>
      <w:tr>
        <w:trPr>
          <w:trHeight w:val="50"/>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200" w:type="dxa"/>
            <w:vAlign w:val="bottom"/>
          </w:tcPr>
          <w:p>
            <w:pPr>
              <w:spacing w:after="0"/>
              <w:rPr>
                <w:sz w:val="4"/>
                <w:szCs w:val="4"/>
                <w:color w:val="auto"/>
              </w:rPr>
            </w:pPr>
          </w:p>
        </w:tc>
        <w:tc>
          <w:tcPr>
            <w:tcW w:w="250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Other financial assets</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005A64"/>
              </w:rPr>
              <w:t>Contingent consideration</w:t>
            </w: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January 1, 2024</w:t>
            </w: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(38.8)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Additions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37.7</w:t>
            </w:r>
          </w:p>
        </w:tc>
        <w:tc>
          <w:tcPr>
            <w:tcW w:w="400" w:type="dxa"/>
            <w:vAlign w:val="bottom"/>
          </w:tcPr>
          <w:p>
            <w:pPr>
              <w:spacing w:after="0"/>
              <w:rPr>
                <w:sz w:val="17"/>
                <w:szCs w:val="17"/>
                <w:color w:val="auto"/>
              </w:rPr>
            </w:pP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Finance income / (expense)</w:t>
            </w: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500" w:type="dxa"/>
            <w:vAlign w:val="bottom"/>
            <w:tcBorders>
              <w:bottom w:val="single" w:sz="8" w:color="A8C7CA"/>
            </w:tcBorders>
          </w:tcPr>
          <w:p>
            <w:pPr>
              <w:spacing w:after="0"/>
              <w:rPr>
                <w:sz w:val="3"/>
                <w:szCs w:val="3"/>
                <w:color w:val="auto"/>
              </w:rPr>
            </w:pPr>
          </w:p>
        </w:tc>
        <w:tc>
          <w:tcPr>
            <w:tcW w:w="400" w:type="dxa"/>
            <w:vAlign w:val="bottom"/>
          </w:tcPr>
          <w:p>
            <w:pPr>
              <w:spacing w:after="0"/>
              <w:rPr>
                <w:sz w:val="3"/>
                <w:szCs w:val="3"/>
                <w:color w:val="auto"/>
              </w:rPr>
            </w:pPr>
          </w:p>
        </w:tc>
        <w:tc>
          <w:tcPr>
            <w:tcW w:w="2540" w:type="dxa"/>
            <w:vAlign w:val="bottom"/>
            <w:tcBorders>
              <w:bottom w:val="single" w:sz="8" w:color="A8C7CA"/>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5.7</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16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June 30, 2024</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43.4</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(42.1)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380" w:type="dxa"/>
            <w:vAlign w:val="bottom"/>
            <w:gridSpan w:val="2"/>
          </w:tcPr>
          <w:p>
            <w:pPr>
              <w:spacing w:after="0"/>
              <w:rPr>
                <w:sz w:val="4"/>
                <w:szCs w:val="4"/>
                <w:color w:val="auto"/>
              </w:rPr>
            </w:pPr>
          </w:p>
        </w:tc>
        <w:tc>
          <w:tcPr>
            <w:tcW w:w="270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160" w:type="dxa"/>
            <w:vAlign w:val="bottom"/>
            <w:tcBorders>
              <w:top w:val="single" w:sz="8" w:color="005A64"/>
              <w:bottom w:val="single" w:sz="8" w:color="005A64"/>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Borders>
              <w:top w:val="single" w:sz="8" w:color="005A64"/>
              <w:bottom w:val="single" w:sz="8" w:color="005A64"/>
            </w:tcBorders>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tcBorders>
              <w:top w:val="single" w:sz="8" w:color="005A64"/>
              <w:bottom w:val="single" w:sz="8" w:color="005A64"/>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January 1, 2025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39.6</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2900" w:type="dxa"/>
            <w:vAlign w:val="bottom"/>
            <w:tcBorders>
              <w:bottom w:val="single" w:sz="8" w:color="BECE33"/>
            </w:tcBorders>
            <w:gridSpan w:val="2"/>
          </w:tcPr>
          <w:p>
            <w:pPr>
              <w:spacing w:after="0"/>
              <w:rPr>
                <w:sz w:val="4"/>
                <w:szCs w:val="4"/>
                <w:color w:val="auto"/>
              </w:rPr>
            </w:pPr>
          </w:p>
        </w:tc>
        <w:tc>
          <w:tcPr>
            <w:tcW w:w="2540" w:type="dxa"/>
            <w:vAlign w:val="bottom"/>
            <w:tcBorders>
              <w:bottom w:val="single" w:sz="8" w:color="BECE33"/>
            </w:tcBorders>
          </w:tcPr>
          <w:p>
            <w:pPr>
              <w:spacing w:after="0"/>
              <w:rPr>
                <w:sz w:val="4"/>
                <w:szCs w:val="4"/>
                <w:color w:val="auto"/>
              </w:rPr>
            </w:pPr>
          </w:p>
        </w:tc>
        <w:tc>
          <w:tcPr>
            <w:tcW w:w="22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color w:val="005A64"/>
              </w:rPr>
              <w:t>Additions</w:t>
            </w: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005A64"/>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(79.6)</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Other operating income / (expense)</w:t>
            </w: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Borders>
              <w:right w:val="single" w:sz="8" w:color="BECE33"/>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200" w:type="dxa"/>
            <w:vAlign w:val="bottom"/>
          </w:tcPr>
          <w:p>
            <w:pPr>
              <w:spacing w:after="0"/>
              <w:rPr>
                <w:sz w:val="3"/>
                <w:szCs w:val="3"/>
                <w:color w:val="auto"/>
              </w:rPr>
            </w:pPr>
          </w:p>
        </w:tc>
        <w:tc>
          <w:tcPr>
            <w:tcW w:w="2500" w:type="dxa"/>
            <w:vAlign w:val="bottom"/>
            <w:tcBorders>
              <w:bottom w:val="single" w:sz="8" w:color="A8C7CA"/>
            </w:tcBorders>
          </w:tcPr>
          <w:p>
            <w:pPr>
              <w:spacing w:after="0"/>
              <w:rPr>
                <w:sz w:val="3"/>
                <w:szCs w:val="3"/>
                <w:color w:val="auto"/>
              </w:rPr>
            </w:pPr>
          </w:p>
        </w:tc>
        <w:tc>
          <w:tcPr>
            <w:tcW w:w="400" w:type="dxa"/>
            <w:vAlign w:val="bottom"/>
          </w:tcPr>
          <w:p>
            <w:pPr>
              <w:spacing w:after="0"/>
              <w:rPr>
                <w:sz w:val="3"/>
                <w:szCs w:val="3"/>
                <w:color w:val="auto"/>
              </w:rPr>
            </w:pPr>
          </w:p>
        </w:tc>
        <w:tc>
          <w:tcPr>
            <w:tcW w:w="254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005A64"/>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4.3</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Finance income / (expense)</w:t>
            </w: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Borders>
              <w:right w:val="single" w:sz="8" w:color="BECE33"/>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200" w:type="dxa"/>
            <w:vAlign w:val="bottom"/>
          </w:tcPr>
          <w:p>
            <w:pPr>
              <w:spacing w:after="0"/>
              <w:rPr>
                <w:sz w:val="3"/>
                <w:szCs w:val="3"/>
                <w:color w:val="auto"/>
              </w:rPr>
            </w:pPr>
          </w:p>
        </w:tc>
        <w:tc>
          <w:tcPr>
            <w:tcW w:w="2500" w:type="dxa"/>
            <w:vAlign w:val="bottom"/>
            <w:tcBorders>
              <w:bottom w:val="single" w:sz="8" w:color="A8C7CA"/>
            </w:tcBorders>
          </w:tcPr>
          <w:p>
            <w:pPr>
              <w:spacing w:after="0"/>
              <w:rPr>
                <w:sz w:val="3"/>
                <w:szCs w:val="3"/>
                <w:color w:val="auto"/>
              </w:rPr>
            </w:pPr>
          </w:p>
        </w:tc>
        <w:tc>
          <w:tcPr>
            <w:tcW w:w="400" w:type="dxa"/>
            <w:vAlign w:val="bottom"/>
          </w:tcPr>
          <w:p>
            <w:pPr>
              <w:spacing w:after="0"/>
              <w:rPr>
                <w:sz w:val="3"/>
                <w:szCs w:val="3"/>
                <w:color w:val="auto"/>
              </w:rPr>
            </w:pPr>
          </w:p>
        </w:tc>
        <w:tc>
          <w:tcPr>
            <w:tcW w:w="254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3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(6.4)</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other comprehensive income</w:t>
            </w: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Borders>
              <w:right w:val="single" w:sz="8" w:color="BECE33"/>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200" w:type="dxa"/>
            <w:vAlign w:val="bottom"/>
          </w:tcPr>
          <w:p>
            <w:pPr>
              <w:spacing w:after="0"/>
              <w:rPr>
                <w:sz w:val="3"/>
                <w:szCs w:val="3"/>
                <w:color w:val="auto"/>
              </w:rPr>
            </w:pPr>
          </w:p>
        </w:tc>
        <w:tc>
          <w:tcPr>
            <w:tcW w:w="2500" w:type="dxa"/>
            <w:vAlign w:val="bottom"/>
            <w:tcBorders>
              <w:bottom w:val="single" w:sz="8" w:color="A8C7CA"/>
            </w:tcBorders>
          </w:tcPr>
          <w:p>
            <w:pPr>
              <w:spacing w:after="0"/>
              <w:rPr>
                <w:sz w:val="3"/>
                <w:szCs w:val="3"/>
                <w:color w:val="auto"/>
              </w:rPr>
            </w:pPr>
          </w:p>
        </w:tc>
        <w:tc>
          <w:tcPr>
            <w:tcW w:w="400" w:type="dxa"/>
            <w:vAlign w:val="bottom"/>
          </w:tcPr>
          <w:p>
            <w:pPr>
              <w:spacing w:after="0"/>
              <w:rPr>
                <w:sz w:val="3"/>
                <w:szCs w:val="3"/>
                <w:color w:val="auto"/>
              </w:rPr>
            </w:pPr>
          </w:p>
        </w:tc>
        <w:tc>
          <w:tcPr>
            <w:tcW w:w="254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005A64"/>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0.1</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June 30, 2025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38.5</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(129.4)</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2500" w:type="dxa"/>
            <w:vAlign w:val="bottom"/>
            <w:tcBorders>
              <w:bottom w:val="single" w:sz="8" w:color="BECE33"/>
            </w:tcBorders>
          </w:tcPr>
          <w:p>
            <w:pPr>
              <w:spacing w:after="0"/>
              <w:rPr>
                <w:sz w:val="4"/>
                <w:szCs w:val="4"/>
                <w:color w:val="auto"/>
              </w:rPr>
            </w:pPr>
          </w:p>
        </w:tc>
        <w:tc>
          <w:tcPr>
            <w:tcW w:w="400" w:type="dxa"/>
            <w:vAlign w:val="bottom"/>
            <w:tcBorders>
              <w:bottom w:val="single" w:sz="8" w:color="BECE33"/>
            </w:tcBorders>
          </w:tcPr>
          <w:p>
            <w:pPr>
              <w:spacing w:after="0"/>
              <w:rPr>
                <w:sz w:val="4"/>
                <w:szCs w:val="4"/>
                <w:color w:val="auto"/>
              </w:rPr>
            </w:pPr>
          </w:p>
        </w:tc>
        <w:tc>
          <w:tcPr>
            <w:tcW w:w="2540" w:type="dxa"/>
            <w:vAlign w:val="bottom"/>
            <w:tcBorders>
              <w:bottom w:val="single" w:sz="8" w:color="BECE33"/>
            </w:tcBorders>
          </w:tcPr>
          <w:p>
            <w:pPr>
              <w:spacing w:after="0"/>
              <w:rPr>
                <w:sz w:val="4"/>
                <w:szCs w:val="4"/>
                <w:color w:val="auto"/>
              </w:rPr>
            </w:pPr>
          </w:p>
        </w:tc>
        <w:tc>
          <w:tcPr>
            <w:tcW w:w="22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sensitivity of the fair values of royalty assets to the significant, unobservable, variable input factors, with all other factors remaining constant, is shown in the following table: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20" w:type="dxa"/>
            <w:vAlign w:val="bottom"/>
            <w:tcBorders>
              <w:right w:val="single" w:sz="8" w:color="BECD32"/>
            </w:tcBorders>
          </w:tcPr>
          <w:p>
            <w:pPr>
              <w:spacing w:after="0"/>
              <w:rPr>
                <w:sz w:val="18"/>
                <w:szCs w:val="18"/>
                <w:color w:val="auto"/>
              </w:rPr>
            </w:pPr>
          </w:p>
        </w:tc>
        <w:tc>
          <w:tcPr>
            <w:tcW w:w="200" w:type="dxa"/>
            <w:vAlign w:val="bottom"/>
            <w:tcBorders>
              <w:top w:val="single" w:sz="8" w:color="BECD32"/>
            </w:tcBorders>
          </w:tcPr>
          <w:p>
            <w:pPr>
              <w:spacing w:after="0"/>
              <w:rPr>
                <w:sz w:val="18"/>
                <w:szCs w:val="18"/>
                <w:color w:val="auto"/>
              </w:rPr>
            </w:pPr>
          </w:p>
        </w:tc>
        <w:tc>
          <w:tcPr>
            <w:tcW w:w="1820" w:type="dxa"/>
            <w:vAlign w:val="bottom"/>
            <w:tcBorders>
              <w:top w:val="single" w:sz="8" w:color="BECD32"/>
            </w:tcBorders>
          </w:tcPr>
          <w:p>
            <w:pPr>
              <w:spacing w:after="0"/>
              <w:rPr>
                <w:sz w:val="18"/>
                <w:szCs w:val="18"/>
                <w:color w:val="auto"/>
              </w:rPr>
            </w:pPr>
          </w:p>
        </w:tc>
        <w:tc>
          <w:tcPr>
            <w:tcW w:w="220" w:type="dxa"/>
            <w:vAlign w:val="bottom"/>
            <w:tcBorders>
              <w:top w:val="single" w:sz="8" w:color="BECD32"/>
              <w:right w:val="single" w:sz="8" w:color="BECD32"/>
            </w:tcBorders>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Change in fair value with increasing</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Change in fair value with decreasing</w:t>
            </w:r>
          </w:p>
        </w:tc>
      </w:tr>
      <w:tr>
        <w:trPr>
          <w:trHeight w:val="198"/>
        </w:trPr>
        <w:tc>
          <w:tcPr>
            <w:tcW w:w="2620" w:type="dxa"/>
            <w:vAlign w:val="bottom"/>
          </w:tcPr>
          <w:p>
            <w:pPr>
              <w:spacing w:after="0"/>
              <w:rPr>
                <w:sz w:val="17"/>
                <w:szCs w:val="17"/>
                <w:color w:val="auto"/>
              </w:rPr>
            </w:pP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input factor</w:t>
            </w:r>
          </w:p>
        </w:tc>
      </w:tr>
      <w:tr>
        <w:trPr>
          <w:trHeight w:val="203"/>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00" w:type="dxa"/>
            <w:vAlign w:val="bottom"/>
          </w:tcPr>
          <w:p>
            <w:pPr>
              <w:spacing w:after="0"/>
              <w:rPr>
                <w:sz w:val="17"/>
                <w:szCs w:val="17"/>
                <w:color w:val="auto"/>
              </w:rPr>
            </w:pPr>
          </w:p>
        </w:tc>
        <w:tc>
          <w:tcPr>
            <w:tcW w:w="204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005A64"/>
              </w:rPr>
              <w:t>Change in assumptions</w:t>
            </w:r>
          </w:p>
        </w:tc>
        <w:tc>
          <w:tcPr>
            <w:tcW w:w="200" w:type="dxa"/>
            <w:vAlign w:val="bottom"/>
          </w:tcPr>
          <w:p>
            <w:pPr>
              <w:spacing w:after="0"/>
              <w:rPr>
                <w:sz w:val="17"/>
                <w:szCs w:val="17"/>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(in millions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 millions €)</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r>
        <w:trPr>
          <w:trHeight w:val="200"/>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Cash flow projections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w:t>
            </w: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4.5</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(4.5)</w:t>
            </w:r>
          </w:p>
        </w:tc>
      </w:tr>
      <w:tr>
        <w:trPr>
          <w:trHeight w:val="50"/>
        </w:trPr>
        <w:tc>
          <w:tcPr>
            <w:tcW w:w="2620" w:type="dxa"/>
            <w:vAlign w:val="bottom"/>
            <w:tcBorders>
              <w:bottom w:val="single" w:sz="8" w:color="A8C7CA"/>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A8C7CA"/>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A8C7CA"/>
            </w:tcBorders>
          </w:tcPr>
          <w:p>
            <w:pPr>
              <w:spacing w:after="0"/>
              <w:rPr>
                <w:sz w:val="4"/>
                <w:szCs w:val="4"/>
                <w:color w:val="auto"/>
              </w:rPr>
            </w:pPr>
          </w:p>
        </w:tc>
      </w:tr>
      <w:tr>
        <w:trPr>
          <w:trHeight w:val="200"/>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Discount rate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w:t>
            </w: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(3.6)</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4.0</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Borders>
              <w:bottom w:val="single" w:sz="8" w:color="BECD32"/>
            </w:tcBorders>
          </w:tcPr>
          <w:p>
            <w:pPr>
              <w:spacing w:after="0"/>
              <w:rPr>
                <w:sz w:val="4"/>
                <w:szCs w:val="4"/>
                <w:color w:val="auto"/>
              </w:rPr>
            </w:pPr>
          </w:p>
        </w:tc>
        <w:tc>
          <w:tcPr>
            <w:tcW w:w="1820" w:type="dxa"/>
            <w:vAlign w:val="bottom"/>
            <w:tcBorders>
              <w:bottom w:val="single" w:sz="8" w:color="BECD32"/>
            </w:tcBorders>
          </w:tcPr>
          <w:p>
            <w:pPr>
              <w:spacing w:after="0"/>
              <w:rPr>
                <w:sz w:val="4"/>
                <w:szCs w:val="4"/>
                <w:color w:val="auto"/>
              </w:rPr>
            </w:pPr>
          </w:p>
        </w:tc>
        <w:tc>
          <w:tcPr>
            <w:tcW w:w="220" w:type="dxa"/>
            <w:vAlign w:val="bottom"/>
            <w:tcBorders>
              <w:bottom w:val="single" w:sz="8" w:color="BECD32"/>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bl>
    <w:p>
      <w:pPr>
        <w:spacing w:after="0" w:line="36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sensitivity of the fair values of contingent consideration to the significant, unobservable, variable input factors, with all other factors remaining constant, is shown in the following table: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19</w:t>
            </w:r>
          </w:p>
        </w:tc>
      </w:tr>
    </w:tbl>
    <w:p>
      <w:pPr>
        <w:sectPr>
          <w:pgSz w:w="11900" w:h="16838" w:orient="portrait"/>
          <w:cols w:equalWidth="0" w:num="1">
            <w:col w:w="11220"/>
          </w:cols>
          <w:pgMar w:left="320" w:top="166" w:right="359" w:bottom="1440" w:gutter="0" w:footer="0" w:header="0"/>
        </w:sectPr>
      </w:pPr>
    </w:p>
    <w:bookmarkStart w:id="27" w:name="page28"/>
    <w:bookmarkEnd w:id="2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20" w:type="dxa"/>
            <w:vAlign w:val="bottom"/>
            <w:tcBorders>
              <w:right w:val="single" w:sz="8" w:color="BECE33"/>
            </w:tcBorders>
          </w:tcPr>
          <w:p>
            <w:pPr>
              <w:spacing w:after="0"/>
              <w:rPr>
                <w:sz w:val="18"/>
                <w:szCs w:val="18"/>
                <w:color w:val="auto"/>
              </w:rPr>
            </w:pPr>
          </w:p>
        </w:tc>
        <w:tc>
          <w:tcPr>
            <w:tcW w:w="200" w:type="dxa"/>
            <w:vAlign w:val="bottom"/>
            <w:tcBorders>
              <w:top w:val="single" w:sz="8" w:color="BECE33"/>
            </w:tcBorders>
          </w:tcPr>
          <w:p>
            <w:pPr>
              <w:spacing w:after="0"/>
              <w:rPr>
                <w:sz w:val="18"/>
                <w:szCs w:val="18"/>
                <w:color w:val="auto"/>
              </w:rPr>
            </w:pPr>
          </w:p>
        </w:tc>
        <w:tc>
          <w:tcPr>
            <w:tcW w:w="1820" w:type="dxa"/>
            <w:vAlign w:val="bottom"/>
            <w:tcBorders>
              <w:top w:val="single" w:sz="8" w:color="BECE33"/>
            </w:tcBorders>
          </w:tcPr>
          <w:p>
            <w:pPr>
              <w:spacing w:after="0"/>
              <w:rPr>
                <w:sz w:val="18"/>
                <w:szCs w:val="18"/>
                <w:color w:val="auto"/>
              </w:rPr>
            </w:pPr>
          </w:p>
        </w:tc>
        <w:tc>
          <w:tcPr>
            <w:tcW w:w="220" w:type="dxa"/>
            <w:vAlign w:val="bottom"/>
            <w:tcBorders>
              <w:top w:val="single" w:sz="8" w:color="BECE33"/>
              <w:right w:val="single" w:sz="8" w:color="BECE33"/>
            </w:tcBorders>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Change in fair value with increasing</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Change in fair value with decreasing</w:t>
            </w:r>
          </w:p>
        </w:tc>
      </w:tr>
      <w:tr>
        <w:trPr>
          <w:trHeight w:val="198"/>
        </w:trPr>
        <w:tc>
          <w:tcPr>
            <w:tcW w:w="2620" w:type="dxa"/>
            <w:vAlign w:val="bottom"/>
          </w:tcPr>
          <w:p>
            <w:pPr>
              <w:spacing w:after="0"/>
              <w:rPr>
                <w:sz w:val="17"/>
                <w:szCs w:val="17"/>
                <w:color w:val="auto"/>
              </w:rPr>
            </w:pP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input factor</w:t>
            </w:r>
          </w:p>
        </w:tc>
      </w:tr>
      <w:tr>
        <w:trPr>
          <w:trHeight w:val="203"/>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00" w:type="dxa"/>
            <w:vAlign w:val="bottom"/>
          </w:tcPr>
          <w:p>
            <w:pPr>
              <w:spacing w:after="0"/>
              <w:rPr>
                <w:sz w:val="17"/>
                <w:szCs w:val="17"/>
                <w:color w:val="auto"/>
              </w:rPr>
            </w:pPr>
          </w:p>
        </w:tc>
        <w:tc>
          <w:tcPr>
            <w:tcW w:w="204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005A64"/>
              </w:rPr>
              <w:t>Change in assumptions</w:t>
            </w:r>
          </w:p>
        </w:tc>
        <w:tc>
          <w:tcPr>
            <w:tcW w:w="200" w:type="dxa"/>
            <w:vAlign w:val="bottom"/>
          </w:tcPr>
          <w:p>
            <w:pPr>
              <w:spacing w:after="0"/>
              <w:rPr>
                <w:sz w:val="17"/>
                <w:szCs w:val="17"/>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(in millions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 millions €)</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r>
        <w:trPr>
          <w:trHeight w:val="200"/>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Cash flow projections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w:t>
            </w: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11.9</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(11.9)</w:t>
            </w:r>
          </w:p>
        </w:tc>
      </w:tr>
      <w:tr>
        <w:trPr>
          <w:trHeight w:val="50"/>
        </w:trPr>
        <w:tc>
          <w:tcPr>
            <w:tcW w:w="262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A8C7CA"/>
            </w:tcBorders>
          </w:tcPr>
          <w:p>
            <w:pPr>
              <w:spacing w:after="0"/>
              <w:rPr>
                <w:sz w:val="4"/>
                <w:szCs w:val="4"/>
                <w:color w:val="auto"/>
              </w:rPr>
            </w:pPr>
          </w:p>
        </w:tc>
      </w:tr>
      <w:tr>
        <w:trPr>
          <w:trHeight w:val="200"/>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Discount rate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w:t>
            </w: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(3.2)</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3.3</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1820" w:type="dxa"/>
            <w:vAlign w:val="bottom"/>
            <w:tcBorders>
              <w:bottom w:val="single" w:sz="8" w:color="BECE33"/>
            </w:tcBorders>
          </w:tcPr>
          <w:p>
            <w:pPr>
              <w:spacing w:after="0"/>
              <w:rPr>
                <w:sz w:val="4"/>
                <w:szCs w:val="4"/>
                <w:color w:val="auto"/>
              </w:rPr>
            </w:pPr>
          </w:p>
        </w:tc>
        <w:tc>
          <w:tcPr>
            <w:tcW w:w="220" w:type="dxa"/>
            <w:vAlign w:val="bottom"/>
            <w:tcBorders>
              <w:bottom w:val="single" w:sz="8" w:color="BECE33"/>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bl>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estimated fair value of non-listed equity investments would, for example, increase (decrease) if the price of the latest financing round of the respective investment were to increase (decrease) and the overall company value were higher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 Management Activities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No changes have occurred regarding our risk management activities as disclosed in the notes to our audited consolidated financial statements included in our Annual Report on Form 20-F as of and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9. Issued Capital and Reserves</w:t>
      </w:r>
    </w:p>
    <w:p>
      <w:pPr>
        <w:spacing w:after="0" w:line="19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As of June 30, 2025, the number of shares outstanding was 240,398,724. This amount excludes 8,153,476 shares held in treasury. As of December 31, 2024, the number of shares outstanding was 239,970,804, excluding 8,581,396 shares held in treasury.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10.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1517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80" w:type="dxa"/>
            <w:vAlign w:val="bottom"/>
            <w:tcBorders>
              <w:top w:val="single" w:sz="8" w:color="BECE33"/>
            </w:tcBorders>
          </w:tcPr>
          <w:p>
            <w:pPr>
              <w:spacing w:after="0"/>
              <w:rPr>
                <w:sz w:val="19"/>
                <w:szCs w:val="19"/>
                <w:color w:val="auto"/>
              </w:rPr>
            </w:pPr>
          </w:p>
        </w:tc>
        <w:tc>
          <w:tcPr>
            <w:tcW w:w="2480" w:type="dxa"/>
            <w:vAlign w:val="bottom"/>
            <w:tcBorders>
              <w:top w:val="single" w:sz="8" w:color="BECE33"/>
              <w:right w:val="single" w:sz="8" w:color="BECE33"/>
            </w:tcBorders>
            <w:gridSpan w:val="2"/>
          </w:tcPr>
          <w:p>
            <w:pPr>
              <w:ind w:left="1440"/>
              <w:spacing w:after="0"/>
              <w:rPr>
                <w:sz w:val="20"/>
                <w:szCs w:val="20"/>
                <w:color w:val="auto"/>
              </w:rPr>
            </w:pPr>
            <w:r>
              <w:rPr>
                <w:rFonts w:ascii="Times New Roman" w:cs="Times New Roman" w:eastAsia="Times New Roman" w:hAnsi="Times New Roman"/>
                <w:sz w:val="14"/>
                <w:szCs w:val="14"/>
                <w:b w:val="1"/>
                <w:bCs w:val="1"/>
                <w:color w:val="005A64"/>
              </w:rPr>
              <w:t>June 30, 2025</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December 31, 2024</w:t>
            </w:r>
          </w:p>
        </w:tc>
      </w:tr>
      <w:tr>
        <w:trPr>
          <w:trHeight w:val="50"/>
        </w:trPr>
        <w:tc>
          <w:tcPr>
            <w:tcW w:w="606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r>
      <w:tr>
        <w:trPr>
          <w:trHeight w:val="200"/>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Contractual disputes / settlements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54.7</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85.7</w:t>
            </w:r>
          </w:p>
        </w:tc>
      </w:tr>
      <w:tr>
        <w:trPr>
          <w:trHeight w:val="50"/>
        </w:trPr>
        <w:tc>
          <w:tcPr>
            <w:tcW w:w="606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r>
      <w:tr>
        <w:trPr>
          <w:trHeight w:val="200"/>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Obligations from onerous CMO contracts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50.7</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50.7</w:t>
            </w:r>
          </w:p>
        </w:tc>
      </w:tr>
      <w:tr>
        <w:trPr>
          <w:trHeight w:val="50"/>
        </w:trPr>
        <w:tc>
          <w:tcPr>
            <w:tcW w:w="606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r>
      <w:tr>
        <w:trPr>
          <w:trHeight w:val="200"/>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63.1</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29.3</w:t>
            </w:r>
          </w:p>
        </w:tc>
      </w:tr>
      <w:tr>
        <w:trPr>
          <w:trHeight w:val="50"/>
        </w:trPr>
        <w:tc>
          <w:tcPr>
            <w:tcW w:w="606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r>
      <w:tr>
        <w:trPr>
          <w:trHeight w:val="200"/>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168.5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165.7</w:t>
            </w:r>
          </w:p>
        </w:tc>
      </w:tr>
      <w:tr>
        <w:trPr>
          <w:trHeight w:val="50"/>
        </w:trPr>
        <w:tc>
          <w:tcPr>
            <w:tcW w:w="606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r>
      <w:tr>
        <w:trPr>
          <w:trHeight w:val="200"/>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Total current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145.6</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144.8</w:t>
            </w:r>
          </w:p>
        </w:tc>
      </w:tr>
      <w:tr>
        <w:trPr>
          <w:trHeight w:val="50"/>
        </w:trPr>
        <w:tc>
          <w:tcPr>
            <w:tcW w:w="606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r>
      <w:tr>
        <w:trPr>
          <w:trHeight w:val="200"/>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Total non-current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22.9</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20.9</w:t>
            </w:r>
          </w:p>
        </w:tc>
      </w:tr>
      <w:tr>
        <w:trPr>
          <w:trHeight w:val="50"/>
        </w:trPr>
        <w:tc>
          <w:tcPr>
            <w:tcW w:w="606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236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r>
    </w:tbl>
    <w:p>
      <w:pPr>
        <w:spacing w:after="0" w:line="373"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As of June 30, 2025, our current provisions included €54.7 million in contractual disputes mainly related to collaborators regarding, among other things, the interpretation of each party’s obligations or the amounts payable under the respective agreements. The decrease in obligations identified as contractual disputes compared to December 31, 2024 was mainly due to entering settlement agreements and a reclassification to financial liabilities.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As of June 30, 2025, our current provisions included €50.7 million (€50.7 million as of December 31, 2024) of obligations for production capacities derived from contracts with contract manufacturing organizations, or CMOs, that became redundant.</w:t>
      </w:r>
    </w:p>
    <w:p>
      <w:pPr>
        <w:spacing w:after="0" w:line="217"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As of June 30, 2025, our current provisions included €63.1 million in other obligations mainly comprising employee related obligations such as restructuring due to pipeline prioritization, social security costs related to share based payment programs as well as inventor remunerations (€29.3</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20</w:t>
      </w:r>
    </w:p>
    <w:p>
      <w:pPr>
        <w:sectPr>
          <w:pgSz w:w="11900" w:h="16838" w:orient="portrait"/>
          <w:cols w:equalWidth="0" w:num="1">
            <w:col w:w="11240"/>
          </w:cols>
          <w:pgMar w:left="320" w:top="166" w:right="339" w:bottom="1440" w:gutter="0" w:footer="0" w:header="0"/>
          <w:type w:val="continuous"/>
        </w:sectPr>
      </w:pPr>
    </w:p>
    <w:bookmarkStart w:id="28" w:name="page29"/>
    <w:bookmarkEnd w:id="28"/>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million as of December 31, 2024, mainly comprising employee related obligations). The change of €33.8 million compared to December 31, 2024, related mainly to additions.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11. Contingent Liabilities</w:t>
      </w:r>
    </w:p>
    <w:p>
      <w:pPr>
        <w:spacing w:after="0" w:line="20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contingent liabilities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w:t>
      </w:r>
    </w:p>
    <w:p>
      <w:pPr>
        <w:spacing w:after="0" w:line="23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From time to time, in the normal course and conduct of our business, we may be involved in proceedings with third parties, including proceedings regarding, for example, the use and/or remuneration for use of such third party’s intellectual property. As of June 30, 2025, none of the intellectual property-related considerations outlined below, of which we have either been notified, or for which potential claims could be brought against us or our subsidiaries in the future, fulfill the criteria for recording a provision.</w:t>
      </w:r>
    </w:p>
    <w:p>
      <w:pPr>
        <w:spacing w:after="0" w:line="23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are subject to an increasing number of product-related disputes. Our product liability claims often involve highly complex issues related to medical causation, correctness and completeness of product information (Summary of Product Characteristics/package leaflet) as well as label warnings and reliance thereon, scientific evidence and findings, actual and provable defectiveness and injury, and other matters. These complexities vary from matter to matter. As of June 30, 2025, none of these claims fulfill the criteria for recording a provision.</w:t>
      </w:r>
    </w:p>
    <w:p>
      <w:pPr>
        <w:spacing w:after="0" w:line="23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are currently subject to certain claims by or on behalf of our shareholders. As of June 30, 2025, these claims do not fulfill the criteria for recording a provision.</w:t>
      </w:r>
    </w:p>
    <w:p>
      <w:pPr>
        <w:spacing w:after="0" w:line="21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Substantially all of our contingent liabilities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Certain pending matters to which we are a party are discussed below.</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Alnylam Proceedings</w:t>
      </w:r>
    </w:p>
    <w:p>
      <w:pPr>
        <w:spacing w:after="0" w:line="16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March 2022, Alnylam Pharmaceuticals, Inc., or Alnylam, filed a lawsuit against Pfizer and Pharmacia &amp; Upjohn Co. LLC in the U.S. District Court for the District of Delaware alleging that an existing patent</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21</w:t>
            </w:r>
          </w:p>
        </w:tc>
      </w:tr>
    </w:tbl>
    <w:p>
      <w:pPr>
        <w:sectPr>
          <w:pgSz w:w="11900" w:h="16838" w:orient="portrait"/>
          <w:cols w:equalWidth="0" w:num="1">
            <w:col w:w="11240"/>
          </w:cols>
          <w:pgMar w:left="320" w:top="166" w:right="339" w:bottom="1440" w:gutter="0" w:footer="0" w:header="0"/>
        </w:sectPr>
      </w:pPr>
    </w:p>
    <w:bookmarkStart w:id="29" w:name="page30"/>
    <w:bookmarkEnd w:id="29"/>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owned by Alnylam, U.S. Patent No. 11,246,933, or the ‘933 Patent, is infringed by the cationic lipid used in Comirnaty, and seeking monetary relief, the amount of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On February 24, 2025, Alnylam voluntarily dismissed U.S. Patent No. 11,633,480, with prejudice, from the lawsuit. On May 13, 2025, Alnylam filed an unopposed motion to stay the litigation and to withdraw its opposition to our motion for summary judgment of noninfringement, and requested that the Court enter judgment of noninfringement in our favor. The Court granted the stay on May 13, 2025. On July 30, 2025, the Court entered a final judgment of noninfringement of the asserted claims of all five patents. Alnylam may seek to appeal this judgment.</w:t>
      </w:r>
    </w:p>
    <w:p>
      <w:pPr>
        <w:spacing w:after="0" w:line="200" w:lineRule="exact"/>
        <w:rPr>
          <w:sz w:val="20"/>
          <w:szCs w:val="20"/>
          <w:color w:val="auto"/>
        </w:rPr>
      </w:pPr>
    </w:p>
    <w:p>
      <w:pPr>
        <w:spacing w:after="0" w:line="291"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CureVac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EP’122, DE’961, DE‘974, DE’575, and EP’668</w:t>
      </w:r>
    </w:p>
    <w:p>
      <w:pPr>
        <w:spacing w:after="0" w:line="15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July 2022, CureVac AG, or CureVac, filed a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EP1857122B1, or EP’122, and three Utility Models DE202015009961U1, DE202015009974U1, and DE202021003575U1. In August 2022, CureVac added European Patent EP3708668B1, or EP’668, to its German lawsuit.</w:t>
      </w:r>
    </w:p>
    <w:p>
      <w:pPr>
        <w:spacing w:after="0" w:line="23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On August 15, 2023, the Düsseldorf Regional Court held a hearing on infringement with respect to all five IP rights. At the hearing, the Court stated it would render its infringement ruling with respect to EP’122 on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22</w:t>
            </w:r>
          </w:p>
        </w:tc>
      </w:tr>
    </w:tbl>
    <w:p>
      <w:pPr>
        <w:sectPr>
          <w:pgSz w:w="11900" w:h="16838" w:orient="portrait"/>
          <w:cols w:equalWidth="0" w:num="1">
            <w:col w:w="11240"/>
          </w:cols>
          <w:pgMar w:left="320" w:top="166" w:right="339" w:bottom="1440" w:gutter="0" w:footer="0" w:header="0"/>
        </w:sectPr>
      </w:pPr>
    </w:p>
    <w:bookmarkStart w:id="30" w:name="page31"/>
    <w:bookmarkEnd w:id="30"/>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EP’668. After EP’122 was declared invalid in the first-instance nullity proceedings by the Federal Patent Court on December 19, 2023 (see below), on December 27, 2023, the Düsseldorf Regional Court canceled the December 28, 2023 decision date and stayed the infringement proceedings as to EP’122 until a final appellate decision is rendered as to the validity of EP’122 by the Federal Court of Justice. On June 7, 2024, CureVac waived DE’575 and withdrew this utility model from the infringement proceedings.</w:t>
      </w:r>
    </w:p>
    <w:p>
      <w:pPr>
        <w:spacing w:after="0" w:line="20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On July 1, 2024, the EPO Opposition Division issued a preliminary opinion noting that it believes EP’668 is likely invalid. The EPO Opposition Division held an oral hearing regarding the validity of EP’668 between March 25-27, 2025. At the conclusion of this hearing, the Opposition Division upheld EP’668 in amended form, but only after finding that the alleged technical effect – increased protein expression – was not achieved across the broad scope of the amended claim. The written decision by the Opposition Division to uphold EP’668 in amended form was issued on July 11, 2025, and BioNTech and Pfizer intend to appeal this written decision. An oral hearing with respect to infringement of EP’668 was scheduled by the Düsseldorf Regional Court for July 1, 2025, but has been rescheduled for November 6, 2025. On July 3, 2025, GlaxoSmithKline Biologicals SA filed a request seeking to intervene in the EP’668 infringement proceedings.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EP’755, DE’123, and DE’130</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 xml:space="preserve">In July 2023, CureVac SE filed a second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EP4023755B1, or EP’755, and two Utility Models DE202021004123U1, and DE202021004130U1. On June 7, 2024, CureVac waived DE’123 and withdrew this utility model from the infringement proceedings. The Court has stayed the infringement proceedings with respect to DE’130 pending a validity decision in the co-pending cancellation proceeding before the German Patent and Trademark Office, where an oral hearing has been scheduled for November 18, 2025. On July 24, 2024, the EPO Opposition Division issued a preliminary opinion noting that it believes EP’755 is likely invalid, and held a three-day oral hearing beginning on May 13, 2025. At the conclusion of the hearing, the EPO Opposition Division upheld EP’755 in amended form. We intend to appeal the Opposition Division’s written decision upon its issuance. A hearing on infringement with respect to EP’755 was to occur in the Düsseldorf Regional Court on July 1, 2025, but this has been rescheduled for November 6, 2025. On July 3, 2025, GlaxoSmithKline Biologicals SA filed a request to intervene in the EP’755 infringement proceedings.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Nullity Proceedings – EP’122</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does not address any infringement of EP’122. The preliminary opinion is a preliminary assessment by the court of the merits of a claim, and is non-binding. On December 19, 2023, the Federal Patent Court held an oral hearing, after which it nullified EP’122. On April 25, 2024, the Federal Patent Court issued a judgment containing its written reasons for nullifying EP’122. On May 6, 2024, CureVac appealed the judgment, which is currently pending. An oral hearing on this appeal is scheduled for July 2026.</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23</w:t>
            </w:r>
          </w:p>
        </w:tc>
      </w:tr>
    </w:tbl>
    <w:p>
      <w:pPr>
        <w:sectPr>
          <w:pgSz w:w="11900" w:h="16838" w:orient="portrait"/>
          <w:cols w:equalWidth="0" w:num="1">
            <w:col w:w="11240"/>
          </w:cols>
          <w:pgMar w:left="320" w:top="166" w:right="339" w:bottom="1440" w:gutter="0" w:footer="0" w:header="0"/>
        </w:sectPr>
      </w:pPr>
    </w:p>
    <w:bookmarkStart w:id="31" w:name="page32"/>
    <w:bookmarkEnd w:id="31"/>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 DE’961, DE‘974, and DE’575</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November 2022, we filed cancellation actions seeking the cancellation of the three German Utility Models in the German Patent and Trademark Office. On December 20, 2023, the German Patent and Trademark Office issued a preliminary opinion that DE’974 is likely to be cancelled. On January 23, 2024, the German Patent and Trademark Office issued a preliminary opinion that DE’961 is likely to be cancelled. Both preliminary opinions are based on invalidity pursuant to para. 1 (2) no. 5 Utility Model Act.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 In November 2024, the German Patent and Trademark Office issued its written decisions cancelling DE’961 and DE’974. CureVac has filed an appeal in both cancellation proceedings, which are currently pending.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DE’123 and DE’130</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 On December 5, 2024, the German Patent and Trademark Office issued a preliminary opinion that DE’130 is likely to be cancelled. An oral hearing regarding the validity of DE’130 before the German Patent and Trademark Office is scheduled for November 18,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In July 2022, we and Pfizer filed a complaint for a declaratory judgment in the U.S. District Court for the District of Massachusetts, seeking a judgment of non-infringement by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A three-week trial was set to begin on March 3, 2025, but the Court has rescheduled it to begin on September 8, 2025. On July 7, 2025, GlaxoSmithKline Biologicals SA filed a motion to intervene in the litigation.</w:t>
      </w:r>
    </w:p>
    <w:p>
      <w:pPr>
        <w:spacing w:after="0" w:line="200" w:lineRule="exact"/>
        <w:rPr>
          <w:sz w:val="20"/>
          <w:szCs w:val="20"/>
          <w:color w:val="auto"/>
        </w:rPr>
      </w:pPr>
    </w:p>
    <w:p>
      <w:pPr>
        <w:spacing w:after="0" w:line="27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We and CureVac have from time to time discussed potential options for the resolution of certain of these disputes, and we continue to be actively engaged in such discussions. However, it is currently impractical for us to estimate with sufficient reliability the respective contingent liabilities.</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24</w:t>
            </w:r>
          </w:p>
        </w:tc>
      </w:tr>
    </w:tbl>
    <w:p>
      <w:pPr>
        <w:sectPr>
          <w:pgSz w:w="11900" w:h="16838" w:orient="portrait"/>
          <w:cols w:equalWidth="0" w:num="1">
            <w:col w:w="11240"/>
          </w:cols>
          <w:pgMar w:left="320" w:top="166" w:right="339" w:bottom="1440" w:gutter="0" w:footer="0" w:header="0"/>
        </w:sectPr>
      </w:pPr>
    </w:p>
    <w:bookmarkStart w:id="32" w:name="page33"/>
    <w:bookmarkEnd w:id="32"/>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Moderna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Germany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Infringement Proceedings – EP’949 and EP’565</w:t>
      </w:r>
    </w:p>
    <w:p>
      <w:pPr>
        <w:spacing w:after="0" w:line="14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two European patents, 3590949B1, or EP’949, and 3718565B1, or EP’565. With respect to EP’565, on November 7, 2023, the Opposition Division of the EPO revoked EP’565 after a one-day oral hearing held in the co-pending opposition proceeding, and on December 7, 2023, it issued the written decision revoking EP’565. On February 7, 2024, Moderna appealed the Opposition Division’s revocation decision on EP’565, and the appeal is currently pending, with an oral hearing scheduled for January 27, 2026. With respect to EP’949,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The Düsseldorf Regional Court held an infringement hearing on January 21, 2025, and on March 5, 2025, the Düsseldorf Regional Court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Moderna has not yet taken steps to enforce the Düsseldorf Regional Court’s first-instance decision on infringement.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4"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asserting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200" w:lineRule="exact"/>
        <w:rPr>
          <w:sz w:val="20"/>
          <w:szCs w:val="20"/>
          <w:color w:val="auto"/>
        </w:rPr>
      </w:pPr>
    </w:p>
    <w:p>
      <w:pPr>
        <w:spacing w:after="0" w:line="29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25</w:t>
            </w:r>
          </w:p>
        </w:tc>
      </w:tr>
    </w:tbl>
    <w:p>
      <w:pPr>
        <w:sectPr>
          <w:pgSz w:w="11900" w:h="16838" w:orient="portrait"/>
          <w:cols w:equalWidth="0" w:num="1">
            <w:col w:w="11240"/>
          </w:cols>
          <w:pgMar w:left="320" w:top="166" w:right="339" w:bottom="1440" w:gutter="0" w:footer="0" w:header="0"/>
        </w:sectPr>
      </w:pPr>
    </w:p>
    <w:bookmarkStart w:id="33" w:name="page34"/>
    <w:bookmarkEnd w:id="33"/>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UK High Court held a hearing on September 25, 2024, during which the Court granted Pfizer and BioNTech permission to appeal its judgment regarding the validity of EP’949, and declined Moderna’s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spacing w:after="0" w:line="213" w:lineRule="exact"/>
        <w:rPr>
          <w:sz w:val="20"/>
          <w:szCs w:val="20"/>
          <w:color w:val="auto"/>
        </w:rPr>
      </w:pPr>
    </w:p>
    <w:p>
      <w:pPr>
        <w:ind w:right="80"/>
        <w:spacing w:after="0" w:line="358" w:lineRule="auto"/>
        <w:rPr>
          <w:sz w:val="20"/>
          <w:szCs w:val="20"/>
          <w:color w:val="auto"/>
        </w:rPr>
      </w:pPr>
      <w:r>
        <w:rPr>
          <w:rFonts w:ascii="Times New Roman" w:cs="Times New Roman" w:eastAsia="Times New Roman" w:hAnsi="Times New Roman"/>
          <w:sz w:val="18"/>
          <w:szCs w:val="18"/>
          <w:color w:val="080509"/>
        </w:rPr>
        <w:t>The UK Court of Appeal held an oral hearing on the appeal of EP’949 on July 10-11, 2025. On August 1, 2025, the UK Court of Appeal issued a judgment agreeing with the UK High Court that EP ‘949 is valid, and dismissing our appeal. We intend to appeal this decision to the UK Supreme Court.</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U.S. District Court Litigation</w:t>
      </w:r>
    </w:p>
    <w:p>
      <w:pPr>
        <w:spacing w:after="0" w:line="14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August 2022, Moderna filed a lawsuit in the U.S. District Court for the District of Massachusetts against us and our wholly owned subsidiaries BioNTech Manufacturing GmbH and BioNTech US Inc. and Pfizer Inc.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Inter Partes Review</w:t>
      </w:r>
    </w:p>
    <w:p>
      <w:pPr>
        <w:spacing w:after="0" w:line="13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appealed this decision on May 6,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Netherlands</w:t>
      </w:r>
    </w:p>
    <w:p>
      <w:pPr>
        <w:spacing w:after="0" w:line="16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has been set for September 22, 2025. The EP’565 case has been stayed pending the outcome of Moderna’s appeal of the Opposition Division’s revocation of EP’565.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6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and our wholly owned subsidiary BioNTech Manufacturing GmbH, Pfizer Inc., Pfizer Healthcare Ireland, Pfizer Ireland Pharmaceuticals, and C.P. Pharmaceuticals International C.V.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26</w:t>
            </w:r>
          </w:p>
        </w:tc>
      </w:tr>
    </w:tbl>
    <w:p>
      <w:pPr>
        <w:sectPr>
          <w:pgSz w:w="11900" w:h="16838" w:orient="portrait"/>
          <w:cols w:equalWidth="0" w:num="1">
            <w:col w:w="11240"/>
          </w:cols>
          <w:pgMar w:left="320" w:top="166" w:right="339" w:bottom="1440" w:gutter="0" w:footer="0" w:header="0"/>
        </w:sectPr>
      </w:pPr>
    </w:p>
    <w:bookmarkStart w:id="34" w:name="page35"/>
    <w:bookmarkEnd w:id="34"/>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Belgium</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our wholly owned subsidiary BioNTech Manufacturing GmbH, Pfizer Inc. and Pfizer Manufacturing Belgium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Brussels Dutch-speaking Enterprise Court. On May 29, 2024, the parties filed a joint request to stay the proceedings, which was entered by the Enterprise Court.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All of the above proceedings are currently pending.</w:t>
      </w:r>
    </w:p>
    <w:p>
      <w:pPr>
        <w:spacing w:after="0" w:line="3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Arbutus and Genevant Proceedings</w:t>
      </w:r>
    </w:p>
    <w:p>
      <w:pPr>
        <w:spacing w:after="0" w:line="17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and seeking monetary relief. This proceeding is currently pending.</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GlaxoSmithKline Proceedings</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 xml:space="preserve">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24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27</w:t>
            </w:r>
          </w:p>
        </w:tc>
      </w:tr>
    </w:tbl>
    <w:p>
      <w:pPr>
        <w:sectPr>
          <w:pgSz w:w="11900" w:h="16838" w:orient="portrait"/>
          <w:cols w:equalWidth="0" w:num="1">
            <w:col w:w="11240"/>
          </w:cols>
          <w:pgMar w:left="320" w:top="166" w:right="339" w:bottom="1440" w:gutter="0" w:footer="0" w:header="0"/>
        </w:sectPr>
      </w:pPr>
    </w:p>
    <w:bookmarkStart w:id="35" w:name="page36"/>
    <w:bookmarkEnd w:id="35"/>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Promosome Proceedings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 xml:space="preserve">In January 2025, Promosome LLC, or Promosome, filed a lawsuit against us and Pfizer in the Unified Patent Court, or UPC, Munich Division, alleging that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infringes EP 2 401 365 and seeking monetary relief. This proceeding is currently pending.</w:t>
      </w:r>
    </w:p>
    <w:p>
      <w:pPr>
        <w:spacing w:after="0" w:line="20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 a contingent liabilities as of the balance sheet date. However, it is currently impractical for us to estimate with sufficient reliability the respective contingent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Ladewig Proceedings</w:t>
      </w:r>
    </w:p>
    <w:p>
      <w:pPr>
        <w:spacing w:after="0" w:line="17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In January 2024, we and certain of our officers and directors were named as defendants in a securities class action complaint captioned </w:t>
      </w:r>
      <w:r>
        <w:rPr>
          <w:rFonts w:ascii="Times New Roman" w:cs="Times New Roman" w:eastAsia="Times New Roman" w:hAnsi="Times New Roman"/>
          <w:sz w:val="18"/>
          <w:szCs w:val="18"/>
          <w:i w:val="1"/>
          <w:iCs w:val="1"/>
          <w:color w:val="080509"/>
        </w:rPr>
        <w:t xml:space="preserve">Ladewig v. BioNTech SE </w:t>
      </w:r>
      <w:r>
        <w:rPr>
          <w:rFonts w:ascii="Times New Roman" w:cs="Times New Roman" w:eastAsia="Times New Roman" w:hAnsi="Times New Roman"/>
          <w:sz w:val="18"/>
          <w:szCs w:val="18"/>
          <w:color w:val="080509"/>
        </w:rPr>
        <w:t>filed in the U.S. District Court for the Central District of California brought on behalf of a putative class of</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 xml:space="preserve">investors who purchased our securities from March 30, 2022 through October 13, 2023. Plaintiffs allege that we violated Sections 10(b) and 20(a) of the Exchange Act by stating that we were “well positioned” to remain a “market leader” in vaccines for the prevention of COVID-19 and by purportedly overstating demand for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Plaintiffs further allege that we failed to adapt our inventory to reflect the emergence of new COVID variants. On July 15, 2024, the case was transferred to the U.S. District Court for the Southern District of New York.</w:t>
      </w:r>
    </w:p>
    <w:p>
      <w:pPr>
        <w:spacing w:after="0" w:line="23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and intend to vigorously defend ourselves in the lawsuit mentioned above. 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12. Related Party Disclosures</w:t>
      </w:r>
    </w:p>
    <w:p>
      <w:pPr>
        <w:spacing w:after="0" w:line="190"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ATHOS KG, Holzkirchen, Germany is the sole shareholder of AT Impf GmbH, Munich, Germany and a beneficial owner of our ordinary shares. Entities controlled by ATHOS KG mainly provide rental and property management activities and sell property, plant and equipment to us. The total amount of transactions with ATHOS KG or entities controlled by them had no significant impact on our unaudited interim condensed consolidated financial statements as of and for the three and six months ended June 30, 2025, compared to the details disclosed in Note 21 to our audited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28</w:t>
            </w:r>
          </w:p>
        </w:tc>
      </w:tr>
    </w:tbl>
    <w:p>
      <w:pPr>
        <w:sectPr>
          <w:pgSz w:w="11900" w:h="16838" w:orient="portrait"/>
          <w:cols w:equalWidth="0" w:num="1">
            <w:col w:w="11240"/>
          </w:cols>
          <w:pgMar w:left="320" w:top="166" w:right="339" w:bottom="1440" w:gutter="0" w:footer="0" w:header="0"/>
        </w:sectPr>
      </w:pPr>
    </w:p>
    <w:bookmarkStart w:id="36" w:name="page37"/>
    <w:bookmarkEnd w:id="36"/>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financial statements included in our Annual Report on Form 20-F as of and for the year ended December 31, 2024.</w:t>
      </w:r>
    </w:p>
    <w:p>
      <w:pPr>
        <w:spacing w:after="0" w:line="33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Members of the Management Board and the Supervisory Board of BioNTech SE are related parties as key management personnel having authority and responsibility for planning, directing, and controlling the activities of BioNTech SE directly or indirectly. The total amount of transactions with related parties had no significant impact on our unaudited interim condensed consolidated financial statements as of and for the three and six months ended June 30, 2025, compared to the details disclosed in Note 21 to our audited consolidated financial statements included in our Annual Report on Form 20-F as of and for the year ended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13. Events after the Reporting Period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Ramón Zapata – Appointment to Management Board as Chief Financial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With effect as of July 1, 2025, the Supervisory Board appointed Ramón Zapata to the Management Board as Chief Financial Officer (CFO).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Ramón Zapata takes over the CFO role from Jens Holstein, who retired at the end of his term.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Ryan Richardson – Step Down from the Management Board</w:t>
      </w:r>
    </w:p>
    <w:p>
      <w:pPr>
        <w:spacing w:after="0" w:line="179"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On July 17, 2025, we announced that Ryan Richardson will step down as Chief Strategy Officer in the Management Board of BioNTech on September 30, 2025, and as a Board Director at affiliated companies of the BioNTech Group by mutual agreement to pursue new professional opportunities.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New Tax Legislation</w:t>
      </w:r>
    </w:p>
    <w:p>
      <w:pPr>
        <w:spacing w:after="0" w:line="16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As of June 30, 2025, the draft bill to gradually reduce the German federal corporate income tax rate from 15% to 10% (by one percentage point per year from 2028 to 2032) had not yet been substantively enacted. Consequently, the existing tax rate of 15% was applied when measuring current and deferred taxes as of the reporting date.</w:t>
      </w:r>
    </w:p>
    <w:p>
      <w:pPr>
        <w:spacing w:after="0" w:line="23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 addition, the 'Big Beautiful Bill' announced by the US administration, which proposes changes to the US federal corporate income tax rate among other provisions, had not been enacted or substantively enacted as of June 30, 2025. Accordingly, the bill had no effect on the group's income tax expense or deferred tax measurement in Q2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GlaxoSmithKline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5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On July 7,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Unified Patent Court</w:t>
      </w:r>
    </w:p>
    <w:p>
      <w:pPr>
        <w:spacing w:after="0" w:line="16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On July 23, 2025, GlaxoSmithKline Biologicals SA filed two lawsuits against BioNTech SE, BioNTech Europe GmbH, BioNTech Manufacturing GmbH, and BioNTech Manufacturing Marburg GmbH, as well as 26 Pfizer entities, in the Unified Patent Court (Hague Division). In the first lawsuit, GSK alleges</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29</w:t>
      </w:r>
    </w:p>
    <w:p>
      <w:pPr>
        <w:sectPr>
          <w:pgSz w:w="11900" w:h="16838" w:orient="portrait"/>
          <w:cols w:equalWidth="0" w:num="1">
            <w:col w:w="11240"/>
          </w:cols>
          <w:pgMar w:left="320" w:top="166" w:right="339" w:bottom="1440" w:gutter="0" w:footer="0" w:header="0"/>
          <w:type w:val="continuous"/>
        </w:sectPr>
      </w:pPr>
    </w:p>
    <w:bookmarkStart w:id="37" w:name="page38"/>
    <w:bookmarkEnd w:id="3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Comirnaty’s infringement of European Patent No. 2,590,626, and in the second lawsuit, GSK alleges Comirnaty’s infringement of European Patent Nos. 4,066,856 and 4,226,941. This proceeding is currently pending.</w:t>
      </w:r>
    </w:p>
    <w:p>
      <w:pPr>
        <w:spacing w:after="0" w:line="217"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 the probability of an outflow of resources to be sufficient to recognize a provision as of June 30, 2025. In our opinion, these matters constitute contingent liabilities as of June 30, 2025. However, it is currently impractical for us to estimate with sufficient reliability the respective contingent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30</w:t>
            </w:r>
          </w:p>
        </w:tc>
      </w:tr>
    </w:tbl>
    <w:p>
      <w:pPr>
        <w:sectPr>
          <w:pgSz w:w="11900" w:h="16838" w:orient="portrait"/>
          <w:cols w:equalWidth="0" w:num="1">
            <w:col w:w="11240"/>
          </w:cols>
          <w:pgMar w:left="320" w:top="166" w:right="339" w:bottom="1440" w:gutter="0" w:footer="0" w:header="0"/>
        </w:sectPr>
      </w:pPr>
    </w:p>
    <w:bookmarkStart w:id="38" w:name="page39"/>
    <w:bookmarkEnd w:id="3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07072"/>
        </w:rPr>
        <w:t>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 this report, unless stated or the context otherwise requires, references to the “Company”, “BioNTech”, “Group”, “we”, “us” and “our” refer to BioNTech SE and its consolidated subsidiaries. The following “Operating and Financial Review and Prospects” should be read together with the unaudited interim condensed consolidated financial statements and related notes as presented above. The following discussion is based on our financial information prepared in accordance with the International Financial Reporting Standards, or IFRS, as issued by the International Accounting Standards Board,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the “Risk Factors” section further below. Please also see “Forward-Looking Statements” included elsewhere in this quarterly report for the three and six months ended June 30, 2025.</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Operating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Overview</w:t>
      </w:r>
    </w:p>
    <w:p>
      <w:pPr>
        <w:spacing w:after="0" w:line="165"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We are a global next-generation immunotherapy company aiming to pioneer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have built a broad toolkit across multiple technology platforms, including a diverse range of potentially first-in-class therapeutic approaches. This includes investigational messenger ribonucleic acid, or mRNA immunotherapies, protein-based therapeutics (including targeted antibodies such as monoclonal, bispecific and antibody-drug conjugates, or ADCs) and cell therapies.</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multi-technology combination of platforms and product candidates aims to position us as pioneers in the field of individualized, patient-centric therapeutic approaches in oncology and infectious diseases.</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our strategy. To augment anti-tumor activity and to counteract resistance mechanisms, we seek to combine compounds with non-overlapping, potentially synergistic mechanisms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31</w:t>
            </w:r>
          </w:p>
        </w:tc>
      </w:tr>
    </w:tbl>
    <w:p>
      <w:pPr>
        <w:sectPr>
          <w:pgSz w:w="11900" w:h="16838" w:orient="portrait"/>
          <w:cols w:equalWidth="0" w:num="1">
            <w:col w:w="11240"/>
          </w:cols>
          <w:pgMar w:left="320" w:top="167" w:right="339" w:bottom="1440" w:gutter="0" w:footer="0" w:header="0"/>
        </w:sectPr>
      </w:pPr>
    </w:p>
    <w:bookmarkStart w:id="39" w:name="page40"/>
    <w:bookmarkEnd w:id="3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 xml:space="preserve">Our approach has generated a robust and diversified product candidate pipeline across a range of technologies in oncology and infectious disease, and has led to the approval of our first marketed product,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Environmental, Social, and Governance (ESG)</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BioNTech was founded out of a responsibility to patients and to society and this is still the vision that drives the Company. It gives grounds for BioNTech’s enhanced responsibility: for translating the Company’s science into the health of people worldwide and contributing to equitable access to innovative medicines, for environmental and climate protection, for respecting human rights and for fostering the full potential of all employees. BioNTech recognizes its responsibility as a corporate citizen and is committed to supporting its local communities and beyond through donations, sponsorships and volunteer activities.</w:t>
      </w:r>
    </w:p>
    <w:p>
      <w:pPr>
        <w:spacing w:after="0" w:line="24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BioNTech’s performance on environmental, social, and governance matters is regularly assessed by external rating agencies. BioNTech retained its “Prime” status from ISS ESG in the assessment for 2024, placing BioNTech in the top 10% of all companies rated in the Pharmaceuticals and Biotechnology sector. In addition, BioNTech improved its overall rating from a B- to a B in the overall Corporate Rating 2024 on a scale from D- (lowest rating) to A+ (highest rating) compared to the previous assessment. ISS has extended its ESG Quality Score in 2024 to include the two categories “Social” and “Environment”. BioNTech currently achieves a score of 2 in the category “Environment” and of 1 in the category “Social”. These scores indicate a company’s transparency with a focus on social and environmental matters on a scale from 1 (high disclosure) to 10 (low disclosure). Furthermore, BioNTech received a score of 5 in the "Governance” dimension of the ISS Quality Score on a risk scale ranging from 1 (low risk) to 10 (high risk).</w:t>
      </w:r>
      <w:r>
        <w:rPr>
          <w:rFonts w:ascii="Times New Roman" w:cs="Times New Roman" w:eastAsia="Times New Roman" w:hAnsi="Times New Roman"/>
          <w:sz w:val="23"/>
          <w:szCs w:val="23"/>
          <w:color w:val="080509"/>
          <w:vertAlign w:val="superscript"/>
        </w:rPr>
        <w:t>1</w:t>
      </w:r>
    </w:p>
    <w:p>
      <w:pPr>
        <w:spacing w:after="0" w:line="200" w:lineRule="exact"/>
        <w:rPr>
          <w:sz w:val="20"/>
          <w:szCs w:val="20"/>
          <w:color w:val="auto"/>
        </w:rPr>
      </w:pPr>
    </w:p>
    <w:p>
      <w:pPr>
        <w:spacing w:after="0" w:line="24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080509"/>
        </w:rPr>
        <w:t>BioNTech was included in the S&amp;P Global Sustainability Yearbook 2025 for the first time. Out of 7,690 companies assessed by S&amp;P, only 780 companies across 62 industries were selected for inclusion in the Sustainability Yearbook 2025. To be listed in this Yearbook, companies must score within the top 15% of their industry and must achieve a S&amp;P Corporate Sustainability Assessment (CSA), within 30% of their industry’s top-performing company. BioNTech received 51 out of 100 possible points in the 2025 S&amp;P CSA</w:t>
      </w:r>
      <w:r>
        <w:rPr>
          <w:rFonts w:ascii="Times New Roman" w:cs="Times New Roman" w:eastAsia="Times New Roman" w:hAnsi="Times New Roman"/>
          <w:sz w:val="23"/>
          <w:szCs w:val="23"/>
          <w:color w:val="080509"/>
          <w:vertAlign w:val="superscript"/>
        </w:rPr>
        <w:t>2</w:t>
      </w:r>
      <w:r>
        <w:rPr>
          <w:rFonts w:ascii="Times New Roman" w:cs="Times New Roman" w:eastAsia="Times New Roman" w:hAnsi="Times New Roman"/>
          <w:sz w:val="18"/>
          <w:szCs w:val="18"/>
          <w:color w:val="080509"/>
        </w:rPr>
        <w:t xml:space="preserve"> (2024: 52/100; 2023: 45/100 points; 2022: 32/100 points). Since 2022, BioNTech has been actively engaging in the comprehensive S&amp;P CSA rating process and has been listed as a participating company.</w:t>
      </w:r>
    </w:p>
    <w:p>
      <w:pPr>
        <w:spacing w:after="0" w:line="200" w:lineRule="exact"/>
        <w:rPr>
          <w:sz w:val="20"/>
          <w:szCs w:val="20"/>
          <w:color w:val="auto"/>
        </w:rPr>
      </w:pPr>
    </w:p>
    <w:p>
      <w:pPr>
        <w:spacing w:after="0" w:line="29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080509"/>
        </w:rPr>
        <w:t>In July 2025, BioNTech received an ESG Risk Rating of 24.1</w:t>
      </w:r>
      <w:r>
        <w:rPr>
          <w:rFonts w:ascii="Times New Roman" w:cs="Times New Roman" w:eastAsia="Times New Roman" w:hAnsi="Times New Roman"/>
          <w:sz w:val="23"/>
          <w:szCs w:val="23"/>
          <w:color w:val="080509"/>
          <w:vertAlign w:val="superscript"/>
        </w:rPr>
        <w:t>3</w:t>
      </w:r>
      <w:r>
        <w:rPr>
          <w:rFonts w:ascii="Times New Roman" w:cs="Times New Roman" w:eastAsia="Times New Roman" w:hAnsi="Times New Roman"/>
          <w:sz w:val="18"/>
          <w:szCs w:val="18"/>
          <w:color w:val="080509"/>
        </w:rPr>
        <w:t xml:space="preserve"> by the rating agency Morningstar Sustainalytics and was assessed to be at medium risk of experiencing material financial impacts from ESG factors. This corresponds to a risk in the third of five risk levels (negligible, low, medium, high and severe). The rating measures the extent to which the economic value of a company is at risk due to ESG factors. Sustainalytics uses absolute risk categories and quantitative scores from 0 to 40+ to provide a comparable assessment for all rated companies and industries.</w:t>
      </w:r>
    </w:p>
    <w:p>
      <w:pPr>
        <w:spacing w:after="0" w:line="200" w:lineRule="exact"/>
        <w:rPr>
          <w:sz w:val="20"/>
          <w:szCs w:val="20"/>
          <w:color w:val="auto"/>
        </w:rPr>
      </w:pPr>
    </w:p>
    <w:p>
      <w:pPr>
        <w:spacing w:after="0" w:line="319"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BioNTech’s Corporate Sustainability &amp; Responsibility, or CSR, Management, including the fields of action is presented in detail in the separate 2024 Sustainability Report and made available online at www.biontech.com. More information about BioNTech’s performance in selected ESG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22631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Number as of July 2, 2025 for Quality Scores “Environment”, “Social” and “Governance” dimension.</w:t>
      </w:r>
    </w:p>
    <w:p>
      <w:pPr>
        <w:spacing w:after="0" w:line="63" w:lineRule="exact"/>
        <w:rPr>
          <w:rFonts w:ascii="Times New Roman" w:cs="Times New Roman" w:eastAsia="Times New Roman" w:hAnsi="Times New Roman"/>
          <w:sz w:val="18"/>
          <w:szCs w:val="18"/>
          <w:color w:val="107072"/>
          <w:vertAlign w:val="superscript"/>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Results were released on July 30, 2025.</w:t>
      </w:r>
    </w:p>
    <w:p>
      <w:pPr>
        <w:spacing w:after="0" w:line="49" w:lineRule="exact"/>
        <w:rPr>
          <w:rFonts w:ascii="Times New Roman" w:cs="Times New Roman" w:eastAsia="Times New Roman" w:hAnsi="Times New Roman"/>
          <w:sz w:val="18"/>
          <w:szCs w:val="18"/>
          <w:color w:val="107072"/>
          <w:vertAlign w:val="superscript"/>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The last update of the score was conducted by July 12, 2025; the full rating update was conducted by May 29, 2025 resulting in a score of 25.2.</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32</w:t>
            </w:r>
          </w:p>
        </w:tc>
      </w:tr>
    </w:tbl>
    <w:p>
      <w:pPr>
        <w:sectPr>
          <w:pgSz w:w="11900" w:h="16838" w:orient="portrait"/>
          <w:cols w:equalWidth="0" w:num="1">
            <w:col w:w="11240"/>
          </w:cols>
          <w:pgMar w:left="320" w:top="167" w:right="339" w:bottom="1440" w:gutter="0" w:footer="0" w:header="0"/>
        </w:sectPr>
      </w:pPr>
    </w:p>
    <w:bookmarkStart w:id="40" w:name="page41"/>
    <w:bookmarkEnd w:id="4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BioNTech’s Human Rights Statement as well as further relevant information and material can also be found on the Company’s website.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Marketed Product: Comirnaty, our COVID-19 Vaccine Program (BNT162)</w:t>
      </w:r>
    </w:p>
    <w:p>
      <w:pPr>
        <w:spacing w:after="0" w:line="17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 xml:space="preserve">COVID-19 vaccination has played an important role in saving lives and livelihoods across the world. Our commercial product, developed in 2020,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was the first-ever approved mRNA-based product, and, to our knowledge, remains the fastest ever developed prophylactic vaccine from viral sampling to approval. As of March 2025, our COVID-19 vaccine products have been authorized or approved for emergency or temporary use or granted marketing authorization in more than 180 countries and regions worldwide. Our efforts have resulted in nearly 5 billion doses shipped globally. We are now focused on preparing for vaccine adaptation to be ready to launch ahead of the upcoming 2025/2026 season, pending approvals.</w:t>
      </w:r>
    </w:p>
    <w:p>
      <w:pPr>
        <w:spacing w:after="0" w:line="200" w:lineRule="exact"/>
        <w:rPr>
          <w:sz w:val="20"/>
          <w:szCs w:val="20"/>
          <w:color w:val="auto"/>
        </w:rPr>
      </w:pPr>
    </w:p>
    <w:p>
      <w:pPr>
        <w:spacing w:after="0" w:line="30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Under our collaboration with Pfizer, we are the Marketing Authorization Holder in the United States, the European Union, or EU, the UK, Canada and other countries. Additionally, we are the holder of emergency use authorizations or equivalents in the United States (jointly with Pfizer) and other countries for the COVID-19 vaccine program. Pfizer has marketing and distribution rights worldwide apart from Greater China, Germany, and Türkiye. We have the marketing and distribution rights to Comirnaty in Germany and Türkiye.</w:t>
      </w:r>
    </w:p>
    <w:p>
      <w:pPr>
        <w:spacing w:after="0" w:line="23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Under our collaboration with Fosun Pharmaceutical Industrial Development, Co., Ltd, or Fosun Pharma, Fosun Pharma has marketing and distribution rights in Mainland China, Hong Kong Special Administrative Region, or SAR, Macau SAR and Taiwan region.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A. Commercial Updates</w:t>
      </w:r>
    </w:p>
    <w:p>
      <w:pPr>
        <w:spacing w:after="0" w:line="16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Our and Pfizer’s Omicron JN.1 and Omicron KP.2-adapted monovalent COVID-19 vaccines received multiple regulatory approvals and authorizations in more than 40 countries and regions, and are available in multiple presentations: as pre-filled syringes, multi-dose vials and single-dose vials.</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We expect that as SARS-CoV-2 continues to evolve, and the risk of severe COVID-19 disease and deaths persists, there will be continued demand for primary and seasonal vaccinations, especially for at-risk and immunocompromised populations. Studies have demonstrated that natural immunity acquired by SARS-CoV-2 infection is variable across individuals and wanes over time due to viral escape mutations and decreasing titers. The risk of severe COVID-19 disease remains high in vulnerable populations. Vaccination not only reduces the risk of severe COVID-19 but may also mitigate the risk of health impairments related to long COVID. Given this, and our current understanding of COVID-19’s burden on healthcare systems during the fall and winter season, along</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33</w:t>
            </w:r>
          </w:p>
        </w:tc>
      </w:tr>
    </w:tbl>
    <w:p>
      <w:pPr>
        <w:sectPr>
          <w:pgSz w:w="11900" w:h="16838" w:orient="portrait"/>
          <w:cols w:equalWidth="0" w:num="1">
            <w:col w:w="11240"/>
          </w:cols>
          <w:pgMar w:left="320" w:top="167" w:right="339" w:bottom="1440" w:gutter="0" w:footer="0" w:header="0"/>
        </w:sectPr>
      </w:pPr>
    </w:p>
    <w:bookmarkStart w:id="41" w:name="page42"/>
    <w:bookmarkEnd w:id="4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with its observed peaks at other times of the year, we anticipate the need for annual adapted vaccines to be a long-term component of COVID-19 vaccination practices.</w:t>
      </w:r>
    </w:p>
    <w:p>
      <w:pPr>
        <w:spacing w:after="0" w:line="19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2025, we have been, and expect to continue, preparing for COVID-19 vaccine strain adaptation and, pending regulatory approval, commercial launch ahead of the upcoming 2025/2026 vaccination season.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 Clinical Development, Regulatory and Manufacturing Updates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While JN.1 and KP.2 variant-adapted vaccines provided some protection against a range of outcomes from JN.1-lineage related COVID-19 disease, evidence suggests that vaccines better matched to currently circulating SARS-CoV-2 sublineages may provide improved protection against symptomatic and severe COVID-19 disease.</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May 2025, the WHO, EMA and FDA each issued recommendations to update the antigenic composition of authorized COVID-19 vaccines for the 2025-2026 vaccination season. The WHO advised manufacturers that monovalent JN.1 or KP.2 vaccines remain appropriate vaccine antigens and that monovalent LP.8.1 is a suitable alternative vaccine antigen. EMA recommended that marketing authorization holders adapt vaccines to target the LP.8.1 variant of the JN.1 family of Omicron subvariants, and vaccines targeting JN.1 or KP.2 strains could be considered for the vaccination campaigns in 2025 until the updated LP.8.1 vaccines become available. The FDA advised manufacturers that COVID-19 vaccines for use in the United States in the fall of 2025 should be a monovalent JN.1-lineage-based composition, preferentially targeting the LP.8.1 strain.</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In May 2025, we submitted to the EMA a marketing authorization application for our LP.8.1-adapted monovalent COVID-19 vaccine. In July 2025, the EMA’s Committee for Medicinal Products for Human Use (“CHMP”) recommended marketing authorization for the companies’ LP.8.1-adapted monovalent COVID-19 vaccine. Following authorization by the European Commission (EC), the new variant-adapted COVID-19 vaccine will be ready to ship to applicable EU member states in August..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June 2025, we initiated a rolling submission with the FDA for our LP.8.1-adapted monovalent COVID-19 vaccine.</w:t>
      </w:r>
    </w:p>
    <w:p>
      <w:pPr>
        <w:spacing w:after="0" w:line="30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 July 2025, the first subject was dosed in a Phase 3 (NCT07069309) study to investigate the safety, tolerability, and immunogenicity of our LP.8.1-adapted COVID-19 vaccine in adults, including those at higher risk of severe COVID-19 ahead of 2025-2026 COVID-19 vaccination season, pending approval.</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Pipeline of Product Candidates: Second Quarter of 2025 and Post Period-End Updates</w:t>
      </w:r>
    </w:p>
    <w:p>
      <w:pPr>
        <w:spacing w:after="0" w:line="17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Below is a summary of active clinical trials evaluating our authorized product and clinical product candidates, organized by platform and indication.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34</w:t>
            </w:r>
          </w:p>
        </w:tc>
      </w:tr>
    </w:tbl>
    <w:p>
      <w:pPr>
        <w:sectPr>
          <w:pgSz w:w="11900" w:h="16838" w:orient="portrait"/>
          <w:cols w:equalWidth="0" w:num="1">
            <w:col w:w="11240"/>
          </w:cols>
          <w:pgMar w:left="320" w:top="167" w:right="339" w:bottom="1440" w:gutter="0" w:footer="0" w:header="0"/>
        </w:sectPr>
      </w:pPr>
    </w:p>
    <w:bookmarkStart w:id="42" w:name="page43"/>
    <w:bookmarkEnd w:id="42"/>
    <w:p>
      <w:pPr>
        <w:spacing w:after="0"/>
        <w:framePr w:w="200" w:h="52" w:wrap="auto" w:vAnchor="page" w:hAnchor="page" w:x="4520" w:y="7634"/>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t>(4, 6)</w:t>
      </w:r>
    </w:p>
    <w:p>
      <w:pPr>
        <w:spacing w:after="0"/>
        <w:framePr w:w="200" w:h="52" w:wrap="auto" w:vAnchor="page" w:hAnchor="page" w:x="4520" w:y="7094"/>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t>(4, 6)</w:t>
      </w:r>
    </w:p>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rFonts w:ascii="Times New Roman" w:cs="Times New Roman" w:eastAsia="Times New Roman" w:hAnsi="Times New Roman"/>
          <w:sz w:val="4"/>
          <w:szCs w:val="4"/>
          <w:color w:val="005A64"/>
        </w:rPr>
      </w:pPr>
    </w:p>
    <w:p>
      <w:pPr>
        <w:spacing w:after="0" w:line="200" w:lineRule="exact"/>
        <w:rPr>
          <w:rFonts w:ascii="Times New Roman" w:cs="Times New Roman" w:eastAsia="Times New Roman" w:hAnsi="Times New Roman"/>
          <w:sz w:val="4"/>
          <w:szCs w:val="4"/>
          <w:color w:val="005A64"/>
        </w:rPr>
      </w:pPr>
    </w:p>
    <w:p>
      <w:pPr>
        <w:spacing w:after="0" w:line="200" w:lineRule="exact"/>
        <w:rPr>
          <w:rFonts w:ascii="Times New Roman" w:cs="Times New Roman" w:eastAsia="Times New Roman" w:hAnsi="Times New Roman"/>
          <w:sz w:val="4"/>
          <w:szCs w:val="4"/>
          <w:color w:val="005A64"/>
        </w:rPr>
      </w:pPr>
    </w:p>
    <w:p>
      <w:pPr>
        <w:spacing w:after="0" w:line="200" w:lineRule="exact"/>
        <w:rPr>
          <w:rFonts w:ascii="Times New Roman" w:cs="Times New Roman" w:eastAsia="Times New Roman" w:hAnsi="Times New Roman"/>
          <w:sz w:val="4"/>
          <w:szCs w:val="4"/>
          <w:color w:val="005A64"/>
        </w:rPr>
      </w:pPr>
    </w:p>
    <w:p>
      <w:pPr>
        <w:spacing w:after="0" w:line="200" w:lineRule="exact"/>
        <w:rPr>
          <w:rFonts w:ascii="Times New Roman" w:cs="Times New Roman" w:eastAsia="Times New Roman" w:hAnsi="Times New Roman"/>
          <w:sz w:val="4"/>
          <w:szCs w:val="4"/>
          <w:color w:val="005A64"/>
        </w:rPr>
      </w:pPr>
    </w:p>
    <w:p>
      <w:pPr>
        <w:spacing w:after="0" w:line="342" w:lineRule="exact"/>
        <w:rPr>
          <w:rFonts w:ascii="Times New Roman" w:cs="Times New Roman" w:eastAsia="Times New Roman" w:hAnsi="Times New Roman"/>
          <w:sz w:val="4"/>
          <w:szCs w:val="4"/>
          <w:color w:val="005A64"/>
        </w:rPr>
      </w:pPr>
    </w:p>
    <w:p>
      <w:pPr>
        <w:spacing w:after="0"/>
        <w:rPr>
          <w:sz w:val="20"/>
          <w:szCs w:val="20"/>
          <w:color w:val="auto"/>
        </w:rPr>
      </w:pPr>
      <w:r>
        <w:rPr>
          <w:rFonts w:ascii="Times New Roman" w:cs="Times New Roman" w:eastAsia="Times New Roman" w:hAnsi="Times New Roman"/>
          <w:sz w:val="20"/>
          <w:szCs w:val="20"/>
          <w:color w:val="005A64"/>
        </w:rPr>
        <w:t>Oncology</w:t>
      </w:r>
    </w:p>
    <w:p>
      <w:pPr>
        <w:spacing w:after="0" w:line="180" w:lineRule="exact"/>
        <w:rPr>
          <w:rFonts w:ascii="Times New Roman" w:cs="Times New Roman" w:eastAsia="Times New Roman" w:hAnsi="Times New Roman"/>
          <w:sz w:val="4"/>
          <w:szCs w:val="4"/>
          <w:color w:val="005A64"/>
        </w:rPr>
      </w:pPr>
    </w:p>
    <w:p>
      <w:pPr>
        <w:spacing w:after="0"/>
        <w:rPr>
          <w:sz w:val="20"/>
          <w:szCs w:val="20"/>
          <w:color w:val="auto"/>
        </w:rPr>
      </w:pPr>
      <w:r>
        <w:rPr>
          <w:rFonts w:ascii="Times New Roman" w:cs="Times New Roman" w:eastAsia="Times New Roman" w:hAnsi="Times New Roman"/>
          <w:sz w:val="18"/>
          <w:szCs w:val="18"/>
          <w:color w:val="005A64"/>
        </w:rPr>
        <w:t>mRNA Cancer Immunotherapies</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2228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ectPr>
          <w:pgSz w:w="11900" w:h="16838" w:orient="portrait"/>
          <w:cols w:equalWidth="0" w:num="1">
            <w:col w:w="11240"/>
          </w:cols>
          <w:pgMar w:left="320" w:top="167" w:right="339" w:bottom="293" w:gutter="0" w:footer="0" w:header="0"/>
        </w:sectPr>
      </w:pPr>
    </w:p>
    <w:p>
      <w:pPr>
        <w:spacing w:after="0" w:line="246" w:lineRule="exact"/>
        <w:rPr>
          <w:rFonts w:ascii="Times New Roman" w:cs="Times New Roman" w:eastAsia="Times New Roman" w:hAnsi="Times New Roman"/>
          <w:sz w:val="4"/>
          <w:szCs w:val="4"/>
          <w:color w:val="005A64"/>
        </w:rPr>
      </w:pPr>
    </w:p>
    <w:tbl>
      <w:tblPr>
        <w:tblLayout w:type="fixed"/>
        <w:tblInd w:w="120" w:type="dxa"/>
        <w:tblCellMar>
          <w:top w:w="0" w:type="dxa"/>
          <w:left w:w="0" w:type="dxa"/>
          <w:bottom w:w="0" w:type="dxa"/>
          <w:right w:w="0" w:type="dxa"/>
        </w:tblCellMar>
      </w:tblPr>
      <w:tr>
        <w:trPr>
          <w:trHeight w:val="118"/>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Platform</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Product candidate</w:t>
            </w:r>
          </w:p>
        </w:tc>
        <w:tc>
          <w:tcPr>
            <w:tcW w:w="104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107072"/>
              </w:rPr>
              <w:t>Target</w:t>
            </w:r>
          </w:p>
        </w:tc>
        <w:tc>
          <w:tcPr>
            <w:tcW w:w="0" w:type="dxa"/>
            <w:vAlign w:val="bottom"/>
          </w:tcPr>
          <w:p>
            <w:pPr>
              <w:spacing w:after="0"/>
              <w:rPr>
                <w:sz w:val="1"/>
                <w:szCs w:val="1"/>
                <w:color w:val="auto"/>
              </w:rPr>
            </w:pPr>
          </w:p>
        </w:tc>
      </w:tr>
      <w:tr>
        <w:trPr>
          <w:trHeight w:val="81"/>
        </w:trPr>
        <w:tc>
          <w:tcPr>
            <w:tcW w:w="104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9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BNT111</w:t>
            </w:r>
          </w:p>
        </w:tc>
        <w:tc>
          <w:tcPr>
            <w:tcW w:w="104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NY-ESO-1, MAGE-A3,</w:t>
            </w: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tyrosinase, TPTE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A8C7CA"/>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FixVac</w:t>
            </w: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BNT113</w:t>
            </w:r>
          </w:p>
        </w:tc>
        <w:tc>
          <w:tcPr>
            <w:tcW w:w="104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E6, E7</w:t>
            </w:r>
          </w:p>
        </w:tc>
        <w:tc>
          <w:tcPr>
            <w:tcW w:w="0" w:type="dxa"/>
            <w:vAlign w:val="bottom"/>
          </w:tcPr>
          <w:p>
            <w:pPr>
              <w:spacing w:after="0"/>
              <w:rPr>
                <w:sz w:val="1"/>
                <w:szCs w:val="1"/>
                <w:color w:val="auto"/>
              </w:rPr>
            </w:pPr>
          </w:p>
        </w:tc>
      </w:tr>
      <w:tr>
        <w:trPr>
          <w:trHeight w:val="41"/>
        </w:trPr>
        <w:tc>
          <w:tcPr>
            <w:tcW w:w="1040" w:type="dxa"/>
            <w:vAlign w:val="bottom"/>
            <w:gridSpan w:val="2"/>
            <w:vMerge w:val="continue"/>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1040" w:type="dxa"/>
            <w:vAlign w:val="bottom"/>
            <w:gridSpan w:val="2"/>
            <w:vMerge w:val="continue"/>
          </w:tcPr>
          <w:p>
            <w:pPr>
              <w:spacing w:after="0"/>
              <w:rPr>
                <w:sz w:val="5"/>
                <w:szCs w:val="5"/>
                <w:color w:val="auto"/>
              </w:rPr>
            </w:pPr>
          </w:p>
        </w:tc>
        <w:tc>
          <w:tcPr>
            <w:tcW w:w="1220" w:type="dxa"/>
            <w:vAlign w:val="bottom"/>
            <w:tcBorders>
              <w:bottom w:val="single" w:sz="8" w:color="A8C7CA"/>
            </w:tcBorders>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MAGE-A3, CLDN6, KK-</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BNT116</w:t>
            </w:r>
          </w:p>
        </w:tc>
        <w:tc>
          <w:tcPr>
            <w:tcW w:w="104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LC-1, PRAME, MAGE-</w:t>
            </w: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A4, MAGE-C1</w:t>
            </w:r>
          </w:p>
        </w:tc>
        <w:tc>
          <w:tcPr>
            <w:tcW w:w="0" w:type="dxa"/>
            <w:vAlign w:val="bottom"/>
          </w:tcPr>
          <w:p>
            <w:pPr>
              <w:spacing w:after="0"/>
              <w:rPr>
                <w:sz w:val="1"/>
                <w:szCs w:val="1"/>
                <w:color w:val="auto"/>
              </w:rPr>
            </w:pPr>
          </w:p>
        </w:tc>
      </w:tr>
      <w:tr>
        <w:trPr>
          <w:trHeight w:val="163"/>
        </w:trPr>
        <w:tc>
          <w:tcPr>
            <w:tcW w:w="920" w:type="dxa"/>
            <w:vAlign w:val="bottom"/>
            <w:tcBorders>
              <w:bottom w:val="single" w:sz="8" w:color="DBDBDB"/>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DBDBDB"/>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Autogene cevumeran</w:t>
            </w:r>
          </w:p>
        </w:tc>
        <w:tc>
          <w:tcPr>
            <w:tcW w:w="104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Patient-specific</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br w:type="column"/>
      </w:r>
    </w:p>
    <w:p>
      <w:pPr>
        <w:spacing w:after="0" w:line="191" w:lineRule="exact"/>
        <w:rPr>
          <w:rFonts w:ascii="Times New Roman" w:cs="Times New Roman" w:eastAsia="Times New Roman" w:hAnsi="Times New Roman"/>
          <w:sz w:val="4"/>
          <w:szCs w:val="4"/>
          <w:color w:val="005A64"/>
        </w:rPr>
      </w:pPr>
    </w:p>
    <w:p>
      <w:pPr>
        <w:spacing w:after="0" w:line="1" w:lineRule="exact"/>
        <w:rPr>
          <w:rFonts w:ascii="Times New Roman" w:cs="Times New Roman" w:eastAsia="Times New Roman" w:hAnsi="Times New Roman"/>
          <w:sz w:val="1"/>
          <w:szCs w:val="1"/>
          <w:color w:val="005A64"/>
        </w:rPr>
      </w:pPr>
    </w:p>
    <w:tbl>
      <w:tblPr>
        <w:tblLayout w:type="fixed"/>
        <w:tblInd w:w="0" w:type="dxa"/>
        <w:tblCellMar>
          <w:top w:w="0" w:type="dxa"/>
          <w:left w:w="0" w:type="dxa"/>
          <w:bottom w:w="0" w:type="dxa"/>
          <w:right w:w="0" w:type="dxa"/>
        </w:tblCellMar>
      </w:tblPr>
      <w:tr>
        <w:trPr>
          <w:trHeight w:val="12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Indication</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9"/>
                <w:szCs w:val="9"/>
                <w:i w:val="1"/>
                <w:iCs w:val="1"/>
                <w:color w:val="005A64"/>
              </w:rPr>
              <w:t>Phase 1/2</w:t>
            </w: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9"/>
                <w:szCs w:val="9"/>
                <w:i w:val="1"/>
                <w:iCs w:val="1"/>
                <w:color w:val="005A64"/>
              </w:rPr>
              <w:t>Phase 2</w:t>
            </w: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9"/>
                <w:szCs w:val="9"/>
                <w:i w:val="1"/>
                <w:iCs w:val="1"/>
                <w:color w:val="005A64"/>
              </w:rPr>
              <w:t>Phase 3</w:t>
            </w: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107072"/>
              </w:rPr>
              <w:t>BioNTech rights</w:t>
            </w:r>
            <w:r>
              <w:rPr>
                <w:rFonts w:ascii="Times New Roman" w:cs="Times New Roman" w:eastAsia="Times New Roman" w:hAnsi="Times New Roman"/>
                <w:sz w:val="11"/>
                <w:szCs w:val="11"/>
                <w:b w:val="1"/>
                <w:bCs w:val="1"/>
                <w:color w:val="107072"/>
                <w:vertAlign w:val="superscript"/>
              </w:rPr>
              <w:t>(1)</w:t>
            </w:r>
          </w:p>
        </w:tc>
        <w:tc>
          <w:tcPr>
            <w:tcW w:w="0" w:type="dxa"/>
            <w:vAlign w:val="bottom"/>
          </w:tcPr>
          <w:p>
            <w:pPr>
              <w:spacing w:after="0"/>
              <w:rPr>
                <w:sz w:val="1"/>
                <w:szCs w:val="1"/>
                <w:color w:val="auto"/>
              </w:rPr>
            </w:pPr>
          </w:p>
        </w:tc>
      </w:tr>
      <w:tr>
        <w:trPr>
          <w:trHeight w:val="128"/>
        </w:trPr>
        <w:tc>
          <w:tcPr>
            <w:tcW w:w="2160" w:type="dxa"/>
            <w:vAlign w:val="bottom"/>
            <w:tcBorders>
              <w:bottom w:val="single" w:sz="8" w:color="005A64"/>
            </w:tcBorders>
          </w:tcPr>
          <w:p>
            <w:pPr>
              <w:spacing w:after="0"/>
              <w:rPr>
                <w:sz w:val="11"/>
                <w:szCs w:val="11"/>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9"/>
                <w:szCs w:val="9"/>
                <w:i w:val="1"/>
                <w:iCs w:val="1"/>
                <w:color w:val="005A64"/>
              </w:rPr>
              <w:t>Phase 1</w:t>
            </w: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880" w:type="dxa"/>
            <w:vAlign w:val="bottom"/>
            <w:tcBorders>
              <w:bottom w:val="single" w:sz="8" w:color="005A64"/>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bottom w:val="single" w:sz="8" w:color="005A64"/>
            </w:tcBorders>
          </w:tcPr>
          <w:p>
            <w:pPr>
              <w:ind w:left="20"/>
              <w:spacing w:after="0"/>
              <w:rPr>
                <w:sz w:val="20"/>
                <w:szCs w:val="20"/>
                <w:color w:val="auto"/>
              </w:rPr>
            </w:pPr>
            <w:r>
              <w:rPr>
                <w:rFonts w:ascii="Times New Roman" w:cs="Times New Roman" w:eastAsia="Times New Roman" w:hAnsi="Times New Roman"/>
                <w:sz w:val="9"/>
                <w:szCs w:val="9"/>
                <w:b w:val="1"/>
                <w:bCs w:val="1"/>
                <w:color w:val="107072"/>
              </w:rPr>
              <w:t>Collaborator/Partner</w:t>
            </w:r>
          </w:p>
        </w:tc>
        <w:tc>
          <w:tcPr>
            <w:tcW w:w="0" w:type="dxa"/>
            <w:vAlign w:val="bottom"/>
          </w:tcPr>
          <w:p>
            <w:pPr>
              <w:spacing w:after="0"/>
              <w:rPr>
                <w:sz w:val="1"/>
                <w:szCs w:val="1"/>
                <w:color w:val="auto"/>
              </w:rPr>
            </w:pPr>
          </w:p>
        </w:tc>
      </w:tr>
    </w:tbl>
    <w:p>
      <w:pPr>
        <w:spacing w:after="0" w:line="220" w:lineRule="exact"/>
        <w:rPr>
          <w:rFonts w:ascii="Times New Roman" w:cs="Times New Roman" w:eastAsia="Times New Roman" w:hAnsi="Times New Roman"/>
          <w:sz w:val="4"/>
          <w:szCs w:val="4"/>
          <w:color w:val="005A64"/>
        </w:rPr>
      </w:pPr>
    </w:p>
    <w:p>
      <w:pPr>
        <w:ind w:left="20"/>
        <w:spacing w:after="0"/>
        <w:rPr>
          <w:sz w:val="20"/>
          <w:szCs w:val="20"/>
          <w:color w:val="auto"/>
        </w:rPr>
      </w:pPr>
      <w:r>
        <w:rPr>
          <w:rFonts w:ascii="Times New Roman" w:cs="Times New Roman" w:eastAsia="Times New Roman" w:hAnsi="Times New Roman"/>
          <w:sz w:val="9"/>
          <w:szCs w:val="9"/>
          <w:color w:val="005A64"/>
        </w:rPr>
        <w:t>Advanced, R/R melanoma</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13798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68" w:lineRule="exact"/>
        <w:rPr>
          <w:rFonts w:ascii="Times New Roman" w:cs="Times New Roman" w:eastAsia="Times New Roman" w:hAnsi="Times New Roman"/>
          <w:sz w:val="4"/>
          <w:szCs w:val="4"/>
          <w:color w:val="005A64"/>
        </w:rPr>
      </w:pPr>
    </w:p>
    <w:p>
      <w:pPr>
        <w:ind w:left="20"/>
        <w:spacing w:after="0"/>
        <w:rPr>
          <w:sz w:val="20"/>
          <w:szCs w:val="20"/>
          <w:color w:val="auto"/>
        </w:rPr>
      </w:pPr>
      <w:r>
        <w:rPr>
          <w:rFonts w:ascii="Times New Roman" w:cs="Times New Roman" w:eastAsia="Times New Roman" w:hAnsi="Times New Roman"/>
          <w:sz w:val="9"/>
          <w:szCs w:val="9"/>
          <w:color w:val="005A64"/>
        </w:rPr>
        <w:t xml:space="preserve">Metastatic / R/R HPV16+ head and neck cancer </w:t>
      </w:r>
      <w:r>
        <w:rPr>
          <w:rFonts w:ascii="Times New Roman" w:cs="Times New Roman" w:eastAsia="Times New Roman" w:hAnsi="Times New Roman"/>
          <w:sz w:val="11"/>
          <w:szCs w:val="11"/>
          <w:color w:val="005A64"/>
          <w:vertAlign w:val="superscript"/>
        </w:rPr>
        <w:t>(5)</w:t>
      </w:r>
    </w:p>
    <w:p>
      <w:pPr>
        <w:spacing w:after="0" w:line="5" w:lineRule="exact"/>
        <w:rPr>
          <w:rFonts w:ascii="Times New Roman" w:cs="Times New Roman" w:eastAsia="Times New Roman" w:hAnsi="Times New Roman"/>
          <w:sz w:val="4"/>
          <w:szCs w:val="4"/>
          <w:color w:val="005A64"/>
        </w:rPr>
      </w:pPr>
    </w:p>
    <w:p>
      <w:pPr>
        <w:jc w:val="right"/>
        <w:ind w:right="1420"/>
        <w:spacing w:after="0"/>
        <w:rPr>
          <w:sz w:val="20"/>
          <w:szCs w:val="20"/>
          <w:color w:val="auto"/>
        </w:rPr>
      </w:pPr>
      <w:r>
        <w:rPr>
          <w:rFonts w:ascii="Times New Roman" w:cs="Times New Roman" w:eastAsia="Times New Roman" w:hAnsi="Times New Roman"/>
          <w:sz w:val="9"/>
          <w:szCs w:val="9"/>
          <w:color w:val="005A64"/>
        </w:rPr>
        <w:t>Fully owned</w:t>
      </w:r>
      <w:r>
        <w:rPr>
          <w:rFonts w:ascii="Times New Roman" w:cs="Times New Roman" w:eastAsia="Times New Roman" w:hAnsi="Times New Roman"/>
          <w:sz w:val="11"/>
          <w:szCs w:val="11"/>
          <w:color w:val="005A64"/>
          <w:vertAlign w:val="superscript"/>
        </w:rPr>
        <w:t>(2)</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-4445</wp:posOffset>
            </wp:positionH>
            <wp:positionV relativeFrom="paragraph">
              <wp:posOffset>-20320</wp:posOffset>
            </wp:positionV>
            <wp:extent cx="13798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33" w:lineRule="exact"/>
        <w:rPr>
          <w:rFonts w:ascii="Times New Roman" w:cs="Times New Roman" w:eastAsia="Times New Roman" w:hAnsi="Times New Roman"/>
          <w:sz w:val="4"/>
          <w:szCs w:val="4"/>
          <w:color w:val="005A64"/>
        </w:rPr>
      </w:pPr>
    </w:p>
    <w:p>
      <w:pPr>
        <w:ind w:left="20"/>
        <w:spacing w:after="0"/>
        <w:rPr>
          <w:sz w:val="20"/>
          <w:szCs w:val="20"/>
          <w:color w:val="auto"/>
        </w:rPr>
      </w:pPr>
      <w:r>
        <w:rPr>
          <w:rFonts w:ascii="Times New Roman" w:cs="Times New Roman" w:eastAsia="Times New Roman" w:hAnsi="Times New Roman"/>
          <w:sz w:val="9"/>
          <w:szCs w:val="9"/>
          <w:color w:val="005A64"/>
        </w:rPr>
        <w:t>1L metastatic NSCLC</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13798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28" w:lineRule="exact"/>
        <w:rPr>
          <w:rFonts w:ascii="Times New Roman" w:cs="Times New Roman" w:eastAsia="Times New Roman" w:hAnsi="Times New Roman"/>
          <w:sz w:val="4"/>
          <w:szCs w:val="4"/>
          <w:color w:val="005A64"/>
        </w:rPr>
      </w:pPr>
    </w:p>
    <w:p>
      <w:pPr>
        <w:ind w:left="20"/>
        <w:spacing w:after="0"/>
        <w:rPr>
          <w:sz w:val="20"/>
          <w:szCs w:val="20"/>
          <w:color w:val="auto"/>
        </w:rPr>
      </w:pPr>
      <w:r>
        <w:rPr>
          <w:rFonts w:ascii="Times New Roman" w:cs="Times New Roman" w:eastAsia="Times New Roman" w:hAnsi="Times New Roman"/>
          <w:sz w:val="9"/>
          <w:szCs w:val="9"/>
          <w:color w:val="005A64"/>
        </w:rPr>
        <w:t>Advanced/metastatic NSCLC</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13798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9855" cy="825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102870</wp:posOffset>
            </wp:positionV>
            <wp:extent cx="12515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14" w:lineRule="exact"/>
        <w:rPr>
          <w:rFonts w:ascii="Times New Roman" w:cs="Times New Roman" w:eastAsia="Times New Roman" w:hAnsi="Times New Roman"/>
          <w:sz w:val="4"/>
          <w:szCs w:val="4"/>
          <w:color w:val="005A64"/>
        </w:rPr>
      </w:pPr>
    </w:p>
    <w:p>
      <w:pPr>
        <w:ind w:left="20"/>
        <w:spacing w:after="0"/>
        <w:rPr>
          <w:sz w:val="20"/>
          <w:szCs w:val="20"/>
          <w:color w:val="auto"/>
        </w:rPr>
      </w:pPr>
      <w:r>
        <w:rPr>
          <w:rFonts w:ascii="Times New Roman" w:cs="Times New Roman" w:eastAsia="Times New Roman" w:hAnsi="Times New Roman"/>
          <w:sz w:val="9"/>
          <w:szCs w:val="9"/>
          <w:color w:val="005A64"/>
        </w:rPr>
        <w:t>Adjuvant colorectal cancer</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-4445</wp:posOffset>
            </wp:positionH>
            <wp:positionV relativeFrom="paragraph">
              <wp:posOffset>43180</wp:posOffset>
            </wp:positionV>
            <wp:extent cx="13798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07" w:lineRule="exact"/>
        <w:rPr>
          <w:rFonts w:ascii="Times New Roman" w:cs="Times New Roman" w:eastAsia="Times New Roman" w:hAnsi="Times New Roman"/>
          <w:sz w:val="4"/>
          <w:szCs w:val="4"/>
          <w:color w:val="005A64"/>
        </w:rPr>
      </w:pPr>
    </w:p>
    <w:p>
      <w:pPr>
        <w:ind w:left="20"/>
        <w:spacing w:after="0"/>
        <w:rPr>
          <w:sz w:val="20"/>
          <w:szCs w:val="20"/>
          <w:color w:val="auto"/>
        </w:rPr>
      </w:pPr>
      <w:r>
        <w:rPr>
          <w:rFonts w:ascii="Times New Roman" w:cs="Times New Roman" w:eastAsia="Times New Roman" w:hAnsi="Times New Roman"/>
          <w:sz w:val="9"/>
          <w:szCs w:val="9"/>
          <w:color w:val="005A64"/>
        </w:rPr>
        <w:t>Adjuvant muscle-invasive urothelial carcinoma</w:t>
      </w:r>
    </w:p>
    <w:p>
      <w:pPr>
        <w:spacing w:after="0" w:line="1" w:lineRule="exact"/>
        <w:rPr>
          <w:rFonts w:ascii="Times New Roman" w:cs="Times New Roman" w:eastAsia="Times New Roman" w:hAnsi="Times New Roman"/>
          <w:sz w:val="4"/>
          <w:szCs w:val="4"/>
          <w:color w:val="005A64"/>
        </w:rPr>
      </w:pPr>
    </w:p>
    <w:p>
      <w:pPr>
        <w:sectPr>
          <w:pgSz w:w="11900" w:h="16838" w:orient="portrait"/>
          <w:cols w:equalWidth="0" w:num="2">
            <w:col w:w="3500" w:space="120"/>
            <w:col w:w="7620"/>
          </w:cols>
          <w:pgMar w:left="320" w:top="167" w:right="339" w:bottom="293" w:gutter="0" w:footer="0" w:header="0"/>
          <w:type w:val="continuous"/>
        </w:sectPr>
      </w:pPr>
    </w:p>
    <w:p>
      <w:pPr>
        <w:spacing w:after="0" w:line="28" w:lineRule="exact"/>
        <w:rPr>
          <w:rFonts w:ascii="Times New Roman" w:cs="Times New Roman" w:eastAsia="Times New Roman" w:hAnsi="Times New Roman"/>
          <w:sz w:val="4"/>
          <w:szCs w:val="4"/>
          <w:color w:val="005A64"/>
        </w:rPr>
      </w:pPr>
    </w:p>
    <w:tbl>
      <w:tblPr>
        <w:tblLayout w:type="fixed"/>
        <w:tblInd w:w="120" w:type="dxa"/>
        <w:tblCellMar>
          <w:top w:w="0" w:type="dxa"/>
          <w:left w:w="0" w:type="dxa"/>
          <w:bottom w:w="0" w:type="dxa"/>
          <w:right w:w="0" w:type="dxa"/>
        </w:tblCellMar>
      </w:tblPr>
      <w:tr>
        <w:trPr>
          <w:trHeight w:val="132"/>
        </w:trPr>
        <w:tc>
          <w:tcPr>
            <w:tcW w:w="28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107072"/>
                <w:w w:val="99"/>
              </w:rPr>
              <w:t>iNeST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(BNT122 / RO719845)</w:t>
            </w:r>
          </w:p>
        </w:tc>
        <w:tc>
          <w:tcPr>
            <w:tcW w:w="104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neoantigens</w:t>
            </w:r>
          </w:p>
        </w:tc>
        <w:tc>
          <w:tcPr>
            <w:tcW w:w="0" w:type="dxa"/>
            <w:vAlign w:val="bottom"/>
          </w:tcPr>
          <w:p>
            <w:pPr>
              <w:spacing w:after="0"/>
              <w:rPr>
                <w:sz w:val="1"/>
                <w:szCs w:val="1"/>
                <w:color w:val="auto"/>
              </w:rPr>
            </w:pPr>
          </w:p>
        </w:tc>
      </w:tr>
      <w:tr>
        <w:trPr>
          <w:trHeight w:val="406"/>
        </w:trPr>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04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RiboCytokines</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BNT152 + BNT153</w:t>
            </w:r>
          </w:p>
        </w:tc>
        <w:tc>
          <w:tcPr>
            <w:tcW w:w="104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IL-7, IL-2</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80" w:type="dxa"/>
            <w:vAlign w:val="bottom"/>
            <w:tcBorders>
              <w:bottom w:val="single" w:sz="8" w:color="005A64"/>
            </w:tcBorders>
          </w:tcPr>
          <w:p>
            <w:pPr>
              <w:spacing w:after="0"/>
              <w:rPr>
                <w:sz w:val="14"/>
                <w:szCs w:val="14"/>
                <w:color w:val="auto"/>
              </w:rPr>
            </w:pPr>
          </w:p>
        </w:tc>
        <w:tc>
          <w:tcPr>
            <w:tcW w:w="640" w:type="dxa"/>
            <w:vAlign w:val="bottom"/>
            <w:tcBorders>
              <w:bottom w:val="single" w:sz="8" w:color="005A64"/>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005A64"/>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005A64"/>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br w:type="column"/>
      </w:r>
    </w:p>
    <w:p>
      <w:pPr>
        <w:spacing w:after="0" w:line="131" w:lineRule="exact"/>
        <w:rPr>
          <w:rFonts w:ascii="Times New Roman" w:cs="Times New Roman" w:eastAsia="Times New Roman" w:hAnsi="Times New Roman"/>
          <w:sz w:val="4"/>
          <w:szCs w:val="4"/>
          <w:color w:val="005A64"/>
        </w:rPr>
      </w:pPr>
    </w:p>
    <w:p>
      <w:pPr>
        <w:spacing w:after="0"/>
        <w:rPr>
          <w:sz w:val="20"/>
          <w:szCs w:val="20"/>
          <w:color w:val="auto"/>
        </w:rPr>
      </w:pPr>
      <w:r>
        <w:rPr>
          <w:rFonts w:ascii="Times New Roman" w:cs="Times New Roman" w:eastAsia="Times New Roman" w:hAnsi="Times New Roman"/>
          <w:sz w:val="9"/>
          <w:szCs w:val="9"/>
          <w:color w:val="005A64"/>
        </w:rPr>
        <w:t>Adjuvant pancreatic ductal adenocarcinoma</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13798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9855"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-110490</wp:posOffset>
            </wp:positionV>
            <wp:extent cx="13798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20" w:lineRule="exact"/>
        <w:rPr>
          <w:rFonts w:ascii="Times New Roman" w:cs="Times New Roman" w:eastAsia="Times New Roman" w:hAnsi="Times New Roman"/>
          <w:sz w:val="4"/>
          <w:szCs w:val="4"/>
          <w:color w:val="005A64"/>
        </w:rPr>
      </w:pPr>
    </w:p>
    <w:p>
      <w:pPr>
        <w:spacing w:after="0"/>
        <w:rPr>
          <w:sz w:val="20"/>
          <w:szCs w:val="20"/>
          <w:color w:val="auto"/>
        </w:rPr>
      </w:pPr>
      <w:r>
        <w:rPr>
          <w:rFonts w:ascii="Times New Roman" w:cs="Times New Roman" w:eastAsia="Times New Roman" w:hAnsi="Times New Roman"/>
          <w:sz w:val="9"/>
          <w:szCs w:val="9"/>
          <w:color w:val="005A64"/>
        </w:rPr>
        <w:t>Multiple solid tumors</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13798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74" w:lineRule="exact"/>
        <w:rPr>
          <w:rFonts w:ascii="Times New Roman" w:cs="Times New Roman" w:eastAsia="Times New Roman" w:hAnsi="Times New Roman"/>
          <w:sz w:val="4"/>
          <w:szCs w:val="4"/>
          <w:color w:val="005A64"/>
        </w:rPr>
      </w:pPr>
    </w:p>
    <w:p>
      <w:pPr>
        <w:spacing w:after="0"/>
        <w:rPr>
          <w:sz w:val="20"/>
          <w:szCs w:val="20"/>
          <w:color w:val="auto"/>
        </w:rPr>
      </w:pPr>
      <w:r>
        <w:rPr>
          <w:rFonts w:ascii="Times New Roman" w:cs="Times New Roman" w:eastAsia="Times New Roman" w:hAnsi="Times New Roman"/>
          <w:sz w:val="9"/>
          <w:szCs w:val="9"/>
          <w:color w:val="005A64"/>
        </w:rPr>
        <w:t>Multiple solid tumors</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-17145</wp:posOffset>
            </wp:positionH>
            <wp:positionV relativeFrom="paragraph">
              <wp:posOffset>137160</wp:posOffset>
            </wp:positionV>
            <wp:extent cx="13798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br w:type="column"/>
      </w:r>
    </w:p>
    <w:p>
      <w:pPr>
        <w:spacing w:after="0" w:line="180" w:lineRule="auto"/>
        <w:tabs>
          <w:tab w:leader="none" w:pos="1000" w:val="left"/>
        </w:tabs>
        <w:rPr>
          <w:sz w:val="20"/>
          <w:szCs w:val="20"/>
          <w:color w:val="auto"/>
        </w:rPr>
      </w:pPr>
      <w:r>
        <w:rPr>
          <w:rFonts w:ascii="Times New Roman" w:cs="Times New Roman" w:eastAsia="Times New Roman" w:hAnsi="Times New Roman"/>
          <w:sz w:val="17"/>
          <w:szCs w:val="17"/>
          <w:color w:val="005A64"/>
          <w:vertAlign w:val="subscript"/>
        </w:rPr>
        <w:t>Collaboration</w:t>
      </w:r>
      <w:r>
        <w:rPr>
          <w:sz w:val="20"/>
          <w:szCs w:val="20"/>
          <w:color w:val="auto"/>
        </w:rPr>
        <w:tab/>
      </w:r>
      <w:r>
        <w:rPr>
          <w:rFonts w:ascii="Times New Roman" w:cs="Times New Roman" w:eastAsia="Times New Roman" w:hAnsi="Times New Roman"/>
          <w:sz w:val="9"/>
          <w:szCs w:val="9"/>
          <w:color w:val="005A64"/>
        </w:rPr>
        <w:t>Genentech</w:t>
      </w:r>
      <w:r>
        <w:rPr>
          <w:rFonts w:ascii="Times New Roman" w:cs="Times New Roman" w:eastAsia="Times New Roman" w:hAnsi="Times New Roman"/>
          <w:sz w:val="10"/>
          <w:szCs w:val="10"/>
          <w:color w:val="005A64"/>
          <w:vertAlign w:val="superscript"/>
        </w:rPr>
        <w:t>(3)</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635635</wp:posOffset>
            </wp:positionH>
            <wp:positionV relativeFrom="paragraph">
              <wp:posOffset>266065</wp:posOffset>
            </wp:positionV>
            <wp:extent cx="6083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00" w:lineRule="exact"/>
        <w:rPr>
          <w:rFonts w:ascii="Times New Roman" w:cs="Times New Roman" w:eastAsia="Times New Roman" w:hAnsi="Times New Roman"/>
          <w:sz w:val="4"/>
          <w:szCs w:val="4"/>
          <w:color w:val="005A64"/>
        </w:rPr>
      </w:pPr>
    </w:p>
    <w:p>
      <w:pPr>
        <w:spacing w:after="0" w:line="393" w:lineRule="exact"/>
        <w:rPr>
          <w:rFonts w:ascii="Times New Roman" w:cs="Times New Roman" w:eastAsia="Times New Roman" w:hAnsi="Times New Roman"/>
          <w:sz w:val="4"/>
          <w:szCs w:val="4"/>
          <w:color w:val="005A64"/>
        </w:rPr>
      </w:pPr>
    </w:p>
    <w:p>
      <w:pPr>
        <w:spacing w:after="0"/>
        <w:rPr>
          <w:sz w:val="20"/>
          <w:szCs w:val="20"/>
          <w:color w:val="auto"/>
        </w:rPr>
      </w:pPr>
      <w:r>
        <w:rPr>
          <w:rFonts w:ascii="Times New Roman" w:cs="Times New Roman" w:eastAsia="Times New Roman" w:hAnsi="Times New Roman"/>
          <w:sz w:val="9"/>
          <w:szCs w:val="9"/>
          <w:color w:val="005A64"/>
        </w:rPr>
        <w:t>Fully owned</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-6350</wp:posOffset>
            </wp:positionH>
            <wp:positionV relativeFrom="paragraph">
              <wp:posOffset>94615</wp:posOffset>
            </wp:positionV>
            <wp:extent cx="12515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62" w:lineRule="exact"/>
        <w:rPr>
          <w:rFonts w:ascii="Times New Roman" w:cs="Times New Roman" w:eastAsia="Times New Roman" w:hAnsi="Times New Roman"/>
          <w:sz w:val="4"/>
          <w:szCs w:val="4"/>
          <w:color w:val="005A64"/>
        </w:rPr>
      </w:pPr>
    </w:p>
    <w:p>
      <w:pPr>
        <w:sectPr>
          <w:pgSz w:w="11900" w:h="16838" w:orient="portrait"/>
          <w:cols w:equalWidth="0" w:num="3">
            <w:col w:w="3500" w:space="140"/>
            <w:col w:w="4920" w:space="720"/>
            <w:col w:w="1960"/>
          </w:cols>
          <w:pgMar w:left="320" w:top="167" w:right="339" w:bottom="293" w:gutter="0" w:footer="0" w:header="0"/>
          <w:type w:val="continuous"/>
        </w:sectPr>
      </w:pPr>
    </w:p>
    <w:p>
      <w:pPr>
        <w:spacing w:after="0" w:line="160" w:lineRule="exact"/>
        <w:rPr>
          <w:rFonts w:ascii="Times New Roman" w:cs="Times New Roman" w:eastAsia="Times New Roman" w:hAnsi="Times New Roman"/>
          <w:sz w:val="4"/>
          <w:szCs w:val="4"/>
          <w:color w:val="005A64"/>
        </w:rPr>
      </w:pPr>
    </w:p>
    <w:p>
      <w:pPr>
        <w:spacing w:after="0"/>
        <w:rPr>
          <w:sz w:val="20"/>
          <w:szCs w:val="20"/>
          <w:color w:val="auto"/>
        </w:rPr>
      </w:pPr>
      <w:r>
        <w:rPr>
          <w:rFonts w:ascii="Times New Roman" w:cs="Times New Roman" w:eastAsia="Times New Roman" w:hAnsi="Times New Roman"/>
          <w:sz w:val="18"/>
          <w:szCs w:val="18"/>
          <w:color w:val="005A64"/>
        </w:rPr>
        <w:t>Next-generation Immunomodulators</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52717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5271770"/>
                    </a:xfrm>
                    <a:prstGeom prst="rect">
                      <a:avLst/>
                    </a:prstGeom>
                    <a:noFill/>
                  </pic:spPr>
                </pic:pic>
              </a:graphicData>
            </a:graphic>
          </wp:anchor>
        </w:drawing>
      </w:r>
    </w:p>
    <w:p>
      <w:pPr>
        <w:spacing w:after="0" w:line="191" w:lineRule="exact"/>
        <w:rPr>
          <w:rFonts w:ascii="Times New Roman" w:cs="Times New Roman" w:eastAsia="Times New Roman" w:hAnsi="Times New Roman"/>
          <w:sz w:val="4"/>
          <w:szCs w:val="4"/>
          <w:color w:val="005A64"/>
        </w:rPr>
      </w:pPr>
    </w:p>
    <w:tbl>
      <w:tblPr>
        <w:tblLayout w:type="fixed"/>
        <w:tblInd w:w="120" w:type="dxa"/>
        <w:tblCellMar>
          <w:top w:w="0" w:type="dxa"/>
          <w:left w:w="0" w:type="dxa"/>
          <w:bottom w:w="0" w:type="dxa"/>
          <w:right w:w="0" w:type="dxa"/>
        </w:tblCellMar>
      </w:tblPr>
      <w:tr>
        <w:trPr>
          <w:trHeight w:val="126"/>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Combination candidate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Target</w:t>
            </w:r>
          </w:p>
        </w:tc>
        <w:tc>
          <w:tcPr>
            <w:tcW w:w="22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107072"/>
              </w:rPr>
              <w:t>Indication</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9"/>
                <w:szCs w:val="9"/>
                <w:i w:val="1"/>
                <w:iCs w:val="1"/>
                <w:color w:val="005A64"/>
              </w:rPr>
              <w:t>Phase 1</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9"/>
                <w:szCs w:val="9"/>
                <w:i w:val="1"/>
                <w:iCs w:val="1"/>
                <w:color w:val="005A64"/>
              </w:rPr>
              <w:t>Phase 1/2</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9"/>
                <w:szCs w:val="9"/>
                <w:i w:val="1"/>
                <w:iCs w:val="1"/>
                <w:color w:val="005A64"/>
              </w:rPr>
              <w:t>Phase 2</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9"/>
                <w:szCs w:val="9"/>
                <w:i w:val="1"/>
                <w:iCs w:val="1"/>
                <w:color w:val="005A64"/>
              </w:rPr>
              <w:t>Phase 3</w:t>
            </w: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107072"/>
              </w:rPr>
              <w:t>BioNTech rights</w:t>
            </w:r>
            <w:r>
              <w:rPr>
                <w:rFonts w:ascii="Times New Roman" w:cs="Times New Roman" w:eastAsia="Times New Roman" w:hAnsi="Times New Roman"/>
                <w:sz w:val="11"/>
                <w:szCs w:val="11"/>
                <w:b w:val="1"/>
                <w:bCs w:val="1"/>
                <w:color w:val="107072"/>
                <w:vertAlign w:val="superscript"/>
              </w:rPr>
              <w:t>(1)</w:t>
            </w:r>
          </w:p>
        </w:tc>
        <w:tc>
          <w:tcPr>
            <w:tcW w:w="0" w:type="dxa"/>
            <w:vAlign w:val="bottom"/>
          </w:tcPr>
          <w:p>
            <w:pPr>
              <w:spacing w:after="0"/>
              <w:rPr>
                <w:sz w:val="1"/>
                <w:szCs w:val="1"/>
                <w:color w:val="auto"/>
              </w:rPr>
            </w:pPr>
          </w:p>
        </w:tc>
      </w:tr>
      <w:tr>
        <w:trPr>
          <w:trHeight w:val="128"/>
        </w:trPr>
        <w:tc>
          <w:tcPr>
            <w:tcW w:w="1180" w:type="dxa"/>
            <w:vAlign w:val="bottom"/>
            <w:tcBorders>
              <w:bottom w:val="single" w:sz="8" w:color="005A64"/>
            </w:tcBorders>
          </w:tcPr>
          <w:p>
            <w:pPr>
              <w:ind w:left="20"/>
              <w:spacing w:after="0"/>
              <w:rPr>
                <w:sz w:val="20"/>
                <w:szCs w:val="20"/>
                <w:color w:val="auto"/>
              </w:rPr>
            </w:pPr>
            <w:r>
              <w:rPr>
                <w:rFonts w:ascii="Times New Roman" w:cs="Times New Roman" w:eastAsia="Times New Roman" w:hAnsi="Times New Roman"/>
                <w:sz w:val="9"/>
                <w:szCs w:val="9"/>
                <w:b w:val="1"/>
                <w:bCs w:val="1"/>
                <w:color w:val="107072"/>
              </w:rPr>
              <w:t>Product candidate</w:t>
            </w:r>
          </w:p>
        </w:tc>
        <w:tc>
          <w:tcPr>
            <w:tcW w:w="100" w:type="dxa"/>
            <w:vAlign w:val="bottom"/>
          </w:tcPr>
          <w:p>
            <w:pPr>
              <w:spacing w:after="0"/>
              <w:rPr>
                <w:sz w:val="11"/>
                <w:szCs w:val="11"/>
                <w:color w:val="auto"/>
              </w:rPr>
            </w:pPr>
          </w:p>
        </w:tc>
        <w:tc>
          <w:tcPr>
            <w:tcW w:w="1040" w:type="dxa"/>
            <w:vAlign w:val="bottom"/>
            <w:tcBorders>
              <w:bottom w:val="single" w:sz="8" w:color="005A64"/>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005A64"/>
            </w:tcBorders>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Borders>
              <w:bottom w:val="single" w:sz="8" w:color="005A64"/>
            </w:tcBorders>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80" w:type="dxa"/>
            <w:vAlign w:val="bottom"/>
            <w:tcBorders>
              <w:bottom w:val="single" w:sz="8" w:color="1F5122"/>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1F5122"/>
            </w:tcBorders>
          </w:tcPr>
          <w:p>
            <w:pPr>
              <w:ind w:left="20"/>
              <w:spacing w:after="0"/>
              <w:rPr>
                <w:sz w:val="20"/>
                <w:szCs w:val="20"/>
                <w:color w:val="auto"/>
              </w:rPr>
            </w:pPr>
            <w:r>
              <w:rPr>
                <w:rFonts w:ascii="Times New Roman" w:cs="Times New Roman" w:eastAsia="Times New Roman" w:hAnsi="Times New Roman"/>
                <w:sz w:val="9"/>
                <w:szCs w:val="9"/>
                <w:b w:val="1"/>
                <w:bCs w:val="1"/>
                <w:color w:val="107072"/>
              </w:rPr>
              <w:t>Collaborator/Partner</w:t>
            </w:r>
          </w:p>
        </w:tc>
        <w:tc>
          <w:tcPr>
            <w:tcW w:w="0" w:type="dxa"/>
            <w:vAlign w:val="bottom"/>
          </w:tcPr>
          <w:p>
            <w:pPr>
              <w:spacing w:after="0"/>
              <w:rPr>
                <w:sz w:val="1"/>
                <w:szCs w:val="1"/>
                <w:color w:val="auto"/>
              </w:rPr>
            </w:pPr>
          </w:p>
        </w:tc>
      </w:tr>
    </w:tbl>
    <w:p>
      <w:pPr>
        <w:spacing w:after="0" w:line="31" w:lineRule="exact"/>
        <w:rPr>
          <w:rFonts w:ascii="Times New Roman" w:cs="Times New Roman" w:eastAsia="Times New Roman" w:hAnsi="Times New Roman"/>
          <w:sz w:val="4"/>
          <w:szCs w:val="4"/>
          <w:color w:val="005A64"/>
        </w:rPr>
      </w:pPr>
    </w:p>
    <w:p>
      <w:pPr>
        <w:ind w:left="3720"/>
        <w:spacing w:after="0"/>
        <w:rPr>
          <w:sz w:val="20"/>
          <w:szCs w:val="20"/>
          <w:color w:val="auto"/>
        </w:rPr>
      </w:pPr>
      <w:r>
        <w:rPr>
          <w:rFonts w:ascii="Times New Roman" w:cs="Times New Roman" w:eastAsia="Times New Roman" w:hAnsi="Times New Roman"/>
          <w:sz w:val="9"/>
          <w:szCs w:val="9"/>
          <w:color w:val="005A64"/>
        </w:rPr>
        <w:t>1L ES-SCLC</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2345055</wp:posOffset>
            </wp:positionH>
            <wp:positionV relativeFrom="paragraph">
              <wp:posOffset>77470</wp:posOffset>
            </wp:positionV>
            <wp:extent cx="13970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47" w:lineRule="exact"/>
        <w:rPr>
          <w:rFonts w:ascii="Times New Roman" w:cs="Times New Roman" w:eastAsia="Times New Roman" w:hAnsi="Times New Roman"/>
          <w:sz w:val="4"/>
          <w:szCs w:val="4"/>
          <w:color w:val="005A64"/>
        </w:rPr>
      </w:pPr>
    </w:p>
    <w:p>
      <w:pPr>
        <w:ind w:left="3720"/>
        <w:spacing w:after="0"/>
        <w:rPr>
          <w:sz w:val="20"/>
          <w:szCs w:val="20"/>
          <w:color w:val="auto"/>
        </w:rPr>
      </w:pPr>
      <w:r>
        <w:rPr>
          <w:rFonts w:ascii="Times New Roman" w:cs="Times New Roman" w:eastAsia="Times New Roman" w:hAnsi="Times New Roman"/>
          <w:sz w:val="9"/>
          <w:szCs w:val="9"/>
          <w:color w:val="005A64"/>
        </w:rPr>
        <w:t>1L ES-SCLC</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2345055</wp:posOffset>
            </wp:positionH>
            <wp:positionV relativeFrom="paragraph">
              <wp:posOffset>77470</wp:posOffset>
            </wp:positionV>
            <wp:extent cx="13970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47" w:lineRule="exact"/>
        <w:rPr>
          <w:rFonts w:ascii="Times New Roman" w:cs="Times New Roman" w:eastAsia="Times New Roman" w:hAnsi="Times New Roman"/>
          <w:sz w:val="4"/>
          <w:szCs w:val="4"/>
          <w:color w:val="005A64"/>
        </w:rPr>
      </w:pPr>
    </w:p>
    <w:p>
      <w:pPr>
        <w:ind w:left="3720"/>
        <w:spacing w:after="0"/>
        <w:rPr>
          <w:sz w:val="20"/>
          <w:szCs w:val="20"/>
          <w:color w:val="auto"/>
        </w:rPr>
      </w:pPr>
      <w:r>
        <w:rPr>
          <w:rFonts w:ascii="Times New Roman" w:cs="Times New Roman" w:eastAsia="Times New Roman" w:hAnsi="Times New Roman"/>
          <w:sz w:val="9"/>
          <w:szCs w:val="9"/>
          <w:color w:val="005A64"/>
        </w:rPr>
        <w:t>1/2L+ ES-SCLC</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2345055</wp:posOffset>
            </wp:positionH>
            <wp:positionV relativeFrom="paragraph">
              <wp:posOffset>77470</wp:posOffset>
            </wp:positionV>
            <wp:extent cx="13970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47" w:lineRule="exact"/>
        <w:rPr>
          <w:rFonts w:ascii="Times New Roman" w:cs="Times New Roman" w:eastAsia="Times New Roman" w:hAnsi="Times New Roman"/>
          <w:sz w:val="4"/>
          <w:szCs w:val="4"/>
          <w:color w:val="005A64"/>
        </w:rPr>
      </w:pPr>
    </w:p>
    <w:p>
      <w:pPr>
        <w:ind w:left="3720"/>
        <w:spacing w:after="0"/>
        <w:rPr>
          <w:sz w:val="20"/>
          <w:szCs w:val="20"/>
          <w:color w:val="auto"/>
        </w:rPr>
      </w:pPr>
      <w:r>
        <w:rPr>
          <w:rFonts w:ascii="Times New Roman" w:cs="Times New Roman" w:eastAsia="Times New Roman" w:hAnsi="Times New Roman"/>
          <w:sz w:val="9"/>
          <w:szCs w:val="9"/>
          <w:color w:val="005A64"/>
        </w:rPr>
        <w:t>2L ES-SCLC</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2345055</wp:posOffset>
            </wp:positionH>
            <wp:positionV relativeFrom="paragraph">
              <wp:posOffset>77470</wp:posOffset>
            </wp:positionV>
            <wp:extent cx="13970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47" w:lineRule="exact"/>
        <w:rPr>
          <w:rFonts w:ascii="Times New Roman" w:cs="Times New Roman" w:eastAsia="Times New Roman" w:hAnsi="Times New Roman"/>
          <w:sz w:val="4"/>
          <w:szCs w:val="4"/>
          <w:color w:val="005A64"/>
        </w:rPr>
      </w:pPr>
    </w:p>
    <w:p>
      <w:pPr>
        <w:ind w:left="3720"/>
        <w:spacing w:after="0"/>
        <w:rPr>
          <w:sz w:val="20"/>
          <w:szCs w:val="20"/>
          <w:color w:val="auto"/>
        </w:rPr>
      </w:pPr>
      <w:r>
        <w:rPr>
          <w:rFonts w:ascii="Times New Roman" w:cs="Times New Roman" w:eastAsia="Times New Roman" w:hAnsi="Times New Roman"/>
          <w:sz w:val="9"/>
          <w:szCs w:val="9"/>
          <w:color w:val="005A64"/>
        </w:rPr>
        <w:t xml:space="preserve">2L SCLC </w:t>
      </w:r>
      <w:r>
        <w:rPr>
          <w:rFonts w:ascii="Times New Roman" w:cs="Times New Roman" w:eastAsia="Times New Roman" w:hAnsi="Times New Roman"/>
          <w:sz w:val="11"/>
          <w:szCs w:val="11"/>
          <w:color w:val="005A64"/>
          <w:vertAlign w:val="superscript"/>
        </w:rPr>
        <w:t>(4)</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2345055</wp:posOffset>
            </wp:positionH>
            <wp:positionV relativeFrom="paragraph">
              <wp:posOffset>62865</wp:posOffset>
            </wp:positionV>
            <wp:extent cx="13970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24" w:lineRule="exact"/>
        <w:rPr>
          <w:rFonts w:ascii="Times New Roman" w:cs="Times New Roman" w:eastAsia="Times New Roman" w:hAnsi="Times New Roman"/>
          <w:sz w:val="4"/>
          <w:szCs w:val="4"/>
          <w:color w:val="005A64"/>
        </w:rPr>
      </w:pPr>
    </w:p>
    <w:p>
      <w:pPr>
        <w:ind w:left="3720"/>
        <w:spacing w:after="0"/>
        <w:rPr>
          <w:sz w:val="20"/>
          <w:szCs w:val="20"/>
          <w:color w:val="auto"/>
        </w:rPr>
      </w:pPr>
      <w:r>
        <w:rPr>
          <w:rFonts w:ascii="Times New Roman" w:cs="Times New Roman" w:eastAsia="Times New Roman" w:hAnsi="Times New Roman"/>
          <w:sz w:val="9"/>
          <w:szCs w:val="9"/>
          <w:color w:val="005A64"/>
        </w:rPr>
        <w:t xml:space="preserve">1L NSCLC </w:t>
      </w:r>
      <w:r>
        <w:rPr>
          <w:rFonts w:ascii="Times New Roman" w:cs="Times New Roman" w:eastAsia="Times New Roman" w:hAnsi="Times New Roman"/>
          <w:sz w:val="11"/>
          <w:szCs w:val="11"/>
          <w:color w:val="005A64"/>
          <w:vertAlign w:val="superscript"/>
        </w:rPr>
        <w:t>(5)</w:t>
      </w:r>
    </w:p>
    <w:p>
      <w:pPr>
        <w:spacing w:after="0" w:line="20" w:lineRule="exact"/>
        <w:rPr>
          <w:rFonts w:ascii="Times New Roman" w:cs="Times New Roman" w:eastAsia="Times New Roman" w:hAnsi="Times New Roman"/>
          <w:sz w:val="4"/>
          <w:szCs w:val="4"/>
          <w:color w:val="005A64"/>
        </w:rPr>
      </w:pPr>
      <w:r>
        <w:rPr>
          <w:rFonts w:ascii="Times New Roman" w:cs="Times New Roman" w:eastAsia="Times New Roman" w:hAnsi="Times New Roman"/>
          <w:sz w:val="4"/>
          <w:szCs w:val="4"/>
          <w:color w:val="005A64"/>
        </w:rPr>
        <w:drawing>
          <wp:anchor simplePos="0" relativeHeight="251657728" behindDoc="1" locked="0" layoutInCell="0" allowOverlap="1">
            <wp:simplePos x="0" y="0"/>
            <wp:positionH relativeFrom="column">
              <wp:posOffset>2345055</wp:posOffset>
            </wp:positionH>
            <wp:positionV relativeFrom="paragraph">
              <wp:posOffset>62865</wp:posOffset>
            </wp:positionV>
            <wp:extent cx="13970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24" w:lineRule="exact"/>
        <w:rPr>
          <w:rFonts w:ascii="Times New Roman" w:cs="Times New Roman" w:eastAsia="Times New Roman" w:hAnsi="Times New Roman"/>
          <w:sz w:val="4"/>
          <w:szCs w:val="4"/>
          <w:color w:val="005A64"/>
        </w:rPr>
      </w:pPr>
    </w:p>
    <w:tbl>
      <w:tblPr>
        <w:tblLayout w:type="fixed"/>
        <w:tblInd w:w="120" w:type="dxa"/>
        <w:tblCellMar>
          <w:top w:w="0" w:type="dxa"/>
          <w:left w:w="0" w:type="dxa"/>
          <w:bottom w:w="0" w:type="dxa"/>
          <w:right w:w="0" w:type="dxa"/>
        </w:tblCellMar>
      </w:tblPr>
      <w:tr>
        <w:trPr>
          <w:trHeight w:val="50"/>
        </w:trPr>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2L advanced/metastatic NSCLC</w:t>
            </w: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005A64"/>
              </w:rPr>
              <w:t>PD-L1 x VEGF-A</w:t>
            </w: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2L+ EGFRm NSCLC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Bristol Myers Squibb</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Borders>
              <w:bottom w:val="single" w:sz="8" w:color="A8C7CA"/>
            </w:tcBorders>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advanced/metastatic TNBC </w:t>
            </w:r>
            <w:r>
              <w:rPr>
                <w:rFonts w:ascii="Times New Roman" w:cs="Times New Roman" w:eastAsia="Times New Roman" w:hAnsi="Times New Roman"/>
                <w:sz w:val="11"/>
                <w:szCs w:val="11"/>
                <w:color w:val="005A64"/>
                <w:vertAlign w:val="superscript"/>
              </w:rPr>
              <w:t>(4)</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advanced/metastatic TNBC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9"/>
                <w:szCs w:val="9"/>
                <w:b w:val="1"/>
                <w:bCs w:val="1"/>
                <w:color w:val="005A64"/>
              </w:rPr>
              <w:t>BNT327</w:t>
            </w: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1L/2L advanced/metastatic TNBC</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42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420" w:type="dxa"/>
            <w:vAlign w:val="bottom"/>
            <w:gridSpan w:val="4"/>
            <w:vMerge w:val="continue"/>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Borders>
              <w:bottom w:val="single" w:sz="8" w:color="A8C7CA"/>
            </w:tcBorders>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malignant pleural mesothelioma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hepatocellular carcinoma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2L neuroendocrine neoplasms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Multiple solid tumors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8C7CA"/>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005A64"/>
              </w:rPr>
              <w:t>BNT3213</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005A64"/>
              </w:rPr>
              <w:t>TIGIT x PVRIG</w:t>
            </w: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9"/>
                <w:szCs w:val="9"/>
                <w:color w:val="005A64"/>
              </w:rPr>
              <w:t xml:space="preserve">1L hepatocellular carcinoma </w:t>
            </w:r>
            <w:r>
              <w:rPr>
                <w:rFonts w:ascii="Times New Roman" w:cs="Times New Roman" w:eastAsia="Times New Roman" w:hAnsi="Times New Roman"/>
                <w:sz w:val="11"/>
                <w:szCs w:val="11"/>
                <w:color w:val="005A64"/>
                <w:vertAlign w:val="superscript"/>
              </w:rPr>
              <w:t>(4, 6)</w:t>
            </w: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8C7CA"/>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Trastuzumab pamirtecan</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HER2</w:t>
            </w: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Advanced/metastatic breast cancer</w:t>
            </w:r>
            <w:r>
              <w:rPr>
                <w:rFonts w:ascii="Times New Roman" w:cs="Times New Roman" w:eastAsia="Times New Roman" w:hAnsi="Times New Roman"/>
                <w:sz w:val="11"/>
                <w:szCs w:val="11"/>
                <w:color w:val="005A64"/>
                <w:vertAlign w:val="superscript"/>
              </w:rPr>
              <w:t>(6)</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(BNT323 / DB-1303)</w:t>
            </w:r>
          </w:p>
        </w:tc>
        <w:tc>
          <w:tcPr>
            <w:tcW w:w="1160" w:type="dxa"/>
            <w:vAlign w:val="bottom"/>
            <w:gridSpan w:val="2"/>
            <w:vMerge w:val="continue"/>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8C7CA"/>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DBDBDB"/>
            </w:tcBorders>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Borders>
              <w:bottom w:val="single" w:sz="8" w:color="A8C7CA"/>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BNT324 / DB-1311</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B7-H3</w:t>
            </w: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9"/>
                <w:szCs w:val="9"/>
                <w:color w:val="005A64"/>
              </w:rPr>
              <w:t>Multiple solid tumors</w:t>
            </w:r>
            <w:r>
              <w:rPr>
                <w:rFonts w:ascii="Times New Roman" w:cs="Times New Roman" w:eastAsia="Times New Roman" w:hAnsi="Times New Roman"/>
                <w:sz w:val="11"/>
                <w:szCs w:val="11"/>
                <w:color w:val="005A64"/>
                <w:vertAlign w:val="superscript"/>
              </w:rPr>
              <w:t>(6)</w:t>
            </w: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Borders>
              <w:bottom w:val="single" w:sz="8" w:color="7CB9A1"/>
            </w:tcBorders>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Duality Biologics</w:t>
            </w: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200" w:type="dxa"/>
            <w:vAlign w:val="bottom"/>
            <w:tcBorders>
              <w:bottom w:val="single" w:sz="8" w:color="A8C7CA"/>
            </w:tcBorders>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9"/>
                <w:szCs w:val="9"/>
                <w:color w:val="005A64"/>
              </w:rPr>
              <w:t>Advanced/metastatic NSCLC and SCLC</w:t>
            </w:r>
            <w:r>
              <w:rPr>
                <w:rFonts w:ascii="Times New Roman" w:cs="Times New Roman" w:eastAsia="Times New Roman" w:hAnsi="Times New Roman"/>
                <w:sz w:val="11"/>
                <w:szCs w:val="11"/>
                <w:color w:val="005A64"/>
                <w:vertAlign w:val="superscript"/>
              </w:rPr>
              <w:t>(6)</w:t>
            </w: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DBDBDB"/>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BNT325 / DB-1305</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TROP2</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r>
              <w:rPr>
                <w:rFonts w:ascii="Times New Roman" w:cs="Times New Roman" w:eastAsia="Times New Roman" w:hAnsi="Times New Roman"/>
                <w:sz w:val="11"/>
                <w:szCs w:val="11"/>
                <w:color w:val="005A64"/>
                <w:vertAlign w:val="superscript"/>
              </w:rPr>
              <w:t>(6)</w:t>
            </w:r>
          </w:p>
        </w:tc>
        <w:tc>
          <w:tcPr>
            <w:tcW w:w="700" w:type="dxa"/>
            <w:vAlign w:val="bottom"/>
            <w:tcBorders>
              <w:bottom w:val="single" w:sz="8" w:color="ECECEC"/>
            </w:tcBorders>
          </w:tcPr>
          <w:p>
            <w:pPr>
              <w:spacing w:after="0"/>
              <w:rPr>
                <w:sz w:val="14"/>
                <w:szCs w:val="14"/>
                <w:color w:val="auto"/>
              </w:rPr>
            </w:pPr>
          </w:p>
        </w:tc>
        <w:tc>
          <w:tcPr>
            <w:tcW w:w="700" w:type="dxa"/>
            <w:vAlign w:val="bottom"/>
            <w:tcBorders>
              <w:bottom w:val="single" w:sz="8" w:color="BCDBCF"/>
            </w:tcBorders>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Borders>
              <w:bottom w:val="single" w:sz="8" w:color="DBDBDB"/>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DBDBDB"/>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DBDBDB"/>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DBDBDB"/>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8C7CA"/>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8C7CA"/>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9"/>
                <w:szCs w:val="9"/>
                <w:color w:val="005A64"/>
              </w:rPr>
              <w:t>BNT312 / GEN1042</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CD40×4-1BB</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Genmab</w:t>
            </w:r>
          </w:p>
        </w:tc>
        <w:tc>
          <w:tcPr>
            <w:tcW w:w="0" w:type="dxa"/>
            <w:vAlign w:val="bottom"/>
          </w:tcPr>
          <w:p>
            <w:pPr>
              <w:spacing w:after="0"/>
              <w:rPr>
                <w:sz w:val="1"/>
                <w:szCs w:val="1"/>
                <w:color w:val="auto"/>
              </w:rPr>
            </w:pPr>
          </w:p>
        </w:tc>
      </w:tr>
      <w:tr>
        <w:trPr>
          <w:trHeight w:val="40"/>
        </w:trPr>
        <w:tc>
          <w:tcPr>
            <w:tcW w:w="2420" w:type="dxa"/>
            <w:vAlign w:val="bottom"/>
            <w:gridSpan w:val="4"/>
            <w:vMerge w:val="continue"/>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11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DBDBDB"/>
            </w:tcBorders>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DBDBDB"/>
            </w:tcBorders>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Borders>
              <w:bottom w:val="single" w:sz="8" w:color="DBDBDB"/>
            </w:tcBorders>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420" w:type="dxa"/>
            <w:vAlign w:val="bottom"/>
            <w:gridSpan w:val="4"/>
          </w:tcPr>
          <w:p>
            <w:pPr>
              <w:ind w:left="20"/>
              <w:spacing w:after="0"/>
              <w:rPr>
                <w:sz w:val="20"/>
                <w:szCs w:val="20"/>
                <w:color w:val="auto"/>
              </w:rPr>
            </w:pPr>
            <w:r>
              <w:rPr>
                <w:rFonts w:ascii="Times New Roman" w:cs="Times New Roman" w:eastAsia="Times New Roman" w:hAnsi="Times New Roman"/>
                <w:sz w:val="9"/>
                <w:szCs w:val="9"/>
                <w:color w:val="005A64"/>
              </w:rPr>
              <w:t>BNT314 / GEN1059</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EpCAM×4-1BB</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00" w:type="dxa"/>
            <w:vAlign w:val="bottom"/>
            <w:tcBorders>
              <w:bottom w:val="single" w:sz="8" w:color="ECECEC"/>
            </w:tcBorders>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DBDBDB"/>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8C7CA"/>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aPD(L)1-R/R metastatic NSCLC</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9"/>
                <w:szCs w:val="9"/>
                <w:color w:val="005A64"/>
              </w:rPr>
              <w:t>Gotistobart (BNT316 / ONC-</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CTLA-4</w:t>
            </w: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Platinum-resistant ovarian cancer</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OncoC4</w:t>
            </w:r>
          </w:p>
        </w:tc>
        <w:tc>
          <w:tcPr>
            <w:tcW w:w="0" w:type="dxa"/>
            <w:vAlign w:val="bottom"/>
          </w:tcPr>
          <w:p>
            <w:pPr>
              <w:spacing w:after="0"/>
              <w:rPr>
                <w:sz w:val="1"/>
                <w:szCs w:val="1"/>
                <w:color w:val="auto"/>
              </w:rPr>
            </w:pPr>
          </w:p>
        </w:tc>
      </w:tr>
      <w:tr>
        <w:trPr>
          <w:trHeight w:val="68"/>
        </w:trPr>
        <w:tc>
          <w:tcPr>
            <w:tcW w:w="2420" w:type="dxa"/>
            <w:vAlign w:val="bottom"/>
            <w:gridSpan w:val="4"/>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420" w:type="dxa"/>
            <w:vAlign w:val="bottom"/>
            <w:gridSpan w:val="4"/>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392)</w:t>
            </w: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200" w:type="dxa"/>
            <w:vAlign w:val="bottom"/>
            <w:tcBorders>
              <w:bottom w:val="single" w:sz="8" w:color="A8C7CA"/>
            </w:tcBorders>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Metastatic castration-resistant prostate cancer</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continue"/>
          </w:tcPr>
          <w:p>
            <w:pPr>
              <w:spacing w:after="0"/>
              <w:rPr>
                <w:sz w:val="6"/>
                <w:szCs w:val="6"/>
                <w:color w:val="auto"/>
              </w:rPr>
            </w:pPr>
          </w:p>
        </w:tc>
        <w:tc>
          <w:tcPr>
            <w:tcW w:w="700" w:type="dxa"/>
            <w:vAlign w:val="bottom"/>
            <w:shd w:val="clear" w:color="auto" w:fill="ECECEC"/>
          </w:tcPr>
          <w:p>
            <w:pPr>
              <w:spacing w:after="0"/>
              <w:rPr>
                <w:sz w:val="6"/>
                <w:szCs w:val="6"/>
                <w:color w:val="auto"/>
              </w:rPr>
            </w:pPr>
          </w:p>
        </w:tc>
        <w:tc>
          <w:tcPr>
            <w:tcW w:w="700" w:type="dxa"/>
            <w:vAlign w:val="bottom"/>
            <w:shd w:val="clear" w:color="auto" w:fill="BCDBCF"/>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ECECEC"/>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8C7CA"/>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9"/>
                <w:szCs w:val="9"/>
                <w:color w:val="005A64"/>
              </w:rPr>
              <w:t>BNT317</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undisclosed</w:t>
            </w: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right w:val="single" w:sz="8" w:color="26948B"/>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420" w:type="dxa"/>
            <w:vAlign w:val="bottom"/>
            <w:gridSpan w:val="4"/>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700" w:type="dxa"/>
            <w:vAlign w:val="bottom"/>
            <w:shd w:val="clear" w:color="auto" w:fill="ECECEC"/>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right w:val="single" w:sz="8" w:color="26948B"/>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42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Borders>
              <w:right w:val="single" w:sz="8" w:color="26948B"/>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180" w:type="dxa"/>
            <w:vAlign w:val="bottom"/>
            <w:tcBorders>
              <w:bottom w:val="single" w:sz="8" w:color="005A64"/>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005A64"/>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005A64"/>
            </w:tcBorders>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Borders>
              <w:bottom w:val="single" w:sz="8" w:color="005A64"/>
            </w:tcBorders>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right w:val="single" w:sz="8" w:color="26948B"/>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005A64"/>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005A64"/>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bottom w:val="single" w:sz="8" w:color="26948B"/>
            </w:tcBorders>
          </w:tcPr>
          <w:p>
            <w:pPr>
              <w:spacing w:after="0"/>
              <w:rPr>
                <w:sz w:val="5"/>
                <w:szCs w:val="5"/>
                <w:color w:val="auto"/>
              </w:rPr>
            </w:pPr>
          </w:p>
        </w:tc>
        <w:tc>
          <w:tcPr>
            <w:tcW w:w="160" w:type="dxa"/>
            <w:vAlign w:val="bottom"/>
            <w:tcBorders>
              <w:bottom w:val="single" w:sz="8" w:color="26948B"/>
              <w:right w:val="single" w:sz="8" w:color="26948B"/>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4"/>
          <w:szCs w:val="4"/>
          <w:color w:val="005A64"/>
        </w:rPr>
      </w:pPr>
    </w:p>
    <w:p>
      <w:pPr>
        <w:sectPr>
          <w:pgSz w:w="11900" w:h="16838" w:orient="portrait"/>
          <w:cols w:equalWidth="0" w:num="1">
            <w:col w:w="11240"/>
          </w:cols>
          <w:pgMar w:left="320" w:top="167" w:right="339" w:bottom="293" w:gutter="0" w:footer="0" w:header="0"/>
          <w:type w:val="continuous"/>
        </w:sectPr>
      </w:pPr>
    </w:p>
    <w:p>
      <w:pPr>
        <w:spacing w:after="0" w:line="200" w:lineRule="exact"/>
        <w:rPr>
          <w:rFonts w:ascii="Times New Roman" w:cs="Times New Roman" w:eastAsia="Times New Roman" w:hAnsi="Times New Roman"/>
          <w:sz w:val="4"/>
          <w:szCs w:val="4"/>
          <w:color w:val="005A64"/>
        </w:rPr>
      </w:pPr>
    </w:p>
    <w:p>
      <w:pPr>
        <w:spacing w:after="0" w:line="200" w:lineRule="exact"/>
        <w:rPr>
          <w:rFonts w:ascii="Times New Roman" w:cs="Times New Roman" w:eastAsia="Times New Roman" w:hAnsi="Times New Roman"/>
          <w:sz w:val="4"/>
          <w:szCs w:val="4"/>
          <w:color w:val="005A64"/>
        </w:rPr>
      </w:pPr>
    </w:p>
    <w:p>
      <w:pPr>
        <w:spacing w:after="0" w:line="200" w:lineRule="exact"/>
        <w:rPr>
          <w:rFonts w:ascii="Times New Roman" w:cs="Times New Roman" w:eastAsia="Times New Roman" w:hAnsi="Times New Roman"/>
          <w:sz w:val="4"/>
          <w:szCs w:val="4"/>
          <w:color w:val="005A64"/>
        </w:rPr>
      </w:pPr>
    </w:p>
    <w:p>
      <w:pPr>
        <w:spacing w:after="0" w:line="276" w:lineRule="exact"/>
        <w:rPr>
          <w:rFonts w:ascii="Times New Roman" w:cs="Times New Roman" w:eastAsia="Times New Roman" w:hAnsi="Times New Roman"/>
          <w:sz w:val="4"/>
          <w:szCs w:val="4"/>
          <w:color w:val="005A64"/>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35</w:t>
      </w:r>
    </w:p>
    <w:p>
      <w:pPr>
        <w:sectPr>
          <w:pgSz w:w="11900" w:h="16838" w:orient="portrait"/>
          <w:cols w:equalWidth="0" w:num="1">
            <w:col w:w="11240"/>
          </w:cols>
          <w:pgMar w:left="320" w:top="167" w:right="339" w:bottom="293" w:gutter="0" w:footer="0" w:header="0"/>
          <w:type w:val="continuous"/>
        </w:sectPr>
      </w:pPr>
    </w:p>
    <w:bookmarkStart w:id="43" w:name="page44"/>
    <w:bookmarkEnd w:id="4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Targeted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Platform</w:t>
            </w:r>
          </w:p>
        </w:tc>
        <w:tc>
          <w:tcPr>
            <w:tcW w:w="120" w:type="dxa"/>
            <w:vAlign w:val="bottom"/>
            <w:vMerge w:val="restart"/>
          </w:tcPr>
          <w:p>
            <w:pPr>
              <w:spacing w:after="0"/>
              <w:rPr>
                <w:sz w:val="11"/>
                <w:szCs w:val="11"/>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Product candidate</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Target</w:t>
            </w:r>
          </w:p>
        </w:tc>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Indication</w:t>
            </w:r>
          </w:p>
        </w:tc>
        <w:tc>
          <w:tcPr>
            <w:tcW w:w="860" w:type="dxa"/>
            <w:vAlign w:val="bottom"/>
            <w:tcBorders>
              <w:top w:val="single" w:sz="8" w:color="ECECEC"/>
            </w:tcBorders>
            <w:gridSpan w:val="2"/>
          </w:tcPr>
          <w:p>
            <w:pPr>
              <w:spacing w:after="0"/>
              <w:rPr>
                <w:sz w:val="11"/>
                <w:szCs w:val="11"/>
                <w:color w:val="auto"/>
              </w:rPr>
            </w:pPr>
          </w:p>
        </w:tc>
        <w:tc>
          <w:tcPr>
            <w:tcW w:w="74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1/2</w:t>
            </w:r>
          </w:p>
        </w:tc>
        <w:tc>
          <w:tcPr>
            <w:tcW w:w="72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2</w:t>
            </w:r>
          </w:p>
        </w:tc>
        <w:tc>
          <w:tcPr>
            <w:tcW w:w="900" w:type="dxa"/>
            <w:vAlign w:val="bottom"/>
            <w:tcBorders>
              <w:top w:val="single" w:sz="8" w:color="ECECEC"/>
              <w:right w:val="single" w:sz="8" w:color="ECECEC"/>
            </w:tcBorders>
            <w:gridSpan w:val="3"/>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3</w:t>
            </w:r>
          </w:p>
        </w:tc>
        <w:tc>
          <w:tcPr>
            <w:tcW w:w="1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BioNTech rights</w:t>
            </w:r>
            <w:r>
              <w:rPr>
                <w:rFonts w:ascii="Times New Roman" w:cs="Times New Roman" w:eastAsia="Times New Roman" w:hAnsi="Times New Roman"/>
                <w:sz w:val="11"/>
                <w:szCs w:val="11"/>
                <w:b w:val="1"/>
                <w:bCs w:val="1"/>
                <w:color w:val="107072"/>
                <w:vertAlign w:val="superscript"/>
              </w:rPr>
              <w:t>(1)</w:t>
            </w: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Collaborator/Partner</w:t>
            </w:r>
          </w:p>
        </w:tc>
        <w:tc>
          <w:tcPr>
            <w:tcW w:w="0" w:type="dxa"/>
            <w:vAlign w:val="bottom"/>
          </w:tcPr>
          <w:p>
            <w:pPr>
              <w:spacing w:after="0"/>
              <w:rPr>
                <w:sz w:val="1"/>
                <w:szCs w:val="1"/>
                <w:color w:val="auto"/>
              </w:rPr>
            </w:pPr>
          </w:p>
        </w:tc>
      </w:tr>
      <w:tr>
        <w:trPr>
          <w:trHeight w:val="128"/>
        </w:trPr>
        <w:tc>
          <w:tcPr>
            <w:tcW w:w="920" w:type="dxa"/>
            <w:vAlign w:val="bottom"/>
            <w:tcBorders>
              <w:bottom w:val="single" w:sz="8" w:color="005A64"/>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20" w:type="dxa"/>
            <w:vAlign w:val="bottom"/>
            <w:tcBorders>
              <w:bottom w:val="single" w:sz="8" w:color="005A64"/>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bottom w:val="single" w:sz="8" w:color="005A64"/>
            </w:tcBorders>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Borders>
              <w:bottom w:val="single" w:sz="8" w:color="005A64"/>
            </w:tcBorders>
          </w:tcPr>
          <w:p>
            <w:pPr>
              <w:spacing w:after="0"/>
              <w:rPr>
                <w:sz w:val="11"/>
                <w:szCs w:val="11"/>
                <w:color w:val="auto"/>
              </w:rPr>
            </w:pPr>
          </w:p>
        </w:tc>
        <w:tc>
          <w:tcPr>
            <w:tcW w:w="140" w:type="dxa"/>
            <w:vAlign w:val="bottom"/>
            <w:tcBorders>
              <w:right w:val="single" w:sz="8" w:color="ECECEC"/>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005A64"/>
              </w:rPr>
              <w:t>Phase 1</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00" w:type="dxa"/>
            <w:vAlign w:val="bottom"/>
            <w:tcBorders>
              <w:right w:val="single" w:sz="8" w:color="ECECEC"/>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005A64"/>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bottom w:val="single" w:sz="8" w:color="005A64"/>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Trastuzumab pamirtecan</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HER2</w:t>
            </w:r>
          </w:p>
        </w:tc>
        <w:tc>
          <w:tcPr>
            <w:tcW w:w="2300" w:type="dxa"/>
            <w:vAlign w:val="bottom"/>
            <w:tcBorders>
              <w:right w:val="single" w:sz="8" w:color="ECECEC"/>
            </w:tcBorders>
            <w:gridSpan w:val="2"/>
            <w:vMerge w:val="restart"/>
          </w:tcPr>
          <w:p>
            <w:pPr>
              <w:ind w:left="20"/>
              <w:spacing w:after="0" w:line="102" w:lineRule="exact"/>
              <w:rPr>
                <w:sz w:val="20"/>
                <w:szCs w:val="20"/>
                <w:color w:val="auto"/>
              </w:rPr>
            </w:pPr>
            <w:r>
              <w:rPr>
                <w:rFonts w:ascii="Times New Roman" w:cs="Times New Roman" w:eastAsia="Times New Roman" w:hAnsi="Times New Roman"/>
                <w:sz w:val="9"/>
                <w:szCs w:val="9"/>
                <w:color w:val="005A64"/>
              </w:rPr>
              <w:t>HR+/HER2-low metastatic breast cancer</w:t>
            </w:r>
          </w:p>
        </w:tc>
        <w:tc>
          <w:tcPr>
            <w:tcW w:w="14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300" w:type="dxa"/>
            <w:vAlign w:val="bottom"/>
            <w:tcBorders>
              <w:right w:val="single" w:sz="8" w:color="ECECEC"/>
            </w:tcBorders>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720" w:type="dxa"/>
            <w:vAlign w:val="bottom"/>
            <w:shd w:val="clear" w:color="auto" w:fill="ECECEC"/>
          </w:tcPr>
          <w:p>
            <w:pPr>
              <w:spacing w:after="0"/>
              <w:rPr>
                <w:sz w:val="5"/>
                <w:szCs w:val="5"/>
                <w:color w:val="auto"/>
              </w:rPr>
            </w:pPr>
          </w:p>
        </w:tc>
        <w:tc>
          <w:tcPr>
            <w:tcW w:w="740" w:type="dxa"/>
            <w:vAlign w:val="bottom"/>
            <w:shd w:val="clear" w:color="auto" w:fill="BCDBCF"/>
          </w:tcPr>
          <w:p>
            <w:pPr>
              <w:spacing w:after="0"/>
              <w:rPr>
                <w:sz w:val="5"/>
                <w:szCs w:val="5"/>
                <w:color w:val="auto"/>
              </w:rPr>
            </w:pPr>
          </w:p>
        </w:tc>
        <w:tc>
          <w:tcPr>
            <w:tcW w:w="720" w:type="dxa"/>
            <w:vAlign w:val="bottom"/>
            <w:shd w:val="clear" w:color="auto" w:fill="7CB9A1"/>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380" w:type="dxa"/>
            <w:vAlign w:val="bottom"/>
            <w:shd w:val="clear" w:color="auto" w:fill="3C9673"/>
          </w:tcPr>
          <w:p>
            <w:pPr>
              <w:spacing w:after="0"/>
              <w:rPr>
                <w:sz w:val="5"/>
                <w:szCs w:val="5"/>
                <w:color w:val="auto"/>
              </w:rPr>
            </w:pPr>
          </w:p>
        </w:tc>
        <w:tc>
          <w:tcPr>
            <w:tcW w:w="160" w:type="dxa"/>
            <w:vAlign w:val="bottom"/>
            <w:tcBorders>
              <w:right w:val="single" w:sz="8" w:color="ECECEC"/>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160" w:type="dxa"/>
            <w:vAlign w:val="bottom"/>
          </w:tcPr>
          <w:p>
            <w:pPr>
              <w:spacing w:after="0"/>
              <w:rPr>
                <w:sz w:val="8"/>
                <w:szCs w:val="8"/>
                <w:color w:val="auto"/>
              </w:rPr>
            </w:pPr>
          </w:p>
        </w:tc>
        <w:tc>
          <w:tcPr>
            <w:tcW w:w="14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(BNT323 / DB-1303)</w:t>
            </w:r>
          </w:p>
        </w:tc>
        <w:tc>
          <w:tcPr>
            <w:tcW w:w="1140" w:type="dxa"/>
            <w:vAlign w:val="bottom"/>
            <w:gridSpan w:val="2"/>
            <w:vMerge w:val="continue"/>
          </w:tcPr>
          <w:p>
            <w:pPr>
              <w:spacing w:after="0"/>
              <w:rPr>
                <w:sz w:val="3"/>
                <w:szCs w:val="3"/>
                <w:color w:val="auto"/>
              </w:rPr>
            </w:pPr>
          </w:p>
        </w:tc>
        <w:tc>
          <w:tcPr>
            <w:tcW w:w="2160" w:type="dxa"/>
            <w:vAlign w:val="bottom"/>
            <w:tcBorders>
              <w:bottom w:val="single" w:sz="8" w:color="A8C7CA"/>
            </w:tcBorders>
          </w:tcPr>
          <w:p>
            <w:pPr>
              <w:spacing w:after="0"/>
              <w:rPr>
                <w:sz w:val="3"/>
                <w:szCs w:val="3"/>
                <w:color w:val="auto"/>
              </w:rPr>
            </w:pPr>
          </w:p>
        </w:tc>
        <w:tc>
          <w:tcPr>
            <w:tcW w:w="140" w:type="dxa"/>
            <w:vAlign w:val="bottom"/>
            <w:tcBorders>
              <w:right w:val="single" w:sz="8" w:color="ECECEC"/>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Borders>
              <w:right w:val="single" w:sz="8" w:color="ECECEC"/>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Antibody-drug</w:t>
            </w:r>
          </w:p>
        </w:tc>
        <w:tc>
          <w:tcPr>
            <w:tcW w:w="132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Duality Biologics</w:t>
            </w:r>
          </w:p>
        </w:tc>
        <w:tc>
          <w:tcPr>
            <w:tcW w:w="0" w:type="dxa"/>
            <w:vAlign w:val="bottom"/>
          </w:tcPr>
          <w:p>
            <w:pPr>
              <w:spacing w:after="0"/>
              <w:rPr>
                <w:sz w:val="1"/>
                <w:szCs w:val="1"/>
                <w:color w:val="auto"/>
              </w:rPr>
            </w:pPr>
          </w:p>
        </w:tc>
      </w:tr>
      <w:tr>
        <w:trPr>
          <w:trHeight w:val="68"/>
        </w:trPr>
        <w:tc>
          <w:tcPr>
            <w:tcW w:w="10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tcBorders>
              <w:right w:val="single" w:sz="8" w:color="ECECEC"/>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shd w:val="clear" w:color="auto" w:fill="ECECEC"/>
          </w:tcPr>
          <w:p>
            <w:pPr>
              <w:spacing w:after="0"/>
              <w:rPr>
                <w:sz w:val="5"/>
                <w:szCs w:val="5"/>
                <w:color w:val="auto"/>
              </w:rPr>
            </w:pPr>
          </w:p>
        </w:tc>
        <w:tc>
          <w:tcPr>
            <w:tcW w:w="740" w:type="dxa"/>
            <w:vAlign w:val="bottom"/>
            <w:shd w:val="clear" w:color="auto" w:fill="BCDBCF"/>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right w:val="single" w:sz="8" w:color="ECECEC"/>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2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Borders>
              <w:bottom w:val="single" w:sz="8" w:color="A8C7CA"/>
            </w:tcBorders>
          </w:tcPr>
          <w:p>
            <w:pPr>
              <w:spacing w:after="0"/>
              <w:rPr>
                <w:sz w:val="9"/>
                <w:szCs w:val="9"/>
                <w:color w:val="auto"/>
              </w:rPr>
            </w:pPr>
          </w:p>
        </w:tc>
        <w:tc>
          <w:tcPr>
            <w:tcW w:w="140" w:type="dxa"/>
            <w:vAlign w:val="bottom"/>
            <w:tcBorders>
              <w:right w:val="single" w:sz="8" w:color="ECECEC"/>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right w:val="single" w:sz="8" w:color="ECECEC"/>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gridSpan w:val="2"/>
            <w:vMerge w:val="continue"/>
          </w:tcPr>
          <w:p>
            <w:pPr>
              <w:spacing w:after="0"/>
              <w:rPr>
                <w:sz w:val="4"/>
                <w:szCs w:val="4"/>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BNT324 / DB-1311</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B7-H3</w:t>
            </w:r>
          </w:p>
        </w:tc>
        <w:tc>
          <w:tcPr>
            <w:tcW w:w="23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040" w:type="dxa"/>
            <w:vAlign w:val="bottom"/>
            <w:gridSpan w:val="2"/>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300" w:type="dxa"/>
            <w:vAlign w:val="bottom"/>
            <w:tcBorders>
              <w:right w:val="single" w:sz="8" w:color="ECECEC"/>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ECECEC"/>
            </w:tcBorders>
          </w:tcPr>
          <w:p>
            <w:pPr>
              <w:spacing w:after="0"/>
              <w:rPr>
                <w:sz w:val="6"/>
                <w:szCs w:val="6"/>
                <w:color w:val="auto"/>
              </w:rPr>
            </w:pPr>
          </w:p>
        </w:tc>
        <w:tc>
          <w:tcPr>
            <w:tcW w:w="740" w:type="dxa"/>
            <w:vAlign w:val="bottom"/>
            <w:tcBorders>
              <w:bottom w:val="single" w:sz="8" w:color="BCDBCF"/>
            </w:tcBorders>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conjugates</w:t>
            </w:r>
          </w:p>
        </w:tc>
        <w:tc>
          <w:tcPr>
            <w:tcW w:w="12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Borders>
              <w:bottom w:val="single" w:sz="8" w:color="A8C7CA"/>
            </w:tcBorders>
          </w:tcPr>
          <w:p>
            <w:pPr>
              <w:spacing w:after="0"/>
              <w:rPr>
                <w:sz w:val="9"/>
                <w:szCs w:val="9"/>
                <w:color w:val="auto"/>
              </w:rPr>
            </w:pPr>
          </w:p>
        </w:tc>
        <w:tc>
          <w:tcPr>
            <w:tcW w:w="140" w:type="dxa"/>
            <w:vAlign w:val="bottom"/>
            <w:tcBorders>
              <w:right w:val="single" w:sz="8" w:color="ECECEC"/>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right w:val="single" w:sz="8" w:color="ECECEC"/>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BNT325 / DB-1305</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TROP2</w:t>
            </w:r>
          </w:p>
        </w:tc>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140" w:type="dxa"/>
            <w:vAlign w:val="bottom"/>
          </w:tcPr>
          <w:p>
            <w:pPr>
              <w:spacing w:after="0"/>
              <w:rPr>
                <w:sz w:val="10"/>
                <w:szCs w:val="10"/>
                <w:color w:val="auto"/>
              </w:rPr>
            </w:pPr>
          </w:p>
        </w:tc>
        <w:tc>
          <w:tcPr>
            <w:tcW w:w="720" w:type="dxa"/>
            <w:vAlign w:val="bottom"/>
            <w:tcBorders>
              <w:bottom w:val="single" w:sz="8" w:color="ECECEC"/>
            </w:tcBorders>
          </w:tcPr>
          <w:p>
            <w:pPr>
              <w:spacing w:after="0"/>
              <w:rPr>
                <w:sz w:val="10"/>
                <w:szCs w:val="10"/>
                <w:color w:val="auto"/>
              </w:rPr>
            </w:pPr>
          </w:p>
        </w:tc>
        <w:tc>
          <w:tcPr>
            <w:tcW w:w="740" w:type="dxa"/>
            <w:vAlign w:val="bottom"/>
            <w:tcBorders>
              <w:bottom w:val="single" w:sz="8" w:color="BCDBCF"/>
            </w:tcBorders>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right w:val="single" w:sz="8" w:color="ECECEC"/>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Borders>
              <w:bottom w:val="single" w:sz="8" w:color="A8C7CA"/>
            </w:tcBorders>
          </w:tcPr>
          <w:p>
            <w:pPr>
              <w:spacing w:after="0"/>
              <w:rPr>
                <w:sz w:val="9"/>
                <w:szCs w:val="9"/>
                <w:color w:val="auto"/>
              </w:rPr>
            </w:pPr>
          </w:p>
        </w:tc>
        <w:tc>
          <w:tcPr>
            <w:tcW w:w="140" w:type="dxa"/>
            <w:vAlign w:val="bottom"/>
            <w:tcBorders>
              <w:right w:val="single" w:sz="8" w:color="ECECEC"/>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right w:val="single" w:sz="8" w:color="ECECEC"/>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8C7CA"/>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BNT326 / YL202</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HER3</w:t>
            </w:r>
          </w:p>
        </w:tc>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140" w:type="dxa"/>
            <w:vAlign w:val="bottom"/>
          </w:tcPr>
          <w:p>
            <w:pPr>
              <w:spacing w:after="0"/>
              <w:rPr>
                <w:sz w:val="10"/>
                <w:szCs w:val="10"/>
                <w:color w:val="auto"/>
              </w:rPr>
            </w:pPr>
          </w:p>
        </w:tc>
        <w:tc>
          <w:tcPr>
            <w:tcW w:w="720" w:type="dxa"/>
            <w:vAlign w:val="bottom"/>
            <w:tcBorders>
              <w:bottom w:val="single" w:sz="8" w:color="ECECEC"/>
            </w:tcBorders>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MediLink Therapeutics</w:t>
            </w: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Borders>
              <w:right w:val="single" w:sz="8" w:color="ECECEC"/>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9"/>
        </w:trPr>
        <w:tc>
          <w:tcPr>
            <w:tcW w:w="920" w:type="dxa"/>
            <w:vAlign w:val="bottom"/>
            <w:tcBorders>
              <w:bottom w:val="single" w:sz="8" w:color="DBDBDB"/>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Borders>
              <w:bottom w:val="single" w:sz="8" w:color="DBDBDB"/>
            </w:tcBorders>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DBDBDB"/>
            </w:tcBorders>
          </w:tcPr>
          <w:p>
            <w:pPr>
              <w:spacing w:after="0"/>
              <w:rPr>
                <w:sz w:val="5"/>
                <w:szCs w:val="5"/>
                <w:color w:val="auto"/>
              </w:rPr>
            </w:pPr>
          </w:p>
        </w:tc>
        <w:tc>
          <w:tcPr>
            <w:tcW w:w="120" w:type="dxa"/>
            <w:vAlign w:val="bottom"/>
          </w:tcPr>
          <w:p>
            <w:pPr>
              <w:spacing w:after="0"/>
              <w:rPr>
                <w:sz w:val="5"/>
                <w:szCs w:val="5"/>
                <w:color w:val="auto"/>
              </w:rPr>
            </w:pPr>
          </w:p>
        </w:tc>
        <w:tc>
          <w:tcPr>
            <w:tcW w:w="2160" w:type="dxa"/>
            <w:vAlign w:val="bottom"/>
            <w:tcBorders>
              <w:bottom w:val="single" w:sz="8" w:color="DBDBDB"/>
            </w:tcBorders>
          </w:tcPr>
          <w:p>
            <w:pPr>
              <w:spacing w:after="0"/>
              <w:rPr>
                <w:sz w:val="5"/>
                <w:szCs w:val="5"/>
                <w:color w:val="auto"/>
              </w:rPr>
            </w:pPr>
          </w:p>
        </w:tc>
        <w:tc>
          <w:tcPr>
            <w:tcW w:w="14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DBDBDB"/>
            </w:tcBorders>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Cell therapies</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BNT211</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CLDN6</w:t>
            </w:r>
          </w:p>
        </w:tc>
        <w:tc>
          <w:tcPr>
            <w:tcW w:w="23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14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right w:val="single" w:sz="8" w:color="26948B"/>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04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300" w:type="dxa"/>
            <w:vAlign w:val="bottom"/>
            <w:tcBorders>
              <w:right w:val="single" w:sz="8" w:color="ECECEC"/>
            </w:tcBorders>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right w:val="single" w:sz="8" w:color="26948B"/>
            </w:tcBorders>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4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right w:val="single" w:sz="8" w:color="26948B"/>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92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Borders>
              <w:bottom w:val="single" w:sz="8" w:color="005A64"/>
            </w:tcBorders>
          </w:tcPr>
          <w:p>
            <w:pPr>
              <w:spacing w:after="0"/>
              <w:rPr>
                <w:sz w:val="10"/>
                <w:szCs w:val="10"/>
                <w:color w:val="auto"/>
              </w:rPr>
            </w:pPr>
          </w:p>
        </w:tc>
        <w:tc>
          <w:tcPr>
            <w:tcW w:w="140" w:type="dxa"/>
            <w:vAlign w:val="bottom"/>
            <w:tcBorders>
              <w:right w:val="single" w:sz="8" w:color="ECECEC"/>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right w:val="single" w:sz="8" w:color="26948B"/>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bottom w:val="single" w:sz="8" w:color="005A64"/>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bottom w:val="single" w:sz="8" w:color="005A64"/>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40" w:type="dxa"/>
            <w:vAlign w:val="bottom"/>
            <w:tcBorders>
              <w:right w:val="single" w:sz="8" w:color="ECECEC"/>
            </w:tcBorders>
          </w:tcPr>
          <w:p>
            <w:pPr>
              <w:spacing w:after="0"/>
              <w:rPr>
                <w:sz w:val="7"/>
                <w:szCs w:val="7"/>
                <w:color w:val="auto"/>
              </w:rPr>
            </w:pPr>
          </w:p>
        </w:tc>
        <w:tc>
          <w:tcPr>
            <w:tcW w:w="140" w:type="dxa"/>
            <w:vAlign w:val="bottom"/>
            <w:tcBorders>
              <w:bottom w:val="single" w:sz="8" w:color="ECECEC"/>
            </w:tcBorders>
          </w:tcPr>
          <w:p>
            <w:pPr>
              <w:spacing w:after="0"/>
              <w:rPr>
                <w:sz w:val="7"/>
                <w:szCs w:val="7"/>
                <w:color w:val="auto"/>
              </w:rPr>
            </w:pPr>
          </w:p>
        </w:tc>
        <w:tc>
          <w:tcPr>
            <w:tcW w:w="720" w:type="dxa"/>
            <w:vAlign w:val="bottom"/>
            <w:tcBorders>
              <w:bottom w:val="single" w:sz="8" w:color="ECECEC"/>
            </w:tcBorders>
          </w:tcPr>
          <w:p>
            <w:pPr>
              <w:spacing w:after="0"/>
              <w:rPr>
                <w:sz w:val="7"/>
                <w:szCs w:val="7"/>
                <w:color w:val="auto"/>
              </w:rPr>
            </w:pPr>
          </w:p>
        </w:tc>
        <w:tc>
          <w:tcPr>
            <w:tcW w:w="740" w:type="dxa"/>
            <w:vAlign w:val="bottom"/>
            <w:tcBorders>
              <w:bottom w:val="single" w:sz="8" w:color="ECECEC"/>
            </w:tcBorders>
          </w:tcPr>
          <w:p>
            <w:pPr>
              <w:spacing w:after="0"/>
              <w:rPr>
                <w:sz w:val="7"/>
                <w:szCs w:val="7"/>
                <w:color w:val="auto"/>
              </w:rPr>
            </w:pPr>
          </w:p>
        </w:tc>
        <w:tc>
          <w:tcPr>
            <w:tcW w:w="720" w:type="dxa"/>
            <w:vAlign w:val="bottom"/>
            <w:tcBorders>
              <w:bottom w:val="single" w:sz="8" w:color="ECECEC"/>
            </w:tcBorders>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Borders>
              <w:bottom w:val="single" w:sz="8" w:color="26948B"/>
            </w:tcBorders>
          </w:tcPr>
          <w:p>
            <w:pPr>
              <w:spacing w:after="0"/>
              <w:rPr>
                <w:sz w:val="7"/>
                <w:szCs w:val="7"/>
                <w:color w:val="auto"/>
              </w:rPr>
            </w:pPr>
          </w:p>
        </w:tc>
        <w:tc>
          <w:tcPr>
            <w:tcW w:w="160" w:type="dxa"/>
            <w:vAlign w:val="bottom"/>
            <w:tcBorders>
              <w:bottom w:val="single" w:sz="8" w:color="26948B"/>
              <w:right w:val="single" w:sz="8" w:color="26948B"/>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Infectious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Drug class</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Product candidate</w:t>
            </w:r>
          </w:p>
        </w:tc>
        <w:tc>
          <w:tcPr>
            <w:tcW w:w="148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Indication</w:t>
            </w:r>
          </w:p>
        </w:tc>
        <w:tc>
          <w:tcPr>
            <w:tcW w:w="140" w:type="dxa"/>
            <w:vAlign w:val="bottom"/>
            <w:tcBorders>
              <w:top w:val="single" w:sz="8" w:color="ECECEC"/>
            </w:tcBorders>
          </w:tcPr>
          <w:p>
            <w:pPr>
              <w:spacing w:after="0"/>
              <w:rPr>
                <w:sz w:val="17"/>
                <w:szCs w:val="17"/>
                <w:color w:val="auto"/>
              </w:rPr>
            </w:pPr>
          </w:p>
        </w:tc>
        <w:tc>
          <w:tcPr>
            <w:tcW w:w="84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Phase 1</w:t>
            </w:r>
          </w:p>
        </w:tc>
        <w:tc>
          <w:tcPr>
            <w:tcW w:w="84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Phase 1/2</w:t>
            </w:r>
          </w:p>
        </w:tc>
        <w:tc>
          <w:tcPr>
            <w:tcW w:w="84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Phase 2</w:t>
            </w:r>
          </w:p>
        </w:tc>
        <w:tc>
          <w:tcPr>
            <w:tcW w:w="86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Phase 3</w:t>
            </w:r>
          </w:p>
        </w:tc>
        <w:tc>
          <w:tcPr>
            <w:tcW w:w="1080" w:type="dxa"/>
            <w:vAlign w:val="bottom"/>
            <w:tcBorders>
              <w:top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Commercial</w:t>
            </w:r>
          </w:p>
        </w:tc>
        <w:tc>
          <w:tcPr>
            <w:tcW w:w="180" w:type="dxa"/>
            <w:vAlign w:val="bottom"/>
            <w:tcBorders>
              <w:top w:val="single" w:sz="8" w:color="ECECEC"/>
              <w:right w:val="single" w:sz="8" w:color="ECECEC"/>
            </w:tcBorders>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BioNTech rights</w:t>
            </w:r>
            <w:r>
              <w:rPr>
                <w:rFonts w:ascii="Times New Roman" w:cs="Times New Roman" w:eastAsia="Times New Roman" w:hAnsi="Times New Roman"/>
                <w:sz w:val="11"/>
                <w:szCs w:val="11"/>
                <w:b w:val="1"/>
                <w:bCs w:val="1"/>
                <w:color w:val="107072"/>
                <w:vertAlign w:val="superscript"/>
              </w:rPr>
              <w:t>(1)</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Collaborator/Partner</w:t>
            </w:r>
          </w:p>
        </w:tc>
        <w:tc>
          <w:tcPr>
            <w:tcW w:w="0" w:type="dxa"/>
            <w:vAlign w:val="bottom"/>
          </w:tcPr>
          <w:p>
            <w:pPr>
              <w:spacing w:after="0"/>
              <w:rPr>
                <w:sz w:val="1"/>
                <w:szCs w:val="1"/>
                <w:color w:val="auto"/>
              </w:rPr>
            </w:pPr>
          </w:p>
        </w:tc>
      </w:tr>
      <w:tr>
        <w:trPr>
          <w:trHeight w:val="40"/>
        </w:trPr>
        <w:tc>
          <w:tcPr>
            <w:tcW w:w="110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80" w:type="dxa"/>
            <w:vAlign w:val="bottom"/>
            <w:tcBorders>
              <w:right w:val="single" w:sz="8" w:color="ECECEC"/>
            </w:tcBorders>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80" w:type="dxa"/>
            <w:vAlign w:val="bottom"/>
            <w:tcBorders>
              <w:right w:val="single" w:sz="8" w:color="ECECEC"/>
            </w:tcBorders>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9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005A64"/>
            </w:tcBorders>
          </w:tcPr>
          <w:p>
            <w:pPr>
              <w:spacing w:after="0"/>
              <w:rPr>
                <w:sz w:val="2"/>
                <w:szCs w:val="2"/>
                <w:color w:val="auto"/>
              </w:rPr>
            </w:pPr>
          </w:p>
        </w:tc>
        <w:tc>
          <w:tcPr>
            <w:tcW w:w="180" w:type="dxa"/>
            <w:vAlign w:val="bottom"/>
            <w:tcBorders>
              <w:right w:val="single" w:sz="8" w:color="ECECEC"/>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BNT162</w:t>
            </w:r>
          </w:p>
        </w:tc>
        <w:tc>
          <w:tcPr>
            <w:tcW w:w="148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COVID-19</w:t>
            </w:r>
          </w:p>
        </w:tc>
        <w:tc>
          <w:tcPr>
            <w:tcW w:w="140" w:type="dxa"/>
            <w:vAlign w:val="bottom"/>
            <w:vMerge w:val="restart"/>
          </w:tcPr>
          <w:p>
            <w:pPr>
              <w:spacing w:after="0"/>
              <w:rPr>
                <w:sz w:val="10"/>
                <w:szCs w:val="10"/>
                <w:color w:val="auto"/>
              </w:rPr>
            </w:pPr>
          </w:p>
        </w:tc>
        <w:tc>
          <w:tcPr>
            <w:tcW w:w="840" w:type="dxa"/>
            <w:vAlign w:val="bottom"/>
            <w:tcBorders>
              <w:bottom w:val="single" w:sz="8" w:color="ECECEC"/>
            </w:tcBorders>
          </w:tcPr>
          <w:p>
            <w:pPr>
              <w:spacing w:after="0"/>
              <w:rPr>
                <w:sz w:val="10"/>
                <w:szCs w:val="10"/>
                <w:color w:val="auto"/>
              </w:rPr>
            </w:pPr>
          </w:p>
        </w:tc>
        <w:tc>
          <w:tcPr>
            <w:tcW w:w="840" w:type="dxa"/>
            <w:vAlign w:val="bottom"/>
            <w:tcBorders>
              <w:bottom w:val="single" w:sz="8" w:color="BCDBCF"/>
            </w:tcBorders>
          </w:tcPr>
          <w:p>
            <w:pPr>
              <w:spacing w:after="0"/>
              <w:rPr>
                <w:sz w:val="10"/>
                <w:szCs w:val="10"/>
                <w:color w:val="auto"/>
              </w:rPr>
            </w:pPr>
          </w:p>
        </w:tc>
        <w:tc>
          <w:tcPr>
            <w:tcW w:w="840" w:type="dxa"/>
            <w:vAlign w:val="bottom"/>
            <w:tcBorders>
              <w:bottom w:val="single" w:sz="8" w:color="7CB9A1"/>
            </w:tcBorders>
          </w:tcPr>
          <w:p>
            <w:pPr>
              <w:spacing w:after="0"/>
              <w:rPr>
                <w:sz w:val="10"/>
                <w:szCs w:val="10"/>
                <w:color w:val="auto"/>
              </w:rPr>
            </w:pPr>
          </w:p>
        </w:tc>
        <w:tc>
          <w:tcPr>
            <w:tcW w:w="860" w:type="dxa"/>
            <w:vAlign w:val="bottom"/>
            <w:tcBorders>
              <w:bottom w:val="single" w:sz="8" w:color="3C9673"/>
            </w:tcBorders>
          </w:tcPr>
          <w:p>
            <w:pPr>
              <w:spacing w:after="0"/>
              <w:rPr>
                <w:sz w:val="10"/>
                <w:szCs w:val="10"/>
                <w:color w:val="auto"/>
              </w:rPr>
            </w:pPr>
          </w:p>
        </w:tc>
        <w:tc>
          <w:tcPr>
            <w:tcW w:w="540" w:type="dxa"/>
            <w:vAlign w:val="bottom"/>
            <w:tcBorders>
              <w:bottom w:val="single" w:sz="8" w:color="BECE33"/>
            </w:tcBorders>
          </w:tcPr>
          <w:p>
            <w:pPr>
              <w:spacing w:after="0"/>
              <w:rPr>
                <w:sz w:val="10"/>
                <w:szCs w:val="10"/>
                <w:color w:val="auto"/>
              </w:rPr>
            </w:pPr>
          </w:p>
        </w:tc>
        <w:tc>
          <w:tcPr>
            <w:tcW w:w="540" w:type="dxa"/>
            <w:vAlign w:val="bottom"/>
            <w:tcBorders>
              <w:bottom w:val="single" w:sz="8" w:color="BECE33"/>
            </w:tcBorders>
          </w:tcPr>
          <w:p>
            <w:pPr>
              <w:spacing w:after="0"/>
              <w:rPr>
                <w:sz w:val="10"/>
                <w:szCs w:val="10"/>
                <w:color w:val="auto"/>
              </w:rPr>
            </w:pPr>
          </w:p>
        </w:tc>
        <w:tc>
          <w:tcPr>
            <w:tcW w:w="180" w:type="dxa"/>
            <w:vAlign w:val="bottom"/>
            <w:tcBorders>
              <w:right w:val="single" w:sz="8" w:color="ECECEC"/>
            </w:tcBorders>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Pfizer Fosun Pharma</w:t>
            </w:r>
          </w:p>
        </w:tc>
        <w:tc>
          <w:tcPr>
            <w:tcW w:w="0" w:type="dxa"/>
            <w:vAlign w:val="bottom"/>
          </w:tcPr>
          <w:p>
            <w:pPr>
              <w:spacing w:after="0"/>
              <w:rPr>
                <w:sz w:val="1"/>
                <w:szCs w:val="1"/>
                <w:color w:val="auto"/>
              </w:rPr>
            </w:pPr>
          </w:p>
        </w:tc>
      </w:tr>
      <w:tr>
        <w:trPr>
          <w:trHeight w:val="40"/>
        </w:trPr>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80" w:type="dxa"/>
            <w:vAlign w:val="bottom"/>
            <w:tcBorders>
              <w:right w:val="single" w:sz="8" w:color="ECECEC"/>
            </w:tcBorders>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Borders>
              <w:right w:val="single" w:sz="8" w:color="ECECEC"/>
            </w:tcBorders>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Borders>
              <w:bottom w:val="single" w:sz="8" w:color="A8C7CA"/>
            </w:tcBorders>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Borders>
              <w:bottom w:val="single" w:sz="8" w:color="A8C7CA"/>
            </w:tcBorders>
          </w:tcPr>
          <w:p>
            <w:pPr>
              <w:spacing w:after="0"/>
              <w:rPr>
                <w:sz w:val="5"/>
                <w:szCs w:val="5"/>
                <w:color w:val="auto"/>
              </w:rPr>
            </w:pPr>
          </w:p>
        </w:tc>
        <w:tc>
          <w:tcPr>
            <w:tcW w:w="18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Borders>
              <w:right w:val="single" w:sz="8" w:color="ECECEC"/>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Borders>
              <w:bottom w:val="single" w:sz="8" w:color="A8C7CA"/>
            </w:tcBorders>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BNT162 + BNT161</w:t>
            </w:r>
          </w:p>
        </w:tc>
        <w:tc>
          <w:tcPr>
            <w:tcW w:w="148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COVID-19 – Influenza</w:t>
            </w:r>
          </w:p>
        </w:tc>
        <w:tc>
          <w:tcPr>
            <w:tcW w:w="140" w:type="dxa"/>
            <w:vAlign w:val="bottom"/>
          </w:tcPr>
          <w:p>
            <w:pPr>
              <w:spacing w:after="0"/>
              <w:rPr>
                <w:sz w:val="12"/>
                <w:szCs w:val="12"/>
                <w:color w:val="auto"/>
              </w:rPr>
            </w:pPr>
          </w:p>
        </w:tc>
        <w:tc>
          <w:tcPr>
            <w:tcW w:w="840" w:type="dxa"/>
            <w:vAlign w:val="bottom"/>
            <w:tcBorders>
              <w:bottom w:val="single" w:sz="8" w:color="ECECEC"/>
            </w:tcBorders>
          </w:tcPr>
          <w:p>
            <w:pPr>
              <w:spacing w:after="0"/>
              <w:rPr>
                <w:sz w:val="12"/>
                <w:szCs w:val="12"/>
                <w:color w:val="auto"/>
              </w:rPr>
            </w:pPr>
          </w:p>
        </w:tc>
        <w:tc>
          <w:tcPr>
            <w:tcW w:w="840" w:type="dxa"/>
            <w:vAlign w:val="bottom"/>
            <w:tcBorders>
              <w:bottom w:val="single" w:sz="8" w:color="BCDBCF"/>
            </w:tcBorders>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right w:val="single" w:sz="8" w:color="ECECEC"/>
            </w:tcBorders>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Pfizer</w:t>
            </w:r>
          </w:p>
        </w:tc>
        <w:tc>
          <w:tcPr>
            <w:tcW w:w="0" w:type="dxa"/>
            <w:vAlign w:val="bottom"/>
          </w:tcPr>
          <w:p>
            <w:pPr>
              <w:spacing w:after="0"/>
              <w:rPr>
                <w:sz w:val="1"/>
                <w:szCs w:val="1"/>
                <w:color w:val="auto"/>
              </w:rPr>
            </w:pPr>
          </w:p>
        </w:tc>
      </w:tr>
      <w:tr>
        <w:trPr>
          <w:trHeight w:val="39"/>
        </w:trPr>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80" w:type="dxa"/>
            <w:vAlign w:val="bottom"/>
            <w:tcBorders>
              <w:right w:val="single" w:sz="8" w:color="ECECEC"/>
            </w:tcBorders>
            <w:gridSpan w:val="2"/>
            <w:vMerge w:val="restart"/>
          </w:tcPr>
          <w:p>
            <w:pPr>
              <w:ind w:left="20"/>
              <w:spacing w:after="0" w:line="94" w:lineRule="exact"/>
              <w:rPr>
                <w:sz w:val="20"/>
                <w:szCs w:val="20"/>
                <w:color w:val="auto"/>
              </w:rPr>
            </w:pPr>
            <w:r>
              <w:rPr>
                <w:rFonts w:ascii="Times New Roman" w:cs="Times New Roman" w:eastAsia="Times New Roman" w:hAnsi="Times New Roman"/>
                <w:sz w:val="9"/>
                <w:szCs w:val="9"/>
                <w:color w:val="005A64"/>
              </w:rPr>
              <w:t>combination</w:t>
            </w: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Borders>
              <w:right w:val="single" w:sz="8" w:color="ECECEC"/>
            </w:tcBorders>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4"/>
        </w:trPr>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Borders>
              <w:right w:val="single" w:sz="8" w:color="ECECEC"/>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A8C7CA"/>
            </w:tcBorders>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Borders>
              <w:bottom w:val="single" w:sz="8" w:color="A8C7CA"/>
            </w:tcBorders>
          </w:tcPr>
          <w:p>
            <w:pPr>
              <w:spacing w:after="0"/>
              <w:rPr>
                <w:sz w:val="3"/>
                <w:szCs w:val="3"/>
                <w:color w:val="auto"/>
              </w:rPr>
            </w:pPr>
          </w:p>
        </w:tc>
        <w:tc>
          <w:tcPr>
            <w:tcW w:w="180" w:type="dxa"/>
            <w:vAlign w:val="bottom"/>
            <w:tcBorders>
              <w:right w:val="single" w:sz="8" w:color="ECECEC"/>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Borders>
              <w:right w:val="single" w:sz="8" w:color="ECECEC"/>
            </w:tcBorders>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Borders>
              <w:bottom w:val="single" w:sz="8" w:color="A8C7CA"/>
            </w:tcBorders>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Borders>
              <w:bottom w:val="single" w:sz="8" w:color="A8C7CA"/>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3C9673"/>
              </w:rPr>
              <w:t>mRNA</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BNT163</w:t>
            </w:r>
          </w:p>
        </w:tc>
        <w:tc>
          <w:tcPr>
            <w:tcW w:w="148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HSV</w:t>
            </w:r>
          </w:p>
        </w:tc>
        <w:tc>
          <w:tcPr>
            <w:tcW w:w="140" w:type="dxa"/>
            <w:vAlign w:val="bottom"/>
            <w:vMerge w:val="restart"/>
          </w:tcPr>
          <w:p>
            <w:pPr>
              <w:spacing w:after="0"/>
              <w:rPr>
                <w:sz w:val="10"/>
                <w:szCs w:val="10"/>
                <w:color w:val="auto"/>
              </w:rPr>
            </w:pPr>
          </w:p>
        </w:tc>
        <w:tc>
          <w:tcPr>
            <w:tcW w:w="840" w:type="dxa"/>
            <w:vAlign w:val="bottom"/>
            <w:tcBorders>
              <w:bottom w:val="single" w:sz="8" w:color="ECECEC"/>
            </w:tcBorders>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right w:val="single" w:sz="8" w:color="ECECEC"/>
            </w:tcBorders>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University of Pennsylvania</w:t>
            </w:r>
          </w:p>
        </w:tc>
        <w:tc>
          <w:tcPr>
            <w:tcW w:w="0" w:type="dxa"/>
            <w:vAlign w:val="bottom"/>
          </w:tcPr>
          <w:p>
            <w:pPr>
              <w:spacing w:after="0"/>
              <w:rPr>
                <w:sz w:val="1"/>
                <w:szCs w:val="1"/>
                <w:color w:val="auto"/>
              </w:rPr>
            </w:pPr>
          </w:p>
        </w:tc>
      </w:tr>
      <w:tr>
        <w:trPr>
          <w:trHeight w:val="39"/>
        </w:trPr>
        <w:tc>
          <w:tcPr>
            <w:tcW w:w="110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80" w:type="dxa"/>
            <w:vAlign w:val="bottom"/>
            <w:tcBorders>
              <w:right w:val="single" w:sz="8" w:color="ECECEC"/>
            </w:tcBorders>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Borders>
              <w:right w:val="single" w:sz="8" w:color="ECECEC"/>
            </w:tcBorders>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9"/>
        </w:trPr>
        <w:tc>
          <w:tcPr>
            <w:tcW w:w="1100" w:type="dxa"/>
            <w:vAlign w:val="bottom"/>
            <w:gridSpan w:val="2"/>
            <w:vMerge w:val="continue"/>
          </w:tcPr>
          <w:p>
            <w:pPr>
              <w:spacing w:after="0"/>
              <w:rPr>
                <w:sz w:val="5"/>
                <w:szCs w:val="5"/>
                <w:color w:val="auto"/>
              </w:rPr>
            </w:pPr>
          </w:p>
        </w:tc>
        <w:tc>
          <w:tcPr>
            <w:tcW w:w="1000" w:type="dxa"/>
            <w:vAlign w:val="bottom"/>
            <w:tcBorders>
              <w:bottom w:val="single" w:sz="8" w:color="A8C7CA"/>
            </w:tcBorders>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Borders>
              <w:bottom w:val="single" w:sz="8" w:color="A8C7CA"/>
            </w:tcBorders>
          </w:tcPr>
          <w:p>
            <w:pPr>
              <w:spacing w:after="0"/>
              <w:rPr>
                <w:sz w:val="5"/>
                <w:szCs w:val="5"/>
                <w:color w:val="auto"/>
              </w:rPr>
            </w:pPr>
          </w:p>
        </w:tc>
        <w:tc>
          <w:tcPr>
            <w:tcW w:w="18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Borders>
              <w:right w:val="single" w:sz="8" w:color="ECECEC"/>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Borders>
              <w:bottom w:val="single" w:sz="8" w:color="A8C7CA"/>
            </w:tcBorders>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BNT164</w:t>
            </w:r>
          </w:p>
        </w:tc>
        <w:tc>
          <w:tcPr>
            <w:tcW w:w="148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Tuberculosis</w:t>
            </w:r>
          </w:p>
        </w:tc>
        <w:tc>
          <w:tcPr>
            <w:tcW w:w="140" w:type="dxa"/>
            <w:vAlign w:val="bottom"/>
          </w:tcPr>
          <w:p>
            <w:pPr>
              <w:spacing w:after="0"/>
              <w:rPr>
                <w:sz w:val="10"/>
                <w:szCs w:val="10"/>
                <w:color w:val="auto"/>
              </w:rPr>
            </w:pPr>
          </w:p>
        </w:tc>
        <w:tc>
          <w:tcPr>
            <w:tcW w:w="840" w:type="dxa"/>
            <w:vAlign w:val="bottom"/>
            <w:tcBorders>
              <w:bottom w:val="single" w:sz="8" w:color="ECECEC"/>
            </w:tcBorders>
          </w:tcPr>
          <w:p>
            <w:pPr>
              <w:spacing w:after="0"/>
              <w:rPr>
                <w:sz w:val="10"/>
                <w:szCs w:val="10"/>
                <w:color w:val="auto"/>
              </w:rPr>
            </w:pPr>
          </w:p>
        </w:tc>
        <w:tc>
          <w:tcPr>
            <w:tcW w:w="840" w:type="dxa"/>
            <w:vAlign w:val="bottom"/>
            <w:tcBorders>
              <w:bottom w:val="single" w:sz="8" w:color="BCDBCF"/>
            </w:tcBorders>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right w:val="single" w:sz="8" w:color="ECECEC"/>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Funded by the Gates</w:t>
            </w: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80" w:type="dxa"/>
            <w:vAlign w:val="bottom"/>
            <w:tcBorders>
              <w:right w:val="single" w:sz="8" w:color="ECECEC"/>
            </w:tcBorders>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right w:val="single" w:sz="8" w:color="ECECEC"/>
            </w:tcBorders>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80" w:type="dxa"/>
            <w:vAlign w:val="bottom"/>
            <w:tcBorders>
              <w:right w:val="single" w:sz="8" w:color="ECECEC"/>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Borders>
              <w:right w:val="single" w:sz="8" w:color="ECECEC"/>
            </w:tcBorders>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Foundation</w:t>
            </w:r>
          </w:p>
        </w:tc>
        <w:tc>
          <w:tcPr>
            <w:tcW w:w="0" w:type="dxa"/>
            <w:vAlign w:val="bottom"/>
          </w:tcPr>
          <w:p>
            <w:pPr>
              <w:spacing w:after="0"/>
              <w:rPr>
                <w:sz w:val="1"/>
                <w:szCs w:val="1"/>
                <w:color w:val="auto"/>
              </w:rPr>
            </w:pPr>
          </w:p>
        </w:tc>
      </w:tr>
      <w:tr>
        <w:trPr>
          <w:trHeight w:val="76"/>
        </w:trPr>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0" w:type="dxa"/>
            <w:vAlign w:val="bottom"/>
            <w:tcBorders>
              <w:right w:val="single" w:sz="8" w:color="ECECEC"/>
            </w:tcBorders>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Borders>
              <w:bottom w:val="single" w:sz="8" w:color="ECECEC"/>
            </w:tcBorders>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Borders>
              <w:bottom w:val="single" w:sz="8" w:color="A8C7CA"/>
            </w:tcBorders>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Borders>
              <w:bottom w:val="single" w:sz="8" w:color="A8C7CA"/>
            </w:tcBorders>
          </w:tcPr>
          <w:p>
            <w:pPr>
              <w:spacing w:after="0"/>
              <w:rPr>
                <w:sz w:val="9"/>
                <w:szCs w:val="9"/>
                <w:color w:val="auto"/>
              </w:rPr>
            </w:pPr>
          </w:p>
        </w:tc>
        <w:tc>
          <w:tcPr>
            <w:tcW w:w="180" w:type="dxa"/>
            <w:vAlign w:val="bottom"/>
            <w:tcBorders>
              <w:right w:val="single" w:sz="8" w:color="ECECEC"/>
            </w:tcBorders>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right w:val="single" w:sz="8" w:color="ECECEC"/>
            </w:tcBorders>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Borders>
              <w:bottom w:val="single" w:sz="8" w:color="A8C7CA"/>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BNT165</w:t>
            </w:r>
          </w:p>
        </w:tc>
        <w:tc>
          <w:tcPr>
            <w:tcW w:w="160" w:type="dxa"/>
            <w:vAlign w:val="bottom"/>
            <w:vMerge w:val="restart"/>
          </w:tcPr>
          <w:p>
            <w:pPr>
              <w:spacing w:after="0"/>
              <w:rPr>
                <w:sz w:val="9"/>
                <w:szCs w:val="9"/>
                <w:color w:val="auto"/>
              </w:rPr>
            </w:pPr>
          </w:p>
        </w:tc>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Malaria</w:t>
            </w:r>
          </w:p>
        </w:tc>
        <w:tc>
          <w:tcPr>
            <w:tcW w:w="180" w:type="dxa"/>
            <w:vAlign w:val="bottom"/>
            <w:tcBorders>
              <w:right w:val="single" w:sz="8" w:color="ECECEC"/>
            </w:tcBorders>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840" w:type="dxa"/>
            <w:vAlign w:val="bottom"/>
            <w:tcBorders>
              <w:bottom w:val="single" w:sz="8" w:color="ECECEC"/>
            </w:tcBorders>
          </w:tcPr>
          <w:p>
            <w:pPr>
              <w:spacing w:after="0"/>
              <w:rPr>
                <w:sz w:val="9"/>
                <w:szCs w:val="9"/>
                <w:color w:val="auto"/>
              </w:rPr>
            </w:pPr>
          </w:p>
        </w:tc>
        <w:tc>
          <w:tcPr>
            <w:tcW w:w="840" w:type="dxa"/>
            <w:vAlign w:val="bottom"/>
            <w:tcBorders>
              <w:bottom w:val="single" w:sz="8" w:color="BCDBCF"/>
            </w:tcBorders>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right w:val="single" w:sz="8" w:color="ECECEC"/>
            </w:tcBorders>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6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A8C7CA"/>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00" w:type="dxa"/>
            <w:vAlign w:val="bottom"/>
            <w:tcBorders>
              <w:bottom w:val="single" w:sz="8" w:color="A8C7CA"/>
            </w:tcBorders>
            <w:vMerge w:val="continue"/>
          </w:tcPr>
          <w:p>
            <w:pPr>
              <w:spacing w:after="0"/>
              <w:rPr>
                <w:sz w:val="8"/>
                <w:szCs w:val="8"/>
                <w:color w:val="auto"/>
              </w:rPr>
            </w:pPr>
          </w:p>
        </w:tc>
        <w:tc>
          <w:tcPr>
            <w:tcW w:w="180" w:type="dxa"/>
            <w:vAlign w:val="bottom"/>
            <w:tcBorders>
              <w:right w:val="single" w:sz="8" w:color="ECECEC"/>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right w:val="single" w:sz="8" w:color="ECECEC"/>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180" w:type="dxa"/>
            <w:vAlign w:val="bottom"/>
            <w:tcBorders>
              <w:bottom w:val="single" w:sz="8" w:color="A8C7CA"/>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BNT166</w:t>
            </w:r>
          </w:p>
        </w:tc>
        <w:tc>
          <w:tcPr>
            <w:tcW w:w="148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Mpox</w:t>
            </w: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Funded by CEPI</w:t>
            </w:r>
            <w:r>
              <w:rPr>
                <w:rFonts w:ascii="Times New Roman" w:cs="Times New Roman" w:eastAsia="Times New Roman" w:hAnsi="Times New Roman"/>
                <w:sz w:val="11"/>
                <w:szCs w:val="11"/>
                <w:color w:val="005A64"/>
                <w:vertAlign w:val="superscript"/>
              </w:rPr>
              <w:t>(7)</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80" w:type="dxa"/>
            <w:vAlign w:val="bottom"/>
            <w:tcBorders>
              <w:right w:val="single" w:sz="8" w:color="ECECEC"/>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shd w:val="clear" w:color="auto" w:fill="ECECEC"/>
          </w:tcPr>
          <w:p>
            <w:pPr>
              <w:spacing w:after="0"/>
              <w:rPr>
                <w:sz w:val="5"/>
                <w:szCs w:val="5"/>
                <w:color w:val="auto"/>
              </w:rPr>
            </w:pPr>
          </w:p>
        </w:tc>
        <w:tc>
          <w:tcPr>
            <w:tcW w:w="840" w:type="dxa"/>
            <w:vAlign w:val="bottom"/>
            <w:shd w:val="clear" w:color="auto" w:fill="BCDBCF"/>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80" w:type="dxa"/>
            <w:vAlign w:val="bottom"/>
            <w:tcBorders>
              <w:right w:val="single" w:sz="8" w:color="ECECEC"/>
            </w:tcBorders>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940" w:type="dxa"/>
            <w:vAlign w:val="bottom"/>
            <w:tcBorders>
              <w:bottom w:val="single" w:sz="8" w:color="005A64"/>
            </w:tcBorders>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Borders>
              <w:bottom w:val="single" w:sz="8" w:color="005A64"/>
            </w:tcBorders>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Borders>
              <w:bottom w:val="single" w:sz="8" w:color="005A64"/>
            </w:tcBorders>
          </w:tcPr>
          <w:p>
            <w:pPr>
              <w:spacing w:after="0"/>
              <w:rPr>
                <w:sz w:val="5"/>
                <w:szCs w:val="5"/>
                <w:color w:val="auto"/>
              </w:rPr>
            </w:pPr>
          </w:p>
        </w:tc>
        <w:tc>
          <w:tcPr>
            <w:tcW w:w="18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Borders>
              <w:bottom w:val="single" w:sz="8" w:color="005A64"/>
            </w:tcBorders>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3C9673"/>
              </w:rPr>
              <w:t>Protein-based</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BNT331</w:t>
            </w:r>
          </w:p>
        </w:tc>
        <w:tc>
          <w:tcPr>
            <w:tcW w:w="148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Bacterial vaginosis</w:t>
            </w:r>
          </w:p>
        </w:tc>
        <w:tc>
          <w:tcPr>
            <w:tcW w:w="140" w:type="dxa"/>
            <w:vAlign w:val="bottom"/>
          </w:tcPr>
          <w:p>
            <w:pPr>
              <w:spacing w:after="0"/>
              <w:rPr>
                <w:sz w:val="10"/>
                <w:szCs w:val="10"/>
                <w:color w:val="auto"/>
              </w:rPr>
            </w:pPr>
          </w:p>
        </w:tc>
        <w:tc>
          <w:tcPr>
            <w:tcW w:w="840" w:type="dxa"/>
            <w:vAlign w:val="bottom"/>
            <w:tcBorders>
              <w:bottom w:val="single" w:sz="8" w:color="ECECEC"/>
            </w:tcBorders>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right w:val="single" w:sz="8" w:color="26948B"/>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100" w:type="dxa"/>
            <w:vAlign w:val="bottom"/>
            <w:gridSpan w:val="2"/>
            <w:vMerge w:val="restart"/>
          </w:tcPr>
          <w:p>
            <w:pPr>
              <w:ind w:left="20"/>
              <w:spacing w:after="0" w:line="94" w:lineRule="exact"/>
              <w:rPr>
                <w:sz w:val="20"/>
                <w:szCs w:val="20"/>
                <w:color w:val="auto"/>
              </w:rPr>
            </w:pPr>
            <w:r>
              <w:rPr>
                <w:rFonts w:ascii="Times New Roman" w:cs="Times New Roman" w:eastAsia="Times New Roman" w:hAnsi="Times New Roman"/>
                <w:sz w:val="9"/>
                <w:szCs w:val="9"/>
                <w:b w:val="1"/>
                <w:bCs w:val="1"/>
                <w:color w:val="3C9673"/>
              </w:rPr>
              <w:t>therapeutics</w:t>
            </w:r>
          </w:p>
        </w:tc>
        <w:tc>
          <w:tcPr>
            <w:tcW w:w="1160" w:type="dxa"/>
            <w:vAlign w:val="bottom"/>
            <w:gridSpan w:val="2"/>
            <w:vMerge w:val="continue"/>
          </w:tcPr>
          <w:p>
            <w:pPr>
              <w:spacing w:after="0"/>
              <w:rPr>
                <w:sz w:val="3"/>
                <w:szCs w:val="3"/>
                <w:color w:val="auto"/>
              </w:rPr>
            </w:pPr>
          </w:p>
        </w:tc>
        <w:tc>
          <w:tcPr>
            <w:tcW w:w="1480" w:type="dxa"/>
            <w:vAlign w:val="bottom"/>
            <w:tcBorders>
              <w:right w:val="single" w:sz="8" w:color="ECECEC"/>
            </w:tcBorders>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Borders>
              <w:right w:val="single" w:sz="8" w:color="26948B"/>
            </w:tcBorders>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4"/>
        </w:trPr>
        <w:tc>
          <w:tcPr>
            <w:tcW w:w="110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80" w:type="dxa"/>
            <w:vAlign w:val="bottom"/>
            <w:tcBorders>
              <w:right w:val="single" w:sz="8" w:color="ECECEC"/>
            </w:tcBorders>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Borders>
              <w:right w:val="single" w:sz="8" w:color="26948B"/>
            </w:tcBorders>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9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005A64"/>
            </w:tcBorders>
          </w:tcPr>
          <w:p>
            <w:pPr>
              <w:spacing w:after="0"/>
              <w:rPr>
                <w:sz w:val="2"/>
                <w:szCs w:val="2"/>
                <w:color w:val="auto"/>
              </w:rPr>
            </w:pPr>
          </w:p>
        </w:tc>
        <w:tc>
          <w:tcPr>
            <w:tcW w:w="180" w:type="dxa"/>
            <w:vAlign w:val="bottom"/>
            <w:tcBorders>
              <w:right w:val="single" w:sz="8" w:color="ECECEC"/>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right w:val="single" w:sz="8" w:color="26948B"/>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Borders>
              <w:right w:val="single" w:sz="8" w:color="ECECEC"/>
            </w:tcBorders>
          </w:tcPr>
          <w:p>
            <w:pPr>
              <w:spacing w:after="0"/>
              <w:rPr>
                <w:sz w:val="7"/>
                <w:szCs w:val="7"/>
                <w:color w:val="auto"/>
              </w:rPr>
            </w:pPr>
          </w:p>
        </w:tc>
        <w:tc>
          <w:tcPr>
            <w:tcW w:w="140" w:type="dxa"/>
            <w:vAlign w:val="bottom"/>
            <w:tcBorders>
              <w:bottom w:val="single" w:sz="8" w:color="ECECEC"/>
            </w:tcBorders>
          </w:tcPr>
          <w:p>
            <w:pPr>
              <w:spacing w:after="0"/>
              <w:rPr>
                <w:sz w:val="7"/>
                <w:szCs w:val="7"/>
                <w:color w:val="auto"/>
              </w:rPr>
            </w:pPr>
          </w:p>
        </w:tc>
        <w:tc>
          <w:tcPr>
            <w:tcW w:w="840" w:type="dxa"/>
            <w:vAlign w:val="bottom"/>
            <w:tcBorders>
              <w:bottom w:val="single" w:sz="8" w:color="ECECEC"/>
            </w:tcBorders>
          </w:tcPr>
          <w:p>
            <w:pPr>
              <w:spacing w:after="0"/>
              <w:rPr>
                <w:sz w:val="7"/>
                <w:szCs w:val="7"/>
                <w:color w:val="auto"/>
              </w:rPr>
            </w:pPr>
          </w:p>
        </w:tc>
        <w:tc>
          <w:tcPr>
            <w:tcW w:w="840" w:type="dxa"/>
            <w:vAlign w:val="bottom"/>
            <w:tcBorders>
              <w:bottom w:val="single" w:sz="8" w:color="ECECEC"/>
            </w:tcBorders>
          </w:tcPr>
          <w:p>
            <w:pPr>
              <w:spacing w:after="0"/>
              <w:rPr>
                <w:sz w:val="7"/>
                <w:szCs w:val="7"/>
                <w:color w:val="auto"/>
              </w:rPr>
            </w:pPr>
          </w:p>
        </w:tc>
        <w:tc>
          <w:tcPr>
            <w:tcW w:w="840" w:type="dxa"/>
            <w:vAlign w:val="bottom"/>
            <w:tcBorders>
              <w:bottom w:val="single" w:sz="8" w:color="ECECEC"/>
            </w:tcBorders>
          </w:tcPr>
          <w:p>
            <w:pPr>
              <w:spacing w:after="0"/>
              <w:rPr>
                <w:sz w:val="7"/>
                <w:szCs w:val="7"/>
                <w:color w:val="auto"/>
              </w:rPr>
            </w:pPr>
          </w:p>
        </w:tc>
        <w:tc>
          <w:tcPr>
            <w:tcW w:w="860" w:type="dxa"/>
            <w:vAlign w:val="bottom"/>
            <w:tcBorders>
              <w:bottom w:val="single" w:sz="8" w:color="ECECEC"/>
            </w:tcBorders>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bottom w:val="single" w:sz="8" w:color="26948B"/>
            </w:tcBorders>
          </w:tcPr>
          <w:p>
            <w:pPr>
              <w:spacing w:after="0"/>
              <w:rPr>
                <w:sz w:val="7"/>
                <w:szCs w:val="7"/>
                <w:color w:val="auto"/>
              </w:rPr>
            </w:pPr>
          </w:p>
        </w:tc>
        <w:tc>
          <w:tcPr>
            <w:tcW w:w="180" w:type="dxa"/>
            <w:vAlign w:val="bottom"/>
            <w:tcBorders>
              <w:bottom w:val="single" w:sz="8" w:color="26948B"/>
              <w:right w:val="single" w:sz="8" w:color="26948B"/>
            </w:tcBorders>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jc w:val="both"/>
        <w:ind w:left="180" w:hanging="177"/>
        <w:spacing w:after="0" w:line="293" w:lineRule="auto"/>
        <w:rPr>
          <w:sz w:val="20"/>
          <w:szCs w:val="20"/>
          <w:color w:val="auto"/>
        </w:rPr>
      </w:pPr>
      <w:r>
        <w:rPr>
          <w:rFonts w:ascii="Times New Roman" w:cs="Times New Roman" w:eastAsia="Times New Roman" w:hAnsi="Times New Roman"/>
          <w:sz w:val="13"/>
          <w:szCs w:val="13"/>
          <w:color w:val="107072"/>
        </w:rPr>
        <w:t>BioNTech has refined the presentation of its pipeline chart this quarter to align more closely with its strategic priorities. As part of this update, programs that have been out-licensed or discontinued are no longer displayed on the pipeline chart. This adjustment is intended to provide a clearer and more focused representation of BioNTech's active pipeline of product candidates.</w:t>
      </w:r>
    </w:p>
    <w:p>
      <w:pPr>
        <w:spacing w:after="0" w:line="156"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For further details about BioNTech’s rights, see quarterly reports on BioNTech’s website.</w:t>
      </w:r>
    </w:p>
    <w:p>
      <w:pPr>
        <w:spacing w:after="0" w:line="49"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The FixVac platform is fully owned by BioNTech. The BNT111 and BNT116 Phase 2 trials are jointly conducted with Regeneron as part of a cost-sharing strategic collaboration.</w:t>
      </w:r>
    </w:p>
    <w:p>
      <w:pPr>
        <w:spacing w:after="0" w:line="62"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A member of the Roche group</w:t>
      </w:r>
    </w:p>
    <w:p>
      <w:pPr>
        <w:spacing w:after="0" w:line="49" w:lineRule="exact"/>
        <w:rPr>
          <w:rFonts w:ascii="Times New Roman" w:cs="Times New Roman" w:eastAsia="Times New Roman" w:hAnsi="Times New Roman"/>
          <w:sz w:val="18"/>
          <w:szCs w:val="18"/>
          <w:color w:val="107072"/>
          <w:vertAlign w:val="superscript"/>
        </w:rPr>
      </w:pPr>
    </w:p>
    <w:p>
      <w:pPr>
        <w:ind w:left="220" w:hanging="212"/>
        <w:spacing w:after="0" w:line="209" w:lineRule="auto"/>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Trial ongoing in China only</w:t>
      </w:r>
    </w:p>
    <w:p>
      <w:pPr>
        <w:spacing w:after="0" w:line="49" w:lineRule="exact"/>
        <w:rPr>
          <w:rFonts w:ascii="Times New Roman" w:cs="Times New Roman" w:eastAsia="Times New Roman" w:hAnsi="Times New Roman"/>
          <w:sz w:val="18"/>
          <w:szCs w:val="18"/>
          <w:color w:val="107072"/>
          <w:vertAlign w:val="superscript"/>
        </w:rPr>
      </w:pPr>
    </w:p>
    <w:p>
      <w:pPr>
        <w:ind w:left="220" w:hanging="212"/>
        <w:spacing w:after="0" w:line="209" w:lineRule="auto"/>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 of a Phase 2/3 clinical trial</w:t>
      </w:r>
    </w:p>
    <w:p>
      <w:pPr>
        <w:spacing w:after="0" w:line="62" w:lineRule="exact"/>
        <w:rPr>
          <w:rFonts w:ascii="Times New Roman" w:cs="Times New Roman" w:eastAsia="Times New Roman" w:hAnsi="Times New Roman"/>
          <w:sz w:val="18"/>
          <w:szCs w:val="18"/>
          <w:color w:val="107072"/>
          <w:vertAlign w:val="superscript"/>
        </w:rPr>
      </w:pPr>
    </w:p>
    <w:p>
      <w:pPr>
        <w:ind w:left="140" w:hanging="132"/>
        <w:spacing w:after="0" w:line="235" w:lineRule="auto"/>
        <w:tabs>
          <w:tab w:leader="none" w:pos="140" w:val="left"/>
        </w:tabs>
        <w:numPr>
          <w:ilvl w:val="0"/>
          <w:numId w:val="7"/>
        </w:numPr>
        <w:rPr>
          <w:rFonts w:ascii="Times New Roman" w:cs="Times New Roman" w:eastAsia="Times New Roman" w:hAnsi="Times New Roman"/>
          <w:sz w:val="16"/>
          <w:szCs w:val="16"/>
          <w:color w:val="107072"/>
          <w:vertAlign w:val="superscript"/>
        </w:rPr>
      </w:pPr>
      <w:r>
        <w:rPr>
          <w:rFonts w:ascii="Times New Roman" w:cs="Times New Roman" w:eastAsia="Times New Roman" w:hAnsi="Times New Roman"/>
          <w:sz w:val="13"/>
          <w:szCs w:val="13"/>
          <w:color w:val="107072"/>
        </w:rPr>
        <w:t>Trial is currently being conducted by or on behalf of BioNTech. Bristol Myers Squibb holds co-exclusive rights to BNT327.</w:t>
      </w:r>
    </w:p>
    <w:p>
      <w:pPr>
        <w:spacing w:after="0" w:line="49" w:lineRule="exact"/>
        <w:rPr>
          <w:rFonts w:ascii="Times New Roman" w:cs="Times New Roman" w:eastAsia="Times New Roman" w:hAnsi="Times New Roman"/>
          <w:sz w:val="16"/>
          <w:szCs w:val="16"/>
          <w:color w:val="107072"/>
          <w:vertAlign w:val="superscript"/>
        </w:rPr>
      </w:pPr>
    </w:p>
    <w:p>
      <w:pPr>
        <w:ind w:left="160" w:hanging="152"/>
        <w:spacing w:after="0" w:line="209" w:lineRule="auto"/>
        <w:tabs>
          <w:tab w:leader="none" w:pos="16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Coalition for Epidemic Preparedness Innovations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A. Oncology Programs</w:t>
      </w:r>
    </w:p>
    <w:p>
      <w:pPr>
        <w:spacing w:after="0" w:line="16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Since our founding, we have been a multi-technology company. We believe that by combining complementary treatment modalities, we can leverage the potential of each technology to provide precise and personalized treatments to patients. Such treatments, if approved, could both increase the likelihood of therapeutic success and reduce the risk of therapeutic resistance. By building a diverse toolkit and clinical portfolio with synergistic mechanisms of action, we aim to exploit the potential of our technologies.</w:t>
      </w:r>
    </w:p>
    <w:p>
      <w:pPr>
        <w:spacing w:after="0" w:line="20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From our diverse clinical portfolio, we have identified two high-priority programs with pan-tumor potential and programs that we believe will enable us to realize our vision of addressing the full continuum of cancer: first, our mRNA cancer immunotherapy programs, iNeST and FixVac, which we believe are particularly suited for early-stage or low tumor burden cancers; and second, our late-stage clinical asset BNT327, an investigational bispecific antibody targeting PD-L1 and VEGF-A. We believe that BNT327 has the potential to become a next-generation immuno-oncology treatment backbone suitable for a broad range of cancers.</w:t>
      </w:r>
    </w:p>
    <w:p>
      <w:pPr>
        <w:sectPr>
          <w:pgSz w:w="11900" w:h="16838" w:orient="portrait"/>
          <w:cols w:equalWidth="0" w:num="1">
            <w:col w:w="11240"/>
          </w:cols>
          <w:pgMar w:left="320" w:top="167" w:right="339" w:bottom="1440" w:gutter="0" w:footer="0" w:header="0"/>
        </w:sectPr>
      </w:pPr>
    </w:p>
    <w:p>
      <w:pPr>
        <w:spacing w:after="0" w:line="321"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36</w:t>
      </w:r>
    </w:p>
    <w:p>
      <w:pPr>
        <w:sectPr>
          <w:pgSz w:w="11900" w:h="16838" w:orient="portrait"/>
          <w:cols w:equalWidth="0" w:num="1">
            <w:col w:w="11240"/>
          </w:cols>
          <w:pgMar w:left="320" w:top="167" w:right="339" w:bottom="1440" w:gutter="0" w:footer="0" w:header="0"/>
          <w:type w:val="continuous"/>
        </w:sectPr>
      </w:pPr>
    </w:p>
    <w:bookmarkStart w:id="44" w:name="page45"/>
    <w:bookmarkEnd w:id="4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1. iNeST and FixVac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i) Autogene Cevumeran (BNT122/RO7198457), an Individualized Neoantigen Specific Immunotherapy, or iNeST</w:t>
      </w:r>
    </w:p>
    <w:p>
      <w:pPr>
        <w:spacing w:after="0" w:line="14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 xml:space="preserve">Autogene cevumeran is an investigational individualized cancer immunotherapy based on specific neoantigens that are present on a patient’s tumor. As to our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programs, our iNeST approach is also based on pharmacologically optimized uridine mRNA, or uRNA, delivered in our proprietary RNA-LPX formulation. The RNA-LPX is designed to deliver RNA to dendritic cells, or DCs, the antigen-presenting cells in the lymphoid organs that are crucial for the initiation of adaptive immune responses, and protects RNA from degradation by RNAse. iNeST candidates are informed by the mutation profile of a patient’s individual tumor and manufactured on-demand. The RNA encodes a unique composition of neoantigens selected on a patient-by-patient basis and results in generation of neoantigen specific CD4+ and CD8+ T cell responses against the respective neoantigens. The aim of this approach is to generate and amplify anti-tumor immune responses and thus broaden the spectrum of tumor targets that can be recognized by the immune system, which is a prerequisite for clinical activity.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Phase 2 Clinical Trial in Adjuvant Colorectal Cancer, or CRC</w:t>
      </w:r>
    </w:p>
    <w:p>
      <w:pPr>
        <w:spacing w:after="0" w:line="146" w:lineRule="exact"/>
        <w:rPr>
          <w:sz w:val="20"/>
          <w:szCs w:val="20"/>
          <w:color w:val="auto"/>
        </w:rPr>
      </w:pPr>
    </w:p>
    <w:p>
      <w:pPr>
        <w:ind w:left="220" w:hanging="204"/>
        <w:spacing w:after="0" w:line="32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open-label Phase 2 clinical trial (BNT122-01; NCT04486378) evaluating autogene cevumeran as an adjuvant treatment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circulating tumor DNA, or ctDNA, positive, surgically resected Stage II (high risk)/Stage III CRC is ongoing. The trial is expected to enroll about 327 patients to evaluate the efficacy of autogene cevumeran compared to watchful waiting after surgery and chemotherapy, which is the current standard of care for these high-risk patients. The primary endpoint for the trial is disease-free survival, or DFS. Secondary objectives include OS and safety. We plan to disclose the first data from the ongoing Phase 2 trial in Stage II (high-risk)/ Stage III ctDNA+ adjuvant CRC in late 2025 or early 2026.</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Phase 2 Clinical Trial in Adjuvant High-risk Muscle-invasive Urothelial Carcinoma, or MIUC</w:t>
      </w:r>
    </w:p>
    <w:p>
      <w:pPr>
        <w:spacing w:after="0" w:line="146" w:lineRule="exact"/>
        <w:rPr>
          <w:sz w:val="20"/>
          <w:szCs w:val="20"/>
          <w:color w:val="auto"/>
        </w:rPr>
      </w:pPr>
    </w:p>
    <w:p>
      <w:pPr>
        <w:ind w:left="220" w:right="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(IMCODE-004; NCT06534983) evaluating autogene cevumeran as an adjuvant treatment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nivolumab in patients with high-risk MIUC is currently on voluntary temporary hold by the trial sponsor, Roche, following a safety event observed in the safety run-in portion of the trial. The trial aims to enroll approximately 362 patients to evaluate the efficacy of autogene cevumeran in combination with nivolumab compared to nivolumab alone. The primary endpoint for the trial is investigator-assessed DFS. Secondary endpoints include OS and safety.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Phase 2 Clinical Trial in Adjuvant Pancreatic Ductal Adenocarcinoma, or PDAC</w:t>
      </w:r>
    </w:p>
    <w:p>
      <w:pPr>
        <w:spacing w:after="0" w:line="146"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(IMCODE003; NCT05968326) evaluating autogene cevumeran in combination with atezolizumab followed by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standard-of-care chemotherapy (mFOLFIRINOX) in patients with resected PDAC compared to chemotherapy alone is ongoing. The Phase 2 trial is expected to enroll 260 patients with resected PDAC who have not received prior systemic anti-cancer treatment and showed no evidence of disease after surgery. The primary endpoint is DFS. Secondary endpoints include OS and safety.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Phase 2 Clinical Trial in First-line Advanced Melanoma</w:t>
      </w:r>
    </w:p>
    <w:p>
      <w:pPr>
        <w:spacing w:after="0" w:line="146"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IMCODE001 (NCT03815058) trial was the first randomized Phase 2 clinical trial with an iNeST-based candidate as part of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broader IMCODE study program. The trial evaluated the efficacy and safety of autogene cevumeran in combination with pembrolizumab versus pembrolizumab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37</w:t>
            </w:r>
          </w:p>
        </w:tc>
      </w:tr>
    </w:tbl>
    <w:p>
      <w:pPr>
        <w:sectPr>
          <w:pgSz w:w="11900" w:h="16838" w:orient="portrait"/>
          <w:cols w:equalWidth="0" w:num="1">
            <w:col w:w="11240"/>
          </w:cols>
          <w:pgMar w:left="320" w:top="167" w:right="339" w:bottom="1440" w:gutter="0" w:footer="0" w:header="0"/>
        </w:sectPr>
      </w:pPr>
    </w:p>
    <w:bookmarkStart w:id="45" w:name="page46"/>
    <w:bookmarkEnd w:id="4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spacing w:after="0" w:line="344" w:lineRule="auto"/>
        <w:rPr>
          <w:sz w:val="20"/>
          <w:szCs w:val="20"/>
          <w:color w:val="auto"/>
        </w:rPr>
      </w:pPr>
      <w:r>
        <w:rPr>
          <w:rFonts w:ascii="Times New Roman" w:cs="Times New Roman" w:eastAsia="Times New Roman" w:hAnsi="Times New Roman"/>
          <w:sz w:val="18"/>
          <w:szCs w:val="18"/>
          <w:color w:val="080509"/>
        </w:rPr>
        <w:t>alone as a potential first-line treatment for patients with previously untreated advanced melanoma. The primary endpoint was progression free survival, or PFS, and was events-based. Secondary endpoints included OS, ORR, DOR and safety.</w:t>
      </w:r>
    </w:p>
    <w:p>
      <w:pPr>
        <w:spacing w:after="0" w:line="217" w:lineRule="exact"/>
        <w:rPr>
          <w:sz w:val="20"/>
          <w:szCs w:val="20"/>
          <w:color w:val="auto"/>
        </w:rPr>
      </w:pPr>
    </w:p>
    <w:p>
      <w:pPr>
        <w:ind w:left="220" w:hanging="204"/>
        <w:spacing w:after="0" w:line="31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January 2025, the IMCODE001 trial was completed. While the initial data of the primary analysis support our findings across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broader autogene cevumeran study program demonstrating that autogene cevumeran can induce and expand high-magnitude and long-lived de novo immune responses against the encoded neoantigens in this aggressive stage of melanoma, the trial did not meet its primary efficacy endpoint of statically significant improvement of PFS in this advanced treatment setting. A numerical trend favoring the combination arm in OS was observed. The combination of autogene cevumeran with PD-L1 checkpoint blockade was well tolerated and adverse events were consistent with the known safety profiles of the individual trial treatments, with no new safety signals observed. The analysis of the results of the IMCODE001 trial, including further exploratory endpoints and extensive biomarker correlations, is ongoing. We plan to present the topline data as a poster at the European Society For Medical Oncology, or ESMO, Congress 2025. We believe these topline data support proof of concept for our mRNA cancer immunotherapy approach and our therapeutic strategy to pursue autogene cevumeran to address the unmet medical need in the treatment of resectable cancers and in adjuvant or minimal residual disease treatment settings, while we are evaluating novel immune-oncology, or IO, combinations for the treatment of advanced, rapidly progressing high-volume tumors.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Autogene Cevumeran (BNT122/RO7198457) in multiple solid tumors</w:t>
      </w:r>
    </w:p>
    <w:p>
      <w:pPr>
        <w:spacing w:after="0" w:line="14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July 2025, the Phase 1 clinical trial (NCT03289962) evaluating autogene cevumeran alone and in combination with atezolizumab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patients with locally advanced or metastatic solid tumors, including patients with melanoma, NSCLC, bladder cancer, CRC, triple negative breast cancer, or TNBC, renal cancer, head and neck cancer and sarcomas as well as other solid tumors was completed.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ii) FixVac</w:t>
      </w:r>
    </w:p>
    <w:p>
      <w:pPr>
        <w:spacing w:after="0" w:line="142"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i w:val="1"/>
          <w:iCs w:val="1"/>
          <w:color w:val="080509"/>
        </w:rPr>
        <w:t xml:space="preserve">FixVac </w:t>
      </w:r>
      <w:r>
        <w:rPr>
          <w:rFonts w:ascii="Times New Roman" w:cs="Times New Roman" w:eastAsia="Times New Roman" w:hAnsi="Times New Roman"/>
          <w:sz w:val="18"/>
          <w:szCs w:val="18"/>
          <w:color w:val="080509"/>
        </w:rPr>
        <w:t>is our fully owned, systemic, off-the-shelf mRNA-based cancer immunotherapy approach, from which we are developing several</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 xml:space="preserve">potential first-in-class product candidates.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product candidates contain our optimized uridine-RNA delivered in our proprietary RNA-lipoplex nanoparticles, or RNA-LPX, formulation for intravenous administration. The proprietary RNA-LPX protects the RNA from degradation by RNAse and is designed for RNA delivery into antigen-presenting cells in lymphoid organs body-wide.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candidates are designed to target shared antigens that have been identified to be frequently expressed across patients with a specific cancer type. These product candidates are designed to trigger both innate and adaptive immune responses.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BNT111 in advanced melanoma</w:t>
      </w:r>
    </w:p>
    <w:p>
      <w:pPr>
        <w:spacing w:after="0" w:line="146"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Phase 2 clinical trial (BNT111-01; NCT04526899) is being conducted in collaboration with Regeneron Pharmaceuticals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 or Regeneron, to evaluate BNT111 in combination with cemiplimab in 184 enrolled patients with anti-PD-(L)1 refractory/relapsed, unresectable Stage III or IV melanoma. The primary endpoint is objective response rate, or ORR. Secondary endpoints include duration of response, or DOR, disease control rate, or DCR, time to response, or TTR, progression-free survival, or PFS, overall survival, or OS, and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38</w:t>
            </w:r>
          </w:p>
        </w:tc>
      </w:tr>
    </w:tbl>
    <w:p>
      <w:pPr>
        <w:sectPr>
          <w:pgSz w:w="11900" w:h="16838" w:orient="portrait"/>
          <w:cols w:equalWidth="0" w:num="1">
            <w:col w:w="11240"/>
          </w:cols>
          <w:pgMar w:left="320" w:top="167" w:right="339" w:bottom="1440" w:gutter="0" w:footer="0" w:header="0"/>
        </w:sectPr>
      </w:pPr>
    </w:p>
    <w:bookmarkStart w:id="46" w:name="page47"/>
    <w:bookmarkEnd w:id="4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2024, we announced that the trial met its primary efficacy outcome measure, demonstrating a statistically significant improvement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ORR in patients treated with BNT111 in combination with cemiplimab, as compared to a historical control in this indication and setting. The ORR in the cemiplimab monotherapy arm was in line with the historical control of anti-PD-(L)1 or anti-CTLA-4 treatments in this patient group. The treatment was generally well tolerated and the safety profile of BNT111 in combination with cemiplimab in this trial was consistent with previous clinical trials assessing BNT111 in combination with anti-PD-(L)1-containing treatments. The Phase 2 trial will continue as planned to further assess the secondary endpoints which were not mature at the time of the primary analysis. We plan to present these data at the ESMO Congress 2025.</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BNT113 in Human Papilloma Virus 16-positive, or HPV16+, head and neck cancer</w:t>
      </w:r>
    </w:p>
    <w:p>
      <w:pPr>
        <w:spacing w:after="0" w:line="14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randomized Phase 2/3 clinical trial (AHEAD-MERIT; NCT04534205) is being conducted to evaluate BNT113 in combination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pembrolizumab versus pembrolizumab monotherapy as a first-line treatment in patients with unresectable recurrent or metastatic, PD-L1+, HPV16+ head and neck squamous cell carcinoma, or HNSCC.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BNT116 in advanced non-small-cell lung cancer, or NSCLC</w:t>
      </w:r>
    </w:p>
    <w:p>
      <w:pPr>
        <w:spacing w:after="0" w:line="14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controlled Phase 2 clinical trial (EMPOWERVAX Lung 1; NCT05557591) is being conducted in collaboration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Regeneron to evaluate BNT116 in combination with cemiplimab versus cemiplimab alone as first-line treatment of patients with advanced NSCLC whose tumors express PD-L1 in ≥ 50% of their tumor cells. The primary objective of the Phase 2 trial is to assess the ORR per blinded-independent review committee.</w:t>
      </w:r>
    </w:p>
    <w:p>
      <w:pPr>
        <w:spacing w:after="0" w:line="200" w:lineRule="exact"/>
        <w:rPr>
          <w:sz w:val="20"/>
          <w:szCs w:val="20"/>
          <w:color w:val="auto"/>
        </w:rPr>
      </w:pPr>
    </w:p>
    <w:p>
      <w:pPr>
        <w:spacing w:after="0" w:line="285"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(LuCa-MERIT-1; NCT05142189) is being conducted to evaluate BNT116 as monotherapy and in several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combinations including with chemotherapy, cemiplimab, and some of our proprietary assets across various treatment lines and clinical settings in patients with NSCLC.</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May 2025, the first patient was dosed in a new cohort evaluating BNT116 in combination with our and DualityBio’s B7-H3 antibody-drug conjugate, BNT324/DB-1311.</w:t>
      </w:r>
    </w:p>
    <w:p>
      <w:pPr>
        <w:spacing w:after="0" w:line="216"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April 2025, at the 2025 Annual Meeting of the American Association for Cancer Research, or AACR, data from a cohort with frail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patients from the Phase 1 trial described above were presented. The preliminary data showed anti-tumor activity, consistent immune response induction and a manageable safety profile in patients with PD-L1 positive (TPS≥1%) unresectable Stage III or metastatic Stage IV NSCLC who are not eligible for chemotherapy as first-line treatment.</w:t>
      </w:r>
    </w:p>
    <w:p>
      <w:pPr>
        <w:spacing w:after="0" w:line="208"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Data from a cohort evaluating BNT116 in combination with cemiplimab in patients with NSCLC who have received chemoradiotherapy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will be provided at the 2025 World Conference on Lung Cancer, or WCLC, in Barcelona, Spain, from September 6-9,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2. BNT327, a Bispecific Antibody Candidate Targeting PD-L1 and VEGF-A</w:t>
      </w:r>
    </w:p>
    <w:p>
      <w:pPr>
        <w:spacing w:after="0" w:line="14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BNT327 is a bispecific antibody candidate targeting both PD-L1 and VEGF-A, which was previously being developed in collaboration with Biotheus. In February 2025, we announced the completion of our acquisition of Biotheus. With the acquisition, we obtained full global rights to the late-stage clinical asset BNT327. In June 2025, we entered into a global co-development and co-commercialization agreement with Bristol Myers Squibb to jointly develop, manufacture and commercialize BNT327 across numerous solid tumor types.</w:t>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39</w:t>
            </w:r>
          </w:p>
        </w:tc>
      </w:tr>
    </w:tbl>
    <w:p>
      <w:pPr>
        <w:sectPr>
          <w:pgSz w:w="11900" w:h="16838" w:orient="portrait"/>
          <w:cols w:equalWidth="0" w:num="1">
            <w:col w:w="11240"/>
          </w:cols>
          <w:pgMar w:left="320" w:top="167" w:right="339" w:bottom="1440" w:gutter="0" w:footer="0" w:header="0"/>
        </w:sectPr>
      </w:pPr>
    </w:p>
    <w:bookmarkStart w:id="47" w:name="page48"/>
    <w:bookmarkEnd w:id="4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BNT327 is currently being evaluated in multiple Phase 2 and Phase 3 global and China-only clinical trials to assess its efficacy and safety as monotherapy or in combination with chemotherapy in various indications. BNT327 is also being evaluated in combination with next-generation ADC candidates BNT323/DB-1303, BNT324/DB13-11, BNT325/DB-1305 and in combination with bispecific candidate BNT3213. We also plan to start evaluating BNT327 in combination with our other clinical-stage programs, including BNT326/YL202 and BNT314/GEN1059 this year.</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Ongoing Phase 3 Clinical Trial in First-Line Extensive-Stage Small Cell Lung Cancer, or ES-SCLC</w:t>
      </w:r>
    </w:p>
    <w:p>
      <w:pPr>
        <w:spacing w:after="0" w:line="144"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Phase 3 clinical trial (ROSETTA Lung-01; NCT06712355) is being conducted to evaluate BNT327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chemotherapy compared to atezolizumab in combination with chemotherapy in patients with first-line ES-SCLC.</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June 2025, a trial-in-progress poster on this clinical trial was presented at the 2025 American Society of Clinical Oncology, or ASCO,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Annual Meeting which took place in Chicago, Illinois from May 30 - June 3,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June 2025, BNT327 received Orphan Drug Designation from the FDA for the treatment of small cell lung cancer.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3 Clinical Trial in Second-Line Small-Cell Lung Cancer, or 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3 clinical trial (NCT06616532) is being conducted in China to evaluate BNT327 in combination with chemotherapy compared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investigator’s choice chemotherapy in patients with second-line 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ES-SCLC</w:t>
      </w:r>
    </w:p>
    <w:p>
      <w:pPr>
        <w:spacing w:after="0" w:line="144"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(NCT06449209) is being conducted to evaluate BNT327 in combination with chemotherapy in patients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untreated ES-SCLC and in patients with SCLC that progressed after first- or second-line treatment. The trial is fully enrolled and treatment is ongoing. Data from this trial is expected in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First-Line ES-SCLC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(NCT05844150) is being conducted in China to evaluate BNT327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first-line ES-SCLC.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Second-Line 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(NCT05879068) is being conducted in China to evaluate BNT327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second-line 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2/3 Clinical Trial in First-Line NSCLC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Phase 2/3 clinical trial (ROSETTA Lung-02; NCT06712316) is being conducted to evaluate BNT327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chemotherapy compared to pembrolizumab and chemotherapy in patients with first-line NSCLC.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June 2025, a trial-in-progress poster on this clinical trial was presented at the 2025 ASCO Annual Meeting.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40</w:t>
            </w:r>
          </w:p>
        </w:tc>
      </w:tr>
    </w:tbl>
    <w:p>
      <w:pPr>
        <w:sectPr>
          <w:pgSz w:w="11900" w:h="16838" w:orient="portrait"/>
          <w:cols w:equalWidth="0" w:num="1">
            <w:col w:w="11240"/>
          </w:cols>
          <w:pgMar w:left="320" w:top="167" w:right="339" w:bottom="1440" w:gutter="0" w:footer="0" w:header="0"/>
        </w:sectPr>
      </w:pPr>
    </w:p>
    <w:bookmarkStart w:id="48" w:name="page49"/>
    <w:bookmarkEnd w:id="4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Second-Line NSCLC</w:t>
      </w:r>
    </w:p>
    <w:p>
      <w:pPr>
        <w:spacing w:after="0" w:line="144"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(NCT06841055) is being conducted to evaluate BNT327 in combination with chemotherapy in patients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second-line NSCLC.</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EGFR-mutant Non-Squamous NSCLC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(NCT05756972) is being conducted in China to evaluate BNT327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EGFR-mutant non-squamous NSCLC who progressed after EGFR-tyrosine kinase inhibitor treatment.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3 Clinical Trial in Locally Advanced or Metastatic First-Line TNBC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3 clinical trial (NCT06419621) is being conducted in China to evaluate BNT327 in combination with chemotherapy compared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chemotherapy alone in patients with first-line locally advanced or metastatic TNBC.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Locally Advanced or Metastatic TNBC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(NCT06449222) is being conducted to evaluate BNT327 in combination with chemotherapy in patients with first-and second-line locally advanced or metastatic TNBC. Data from this trial is expected in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3 clinical trial in patients with first-line TNBC (ROSETTA Breast-01) is expected to start in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1/2 Clinical Trial in Locally Advanced/Metastatic TNBC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(NCT05918133) is being conducted in China to evaluate BNT327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locally advanced or metastatic TNBC without previous systematic treatment.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Malignant Mesothelioma</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(NCT05918107) is being conducted in China to evaluate BNT327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first-line malignant mesothelioma.</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June 2025, the first data from this trial were presented in an oral presentation at the 2025 ASCO Annual Meeting. The preliminary data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indicated anti-tumor activity and a manageable safety profile.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Neuroendocrine Neoplasm, or NEN</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(NCT05879055) is being conducted in China to evaluate BNT327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second-line NEN.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Hepatocellular Carcinoma, or HCC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(NCT05864105) is being conducted in China to evaluate BNT327 in combination with chemotherapy as a first-line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treatment for unresectable HCC.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1/2 Clinical Trial in First Line HCC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(NCT06584071) is being conducted in China to evaluate BNT327 in combination with BNT3213, a novel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bispecific antibody candidate targeting TIGIT and PVRIG, in patients with locally advanced or metastatic HCC.</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41</w:t>
      </w:r>
    </w:p>
    <w:p>
      <w:pPr>
        <w:sectPr>
          <w:pgSz w:w="11900" w:h="16838" w:orient="portrait"/>
          <w:cols w:equalWidth="0" w:num="1">
            <w:col w:w="11240"/>
          </w:cols>
          <w:pgMar w:left="320" w:top="167" w:right="339" w:bottom="1440" w:gutter="0" w:footer="0" w:header="0"/>
          <w:type w:val="continuous"/>
        </w:sectPr>
      </w:pPr>
    </w:p>
    <w:bookmarkStart w:id="49" w:name="page50"/>
    <w:bookmarkEnd w:id="4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Ongoing Phase 1/2 Clinical Trial in Advanced Solid Tumors</w:t>
      </w:r>
    </w:p>
    <w:p>
      <w:pPr>
        <w:spacing w:after="0" w:line="144"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(NCT05918445) is being conducted in China to evaluate BNT327 as a monotherapy in patients with advanced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solid tumors.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have initiated several signal-seeking clinical trials to evaluate BNT327 with some of our proprietary novel assets in our portfolio: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BNT323/DB-1303 Phase 1/2 Clinical Trial in Advanced/Metastatic Breast Cancer</w:t>
      </w:r>
    </w:p>
    <w:p>
      <w:pPr>
        <w:spacing w:after="0" w:line="144"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May 2025, the first patient was dosed in a Phase 1/2 clinical trial (NCT06827236) evaluating BNT323/DB-1303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BNT327 in patients with hormone receptor-positive (HR+) or hormone receptor-negative (HR-), human epidermal growth factor (HER)2-low, ultra-low, or null advanced metastatic breast cancer or TNBC.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BNT324/DB-1311 Phase 1/2 Clinical Trial in Advanced Lung Cancers</w:t>
      </w:r>
    </w:p>
    <w:p>
      <w:pPr>
        <w:spacing w:after="0" w:line="212" w:lineRule="exact"/>
        <w:rPr>
          <w:sz w:val="20"/>
          <w:szCs w:val="20"/>
          <w:color w:val="auto"/>
        </w:rPr>
      </w:pPr>
    </w:p>
    <w:p>
      <w:pPr>
        <w:ind w:left="220" w:right="34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May 2025, the first patient was dosed in a Phase 1/2 clinical trial (NCT06892548) evaluating BNT324/DB-1311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BNT327 in patients with advanced lung cancers.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BNT324/DB-1311 Phase 2 Clinical Trial in Advanced/Metastatic Solid Tumors</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July 2025, the first patient was dosed in a Phase 2 clinical trial (NCT06953089) evaluating BNT324/DB-1311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BNT327 or with TROP2 ADC candidate BNT325/DB-1305 in patients with advanced solid tumors.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BNT325/DB-1305 Phase 1/2 Clinical Trial in Advanced Solid Tumors</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(NCT05438329) is being conducted to evaluate BNT325/DB-1305 in patients with advanced solid tumors. As part of this clinical trial, BNT327 is being evaluated in combination with BNT325/DB-1305 in various solid tumor indications.</w:t>
      </w:r>
    </w:p>
    <w:p>
      <w:pPr>
        <w:spacing w:after="0" w:line="217"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April 2025, at AACR 2025 Annual Meeting, we presented the first clinical data evaluating the combination of BNT327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BNT325/DB-1305. The preliminary data showed a manageable safety profile and early signs of anti-tumor activity in a cohort with patients with platinum-resistant ovarian cancer. Responses were also observed in patients with NSCLC or TNBC.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BNT326/YL202 Phase 1/2 Clinical Trial in Advanced Solid Tumors</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(NCT07070232) to evaluate BNT326/YL202 as monotherapy and in combination with BNT327 in advanced solid tumors is expected to start in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BNT314/GEN1059 Phase 1/2 Clinical Trial in Advanced/Metastatic colorectal cancer</w:t>
      </w:r>
    </w:p>
    <w:p>
      <w:pPr>
        <w:spacing w:after="0" w:line="144" w:lineRule="exact"/>
        <w:rPr>
          <w:sz w:val="20"/>
          <w:szCs w:val="20"/>
          <w:color w:val="auto"/>
        </w:rPr>
      </w:pPr>
    </w:p>
    <w:p>
      <w:pPr>
        <w:ind w:right="100"/>
        <w:spacing w:after="0" w:line="344" w:lineRule="auto"/>
        <w:rPr>
          <w:sz w:val="20"/>
          <w:szCs w:val="20"/>
          <w:color w:val="auto"/>
        </w:rPr>
      </w:pPr>
      <w:r>
        <w:rPr>
          <w:rFonts w:ascii="Times New Roman" w:cs="Times New Roman" w:eastAsia="Times New Roman" w:hAnsi="Times New Roman"/>
          <w:sz w:val="18"/>
          <w:szCs w:val="18"/>
          <w:color w:val="080509"/>
        </w:rPr>
        <w:t>A Phase 1/2 clinical trial (NCT07079631) to evaluate BNT327 and/or chemotherapy in combination with BNT314/GEN1059 in patients with advanced colorectal cancer is expected to start in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3. Antibody-Drug Conjugates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a. BNT323/DB-1303, an ADC in Development in Collaboration with DualityBio</w:t>
      </w:r>
    </w:p>
    <w:p>
      <w:pPr>
        <w:spacing w:after="0" w:line="14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BNT323/DB-1303 (trastuzumab pamirtecan) is a topoisomerase-1 inhibitor-based ADC directed against Human Epidermal Growth Factor Receptor 2, or HER2, a target that is over-expressed in a variety of cancers and contributes to the aggressive growth and spread of cancer cells.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42</w:t>
            </w:r>
          </w:p>
        </w:tc>
      </w:tr>
    </w:tbl>
    <w:p>
      <w:pPr>
        <w:sectPr>
          <w:pgSz w:w="11900" w:h="16838" w:orient="portrait"/>
          <w:cols w:equalWidth="0" w:num="1">
            <w:col w:w="11240"/>
          </w:cols>
          <w:pgMar w:left="320" w:top="167" w:right="339" w:bottom="1440" w:gutter="0" w:footer="0" w:header="0"/>
        </w:sectPr>
      </w:pPr>
    </w:p>
    <w:bookmarkStart w:id="50" w:name="page51"/>
    <w:bookmarkEnd w:id="5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received Fast Track Designation and Breakthrough Therapy designation from the FDA for advanced endometrial cancer.</w:t>
      </w:r>
    </w:p>
    <w:p>
      <w:pPr>
        <w:spacing w:after="0" w:line="333" w:lineRule="exact"/>
        <w:rPr>
          <w:sz w:val="20"/>
          <w:szCs w:val="20"/>
          <w:color w:val="auto"/>
        </w:rPr>
      </w:pPr>
    </w:p>
    <w:p>
      <w:pPr>
        <w:ind w:left="220" w:right="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ongoing randomized, multi-site, open-label, pivotal Phase 3 clinical trial (DYNASTY-Breast02; NCT06018337) is recruiting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evaluate BNT323/DB-1303 versus the investigator’s choice of chemotherapy in advanced or metastatic HR+, HER2-low breast cancer subjects whose disease has progressed on at least two lines of prior endocrine therapy or within six months of first-line endocrine therapy and cyclin-dependent 4/6, or CDK4/6, inhibitor and no prior chemotherapy. The trial aims to enroll approximately 532 patients. The primary endpoint is PFS. Secondary endpoints include OS, ORR, DCR, DOR and safety, as well as patient-reported outcomes.</w:t>
      </w:r>
    </w:p>
    <w:p>
      <w:pPr>
        <w:spacing w:after="0" w:line="240"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multi-site, non-randomized, open-label, multiple dose, first-in-human Phase 1/2 clinical trial (NCT05150691) is being conducted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evaluate BNT323/DB-1303 in patients with advanced/unresectable, recurrent, or metastatic HER2-expressing solid tumors. A potential registrational cohort with HER2-expressing (IHC3+, 2+, 1+ or ISH-positive) patients with advanced/recurrent endometrial cancer has completed enrollment. Data from this cohort are expected in 2026.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3 trial (NCT06340568) to evaluate BNT323/DB-1303 in patients with advanced endometrial cancer is expected to start in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ii. BNT324/DB-1311, an ADC in Development in Collaboration with DualityBio</w:t>
      </w:r>
    </w:p>
    <w:p>
      <w:pPr>
        <w:spacing w:after="0" w:line="14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BNT324/DB-1311 is a topoisomerase-1 inhibitor-based ADC directed against B7H3. It has received Fast Track Designation from the FDA for the treatment of patients with advanced/unresectable, or metastatic CRPC, who have progressed on or after standard systemic regimens. It has also received Orphan Drug Designation from the FDA for the treatment of patients with advanced or metastatic esophageal squamous cell carcinoma.</w:t>
      </w:r>
    </w:p>
    <w:p>
      <w:pPr>
        <w:spacing w:after="0" w:line="200" w:lineRule="exact"/>
        <w:rPr>
          <w:sz w:val="20"/>
          <w:szCs w:val="20"/>
          <w:color w:val="auto"/>
        </w:rPr>
      </w:pPr>
    </w:p>
    <w:p>
      <w:pPr>
        <w:spacing w:after="0" w:line="28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first-in-human, open-label Phase 1/2 clinical trial (NCT05914116) is being conducted to evaluate BNT324/DB-1311 in patients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advanced solid tumors. In June 2025, at the 2025 ASCO Annual Meeting, CRPC data from this trial were presented. In 73 patients with heavily pretreated CRPC, BNT324/DB-1311 was observed to have a manageable safety profile and showed encouraging preliminary clinical activity.</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iii. BNT325/DB-1305, an ADC in Development in Collaboration with DualityBio</w:t>
      </w:r>
    </w:p>
    <w:p>
      <w:pPr>
        <w:spacing w:after="0" w:line="14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BNT325/DB-1305 is a topoisomerase-1 inhibitor-based ADC directed against TROP2. It has received Fast Track Designation from the FDA for the treatment of patients with PROC, fallopian tube, or primary peritoneal cancer who have received one to three prior systemic treatment regimens.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multi-center, non-randomized, open-label, multiple-dose, first-in-human Phase 1/2 clinical trial (NCT05438329) evaluating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BNT325/DB-1305 in patients with advanced solid tumors is ongoing. As part of this clinical trial, BNT325/DB-1305 is being studied in combination with BNT327 in various solid tumor indications.</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 aforementioned, in April 2025 at the 2025 AACR Annual Meeting, we presented the first clinical data evaluating the combination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BNT325/DB-1305 plus BNT327 from the ongoing global Phase 1/2 (NCT05438329) expansion cohorts.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43</w:t>
            </w:r>
          </w:p>
        </w:tc>
      </w:tr>
    </w:tbl>
    <w:p>
      <w:pPr>
        <w:sectPr>
          <w:pgSz w:w="11900" w:h="16838" w:orient="portrait"/>
          <w:cols w:equalWidth="0" w:num="1">
            <w:col w:w="11240"/>
          </w:cols>
          <w:pgMar w:left="320" w:top="167" w:right="339" w:bottom="1440" w:gutter="0" w:footer="0" w:header="0"/>
        </w:sectPr>
      </w:pPr>
    </w:p>
    <w:bookmarkStart w:id="51" w:name="page52"/>
    <w:bookmarkEnd w:id="5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iv. BNT326/YL202, an ADC in Development in Collaboration with MediLink Therapeutics</w:t>
      </w:r>
    </w:p>
    <w:p>
      <w:pPr>
        <w:spacing w:after="0" w:line="14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BNT326/YL202 is a topoisomerase-1 inhibitor-based ADC directed against HER3. HER3 is a target that is overexpressed in various cancer types, such as NSCLC and breast cancer, and is closely associated with tumor metastasis and disease progression. Furthermore, HER3 expression is upregulated after frontline drug therapy, making it an adequate target for cancer treatment resistance.</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multi-site, international, open-label, first-in-human Phase 1 clinical trial (NCT05653752) is being conducted to evaluate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BNT326/YL202 as a later-line treatment in patients with locally advanced or metastatic EGFR-mutated NSCLC or HR-positive and HER2-negative breast cancer.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4. Other Antibody Product Candidates</w:t>
      </w:r>
    </w:p>
    <w:p>
      <w:pPr>
        <w:spacing w:after="0" w:line="187" w:lineRule="exact"/>
        <w:rPr>
          <w:sz w:val="20"/>
          <w:szCs w:val="20"/>
          <w:color w:val="auto"/>
        </w:rPr>
      </w:pPr>
    </w:p>
    <w:p>
      <w:pPr>
        <w:ind w:left="200" w:hanging="192"/>
        <w:spacing w:after="0"/>
        <w:tabs>
          <w:tab w:leader="none" w:pos="200" w:val="left"/>
        </w:tabs>
        <w:numPr>
          <w:ilvl w:val="0"/>
          <w:numId w:val="42"/>
        </w:numPr>
        <w:rPr>
          <w:rFonts w:ascii="Times New Roman" w:cs="Times New Roman" w:eastAsia="Times New Roman" w:hAnsi="Times New Roman"/>
          <w:sz w:val="18"/>
          <w:szCs w:val="18"/>
          <w:color w:val="005A64"/>
        </w:rPr>
      </w:pPr>
      <w:r>
        <w:rPr>
          <w:rFonts w:ascii="Times New Roman" w:cs="Times New Roman" w:eastAsia="Times New Roman" w:hAnsi="Times New Roman"/>
          <w:sz w:val="18"/>
          <w:szCs w:val="18"/>
          <w:i w:val="1"/>
          <w:iCs w:val="1"/>
          <w:color w:val="005A64"/>
        </w:rPr>
        <w:t>BNT316/ONC-392 (gotistobart), an Anti-CTLA-4 Monoclonal Antibody Candidate in Development in Collaboration with OncoC4</w:t>
      </w:r>
    </w:p>
    <w:p>
      <w:pPr>
        <w:spacing w:after="0" w:line="14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BNT316/ONC-392 (gotistobart) is an anti-cytotoxic T-lymphocyte associated protein 4, or CTLA-4, monoclonal antibody candidate being developed in collaboration with OncoC4. CTLA-4 is a molecule that is highly expressed by regulatory T cells in the tumor microenvironment where it inhibits T-cell immune response and reduces the activity of T cells in recognizing and eliminating cancer cells. BNT316/ONC-392 (gotistobart) is designed to offer higher anti-tumor efficacy and a differentiated safety profile that may allow for higher dosing and longer duration of treatment both as monotherapy and in combination with other therapies. The program received Fast Track Designation from the FDA in 2022.</w:t>
      </w:r>
    </w:p>
    <w:p>
      <w:pPr>
        <w:spacing w:after="0" w:line="200" w:lineRule="exact"/>
        <w:rPr>
          <w:sz w:val="20"/>
          <w:szCs w:val="20"/>
          <w:color w:val="auto"/>
        </w:rPr>
      </w:pPr>
    </w:p>
    <w:p>
      <w:pPr>
        <w:spacing w:after="0" w:line="301"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two-stage, open-label, randomized Phase 3 trial (PRESERVE-003; NCT05671510) is being conducted to evaluate the efficacy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safety of BNT316/ONC-392 (gotistobart) as monotherapy in patients with metastatic squamous NSCLC that progressed under previous platinum-based chemotherapy and PD-(L)1-inhibitor treatment. A trial-in-progress poster is expected to be presented at WCLC in Barcelona, Spain from September 6-9, 2025.</w:t>
      </w:r>
    </w:p>
    <w:p>
      <w:pPr>
        <w:spacing w:after="0" w:line="208" w:lineRule="exact"/>
        <w:rPr>
          <w:sz w:val="20"/>
          <w:szCs w:val="20"/>
          <w:color w:val="auto"/>
        </w:rPr>
      </w:pPr>
    </w:p>
    <w:p>
      <w:pPr>
        <w:ind w:left="220" w:right="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(PRESERVE-004; NCT05446298) is being conducted to evaluate BNT316/ONC-392 (gotistobart) therapy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combination with pembrolizumab in patients with platinum-resistant ovarian cancer, or PROC. The clinical trial is designed to evaluate multiple doses of BNT316/ONC-392 (gotistobart) in combination with a fixed dose of pembrolizumab in participants with ovarian cancer who are resistant to platinum-based chemotherapy. The primary endpoints are ORR and safety. Secondary endpoints include DOR, DCR, PFS and OS. The study completed enrollment.</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(PRESERVE-006; NCT05682443) is being conducted to evaluate the safety and efficacy of BNT316/ONC-392</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(gotistobart) in combination with lutetium Lu-177 vipivotide tetraxetan in patients with metastatic castration-resistant prostate cancer, or mCRPC, who have disease progressed on androgen receptor pathway inhibition. The primary endpoints are PSA50 and safety. In June 2025, data from the Phase 1 part of this trial were presented at the ASCO Annual Meeting. The data indicated a manageable safety profile and preliminary clinical activity in patients with mCRPC.</w:t>
      </w:r>
    </w:p>
    <w:p>
      <w:pPr>
        <w:spacing w:after="0" w:line="200" w:lineRule="exact"/>
        <w:rPr>
          <w:sz w:val="20"/>
          <w:szCs w:val="20"/>
          <w:color w:val="auto"/>
        </w:rPr>
      </w:pPr>
    </w:p>
    <w:p>
      <w:pPr>
        <w:spacing w:after="0" w:line="29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open-label dose escalation clinical trial (PRESERVE-001; NCT04140526) is being conducted to evaluate BNT316/ONC-392</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(gotistobart) as a single agent and in combination with</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44</w:t>
            </w:r>
          </w:p>
        </w:tc>
      </w:tr>
    </w:tbl>
    <w:p>
      <w:pPr>
        <w:sectPr>
          <w:pgSz w:w="11900" w:h="16838" w:orient="portrait"/>
          <w:cols w:equalWidth="0" w:num="1">
            <w:col w:w="11240"/>
          </w:cols>
          <w:pgMar w:left="320" w:top="167" w:right="339" w:bottom="1440" w:gutter="0" w:footer="0" w:header="0"/>
        </w:sectPr>
      </w:pPr>
    </w:p>
    <w:bookmarkStart w:id="52" w:name="page53"/>
    <w:bookmarkEnd w:id="5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220"/>
        <w:spacing w:after="0" w:line="328" w:lineRule="auto"/>
        <w:rPr>
          <w:sz w:val="20"/>
          <w:szCs w:val="20"/>
          <w:color w:val="auto"/>
        </w:rPr>
      </w:pPr>
      <w:r>
        <w:rPr>
          <w:rFonts w:ascii="Times New Roman" w:cs="Times New Roman" w:eastAsia="Times New Roman" w:hAnsi="Times New Roman"/>
          <w:sz w:val="18"/>
          <w:szCs w:val="18"/>
          <w:color w:val="080509"/>
        </w:rPr>
        <w:t>pembrolizumab in patients with advanced or metastatic solid tumors. In June 2025, at the 2025 ASCO Annual Meeting, updated data from the melanoma cohorts of the ongoing trial were presented. The data suggested encouraging preliminary clinical activity and a manageable tolerability profile with no new safety signals observed.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 BNT317, an Antibody for the Treatment of Advanced Solid Tumors</w:t>
      </w:r>
    </w:p>
    <w:p>
      <w:pPr>
        <w:spacing w:after="0" w:line="14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(NCT06750185) is being conducted to evaluate the safety, tolerability, pharmacokinetics, and immunogenicity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BNT317 in participants with advanced solid tumors.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c. BNT312/GEN1042, BNT314/GEN1059, BNT315/GEN1055 and BNT322/GEN1056 are being developed in collaboration with Genmab</w:t>
      </w:r>
    </w:p>
    <w:p>
      <w:pPr>
        <w:spacing w:after="0" w:line="146"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BNT312/GEN1042 is a novel, agonistic, bispecific antibody that combines targeting and conditional activation of the costimulatory molecules CD40 and 4-1BB on immune cells.</w:t>
      </w:r>
    </w:p>
    <w:p>
      <w:pPr>
        <w:spacing w:after="0" w:line="217"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(NCT04083599) is ongoing to evaluate BNT312/GEN1042 in combination with pembrolizumab with or without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chemotherapy across various solid tumors.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(NCT05491317) is ongoing to evaluate the safety and clinical activity of BNT312/GEN1042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radiotherapy with or without pembrolizumab in patients with metastatic solid tumors.</w:t>
      </w:r>
    </w:p>
    <w:p>
      <w:pPr>
        <w:spacing w:after="0" w:line="21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(NCT06057038) is ongoing in Japan to evaluate the safety, tolerability, pharmacokinetics, pharmacodynamics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antitumor activity of BNT312/GEN1042 monotherapy and in combination with pembrolizumab with or without chemotherapy in patients with multiple solid tumors.</w:t>
      </w:r>
    </w:p>
    <w:p>
      <w:pPr>
        <w:spacing w:after="0" w:line="231"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BNT314/GEN1059 is a potential first-in-class bispecific antibody product candidate designed to boost antitumor immune responses through epithelial cell adhesion molecule-, or EpCAM-, dependent 4-1BB agonistic activity.</w:t>
      </w:r>
    </w:p>
    <w:p>
      <w:pPr>
        <w:spacing w:after="0" w:line="217"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(NCT06150183) is being conducted to investigate the safety and preliminary antitumor activity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BNT314/GEN1059 in patients with advanced or metastatic solid tumors.</w:t>
      </w:r>
    </w:p>
    <w:p>
      <w:pPr>
        <w:spacing w:after="0" w:line="189"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Preclinical data for BNT314/GEN1059 were presented at AACR 2025 Annual Meeting. The preclinical analyses evaluated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BNT314/GEN1059 in combination with PD-1 inhibition in a tumor model unresponsive to each single treatment. The data showed robust antitumor activity, delayed tumor outgrowth and prolonged survival compared to both single treatments. In addition, the immunomodulatory activity of BNT314/GEN1059 was further potentiated in combination with PD-1 blockade.</w:t>
      </w:r>
    </w:p>
    <w:p>
      <w:pPr>
        <w:spacing w:after="0" w:line="209"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BNT315/GEN1055 is an OX40 agonist antibody designed to induce OX40 clustering independently of FcγR-mediated crosslinking to enhance antitumor T-cell responses. The development program for BNT315/GEN1055 has been discontinued due to strategic evaluation of the development program within the context of BioNTech and Genmab’s portfolios.</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(NCT06391775) is being conducted to investigate the safety and preliminary antitumor activity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BNT315/GEN1055 in patients with advanced or metastatic solid tumors.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45</w:t>
            </w:r>
          </w:p>
        </w:tc>
      </w:tr>
    </w:tbl>
    <w:p>
      <w:pPr>
        <w:sectPr>
          <w:pgSz w:w="11900" w:h="16838" w:orient="portrait"/>
          <w:cols w:equalWidth="0" w:num="1">
            <w:col w:w="11240"/>
          </w:cols>
          <w:pgMar w:left="320" w:top="167" w:right="339" w:bottom="1440" w:gutter="0" w:footer="0" w:header="0"/>
        </w:sectPr>
      </w:pPr>
    </w:p>
    <w:bookmarkStart w:id="53" w:name="page54"/>
    <w:bookmarkEnd w:id="5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BNT322/GEN1056 is an antibody product candidate being co-developed with Genmab for the treatment of solid tumors and for use in combination with other products. The development program for BNT322/GEN1056 has been discontinued due to strategic evaluation of the development program within the context of BioNTech’s and Genmab’s portfolios.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(NCT05586321) in patients with advanced solid tumors is ongoing.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5. Additional mRNA Product Candidates in Oncology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BNT142 in multiple solid tumors</w:t>
      </w:r>
    </w:p>
    <w:p>
      <w:pPr>
        <w:spacing w:after="0" w:line="14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BNT142 encodes a T-cell engaging bispecific antibody targeting Claudin 6, or CLDN6, and CD3. An exploratory open-label, multi-site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Phase 1/2 clinical trial (NCT05262530) in patients with CLDN6-positive advanced solid tumors that have exhausted available standard therapy or are not eligible for such available therapy is ongoing with the last patient visit expected before year-end 2025.</w:t>
      </w:r>
    </w:p>
    <w:p>
      <w:pPr>
        <w:spacing w:after="0" w:line="231"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May 2025, data from this trial were presented in an oral presentation at the 2025 ASCO Annual Meeting. Preliminary data indicated 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manageable safety profile and early signs of clinical activity, supporting scientific proof-of-principle and underscoring the potential of mRNA-encoded bispecific antibodies.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BNT152+BNT153 in multiple solid tumors</w:t>
      </w:r>
    </w:p>
    <w:p>
      <w:pPr>
        <w:spacing w:after="0" w:line="14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open-label, multi-site, first-in-human Phase 1 clinical trial (NCT04710043) in multiple solid tumor indications is ongoing to evaluate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safety, pharmacokinetics, pharmacodynamics and preliminary anti-tumor activity of a combination of BNT152 and BNT153.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6. Oncology Cell Therapy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BNT211, a chimeric antigen receptor, or CAR, T-cell therapy – CAR-T - in multiple solid tumors</w:t>
      </w:r>
    </w:p>
    <w:p>
      <w:pPr>
        <w:spacing w:after="0" w:line="14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dose escalation clinical trial (NCT04503278) is being conducted to evaluate BNT211 as monotherapy or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CARVac in patients with CLDN6-positive relapsed or refractory solid tumors, including non-small cell lung cancer, gastric cancer, ovarian cancer and testicular germ cell tumors.</w:t>
      </w:r>
    </w:p>
    <w:p>
      <w:pPr>
        <w:spacing w:after="0" w:line="231"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have decided not to proceed with Phase 2 clinical development of BNT211 in germ cell tumors in alignment with our active portfolio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prioritization.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 Infectious Disease Programs</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goal is to advance our infectious disease programs by developing vaccines and therapeutics for infectious diseases caused by respiratory viruses, latent viruses, bacteria and parasites. We believe our scientific approach and our mRNA technology have the potential to significantly contribute to the fight against global health threats caused by infectious diseases. We have pursued both strategic partnerships and corporate collaborations to partially fund our infectious disease global health programs and aim to continue to do so. Our infectious disease programs aim to contribute to equitable access to effective and well tolerated vaccines for high medical need indications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1. Next-generation COVID-19 Vaccine Program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collaboration with Pfizer, we are aiming to develop a vaccine candidate that enhances and broadens SARS-CoV-2 responses.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46</w:t>
            </w:r>
          </w:p>
        </w:tc>
      </w:tr>
    </w:tbl>
    <w:p>
      <w:pPr>
        <w:sectPr>
          <w:pgSz w:w="11900" w:h="16838" w:orient="portrait"/>
          <w:cols w:equalWidth="0" w:num="1">
            <w:col w:w="11240"/>
          </w:cols>
          <w:pgMar w:left="320" w:top="167" w:right="339" w:bottom="1440" w:gutter="0" w:footer="0" w:header="0"/>
        </w:sectPr>
      </w:pPr>
    </w:p>
    <w:bookmarkStart w:id="54" w:name="page55"/>
    <w:bookmarkEnd w:id="5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2. COVID-19 – Influenza Combination mRNA Vaccine Program – BNT162b2 + BNT161</w:t>
      </w:r>
    </w:p>
    <w:p>
      <w:pPr>
        <w:spacing w:after="0" w:line="148"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(NCT06821061) is being conducted to evaluate the safety, tolerability and immunogenicity of the companies’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mRNA vaccine candidates against influenza and COVID-19. The trial aims to enroll 2645 healthy individuals aged 18 years and 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3. Herpes Simplex Virus, or HSV, Vaccine Program – BNT163</w:t>
      </w:r>
    </w:p>
    <w:p>
      <w:pPr>
        <w:spacing w:after="0" w:line="14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evaluating (NCT05432583) evaluating the safety, tolerability and immunogenicity for the prevention of genital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lesions caused by HSV-2 and potentially HSV-1 is ongoing.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4. Tuberculosis Vaccine Program – BNT164</w:t>
      </w:r>
    </w:p>
    <w:p>
      <w:pPr>
        <w:spacing w:after="0" w:line="148" w:lineRule="exact"/>
        <w:rPr>
          <w:sz w:val="20"/>
          <w:szCs w:val="20"/>
          <w:color w:val="auto"/>
        </w:rPr>
      </w:pPr>
    </w:p>
    <w:p>
      <w:pPr>
        <w:ind w:left="220" w:right="14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(NCT05537038) and a separate Phase 1/2 clinical trial (NCT05547464) evaluating BNT164 are ongoing. Both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Phase 1 and Phase 1/2 clinical trials are designed to assess the safety, reactogenicity, and immunogenicity of mRNA vaccine candidates against tuberculosis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5. Malaria Vaccine Program – BNT165</w:t>
      </w:r>
    </w:p>
    <w:p>
      <w:pPr>
        <w:spacing w:after="0" w:line="14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(NCT05581641) to evaluate the safety, tolerability and exploratory immunogenicity of the vaccine candidate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BNT165b1, the first candidate from our BNT165 program, has been completed.</w:t>
      </w:r>
    </w:p>
    <w:p>
      <w:pPr>
        <w:spacing w:after="0" w:line="216"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trial (NCT06069544) to evaluate the safety, tolerability, immunogenicity and efficacy of a second investigational RNA-based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vaccine candidate is on clinical hold by the U.S. FDA, as announced on March 4, 2025. BioNTech has complied with the hold by the FDA and, in accordance with the clinical trial protocol, had proactively paused the study. BioNTech is taking actions to address the FDA’s requests and will work with the FDA to assess next steps.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6. Mpox Vaccine Program – BNT166</w:t>
      </w:r>
    </w:p>
    <w:p>
      <w:pPr>
        <w:spacing w:after="0" w:line="13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trial clinical trial (NCT05988203) evaluating the safety, tolerability, reactogenicity and immunogenicity of two mRNA-based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multivalent vaccine candidates is ongoing.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7. Shingles Vaccine Program – BNT167</w:t>
      </w:r>
    </w:p>
    <w:p>
      <w:pPr>
        <w:spacing w:after="0" w:line="148"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(NCT05703607) to evaluate the safety, tolerability, and immunogenicity of BNT167 in up to 900 healthy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volunteers 50 through 69 years of age is ongoing.</w:t>
      </w:r>
    </w:p>
    <w:p>
      <w:pPr>
        <w:spacing w:after="0" w:line="216" w:lineRule="exact"/>
        <w:rPr>
          <w:sz w:val="20"/>
          <w:szCs w:val="20"/>
          <w:color w:val="auto"/>
        </w:rPr>
      </w:pPr>
    </w:p>
    <w:p>
      <w:pPr>
        <w:ind w:left="220" w:right="6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April 2025, we were informed by Pfizer of their decision to opt-out of further joint development of BNT167. In May 2025, we informed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Pfizer of our decision to also opt-out of the further development of BNT167. Next steps for the wind-down of the program and further advancement of this asset are being considered by BioNTech and Pfizer in accordance with the terms of the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8. Bacterial Vaginosis – BNT331</w:t>
      </w:r>
    </w:p>
    <w:p>
      <w:pPr>
        <w:spacing w:after="0" w:line="148"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(NCT06469164) is being conducted to evaluate the safety, tolerability, pharmacokinetics, and pharmacodynamics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BNT331 in healthy women and women diagnosed with bacterial vaginosis. It also aims to explore the efficacy of BNT331 in women diagnosed with bacterial vaginosis.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47</w:t>
            </w:r>
          </w:p>
        </w:tc>
      </w:tr>
    </w:tbl>
    <w:p>
      <w:pPr>
        <w:sectPr>
          <w:pgSz w:w="11900" w:h="16838" w:orient="portrait"/>
          <w:cols w:equalWidth="0" w:num="1">
            <w:col w:w="11240"/>
          </w:cols>
          <w:pgMar w:left="320" w:top="167" w:right="339" w:bottom="1440" w:gutter="0" w:footer="0" w:header="0"/>
        </w:sectPr>
      </w:pPr>
    </w:p>
    <w:bookmarkStart w:id="55" w:name="page56"/>
    <w:bookmarkEnd w:id="5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Financial Operations Overview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following table shows our unaudited interim condensed consolidated statements of profit or loss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100" w:type="dxa"/>
            <w:vAlign w:val="bottom"/>
          </w:tcPr>
          <w:p>
            <w:pPr>
              <w:spacing w:after="0"/>
              <w:rPr>
                <w:sz w:val="16"/>
                <w:szCs w:val="16"/>
                <w:color w:val="auto"/>
              </w:rPr>
            </w:pPr>
          </w:p>
        </w:tc>
        <w:tc>
          <w:tcPr>
            <w:tcW w:w="19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005A64"/>
              </w:rPr>
              <w:t>Six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34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5120" w:type="dxa"/>
            <w:vAlign w:val="bottom"/>
          </w:tcPr>
          <w:p>
            <w:pPr>
              <w:spacing w:after="0"/>
              <w:rPr>
                <w:sz w:val="17"/>
                <w:szCs w:val="17"/>
                <w:color w:val="auto"/>
              </w:rPr>
            </w:pPr>
          </w:p>
        </w:tc>
        <w:tc>
          <w:tcPr>
            <w:tcW w:w="220" w:type="dxa"/>
            <w:vAlign w:val="bottom"/>
            <w:tcBorders>
              <w:right w:val="single" w:sz="8" w:color="BECD32"/>
            </w:tcBorders>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 except per share data)</w:t>
            </w:r>
          </w:p>
        </w:tc>
        <w:tc>
          <w:tcPr>
            <w:tcW w:w="180" w:type="dxa"/>
            <w:vAlign w:val="bottom"/>
          </w:tcPr>
          <w:p>
            <w:pPr>
              <w:spacing w:after="0"/>
              <w:rPr>
                <w:sz w:val="22"/>
                <w:szCs w:val="22"/>
                <w:color w:val="auto"/>
              </w:rPr>
            </w:pPr>
          </w:p>
        </w:tc>
        <w:tc>
          <w:tcPr>
            <w:tcW w:w="1400" w:type="dxa"/>
            <w:vAlign w:val="bottom"/>
            <w:tcBorders>
              <w:right w:val="single" w:sz="8" w:color="BECD32"/>
            </w:tcBorders>
            <w:gridSpan w:val="2"/>
          </w:tcPr>
          <w:p>
            <w:pPr>
              <w:ind w:left="52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420" w:type="dxa"/>
            <w:vAlign w:val="bottom"/>
            <w:gridSpan w:val="2"/>
          </w:tcPr>
          <w:p>
            <w:pPr>
              <w:spacing w:after="0"/>
              <w:rPr>
                <w:sz w:val="22"/>
                <w:szCs w:val="22"/>
                <w:color w:val="auto"/>
              </w:rPr>
            </w:pPr>
          </w:p>
        </w:tc>
        <w:tc>
          <w:tcPr>
            <w:tcW w:w="1040" w:type="dxa"/>
            <w:vAlign w:val="bottom"/>
            <w:tcBorders>
              <w:right w:val="single" w:sz="8" w:color="BECD32"/>
            </w:tcBorders>
            <w:gridSpan w:val="2"/>
          </w:tcPr>
          <w:p>
            <w:pPr>
              <w:ind w:left="16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100" w:type="dxa"/>
            <w:vAlign w:val="bottom"/>
          </w:tcPr>
          <w:p>
            <w:pPr>
              <w:spacing w:after="0"/>
              <w:rPr>
                <w:sz w:val="22"/>
                <w:szCs w:val="22"/>
                <w:color w:val="auto"/>
              </w:rPr>
            </w:pPr>
          </w:p>
        </w:tc>
        <w:tc>
          <w:tcPr>
            <w:tcW w:w="1380" w:type="dxa"/>
            <w:vAlign w:val="bottom"/>
            <w:tcBorders>
              <w:right w:val="single" w:sz="8" w:color="BECD32"/>
            </w:tcBorders>
            <w:gridSpan w:val="2"/>
          </w:tcPr>
          <w:p>
            <w:pPr>
              <w:ind w:left="50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560" w:type="dxa"/>
            <w:vAlign w:val="bottom"/>
            <w:gridSpan w:val="2"/>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0" w:type="dxa"/>
            <w:vAlign w:val="bottom"/>
          </w:tcPr>
          <w:p>
            <w:pPr>
              <w:spacing w:after="0"/>
              <w:rPr>
                <w:sz w:val="1"/>
                <w:szCs w:val="1"/>
                <w:color w:val="auto"/>
              </w:rPr>
            </w:pPr>
          </w:p>
        </w:tc>
      </w:tr>
      <w:tr>
        <w:trPr>
          <w:trHeight w:val="51"/>
        </w:trPr>
        <w:tc>
          <w:tcPr>
            <w:tcW w:w="51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Revenues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260.8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128.7</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443.6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316.3</w:t>
            </w:r>
          </w:p>
        </w:tc>
        <w:tc>
          <w:tcPr>
            <w:tcW w:w="0" w:type="dxa"/>
            <w:vAlign w:val="bottom"/>
          </w:tcPr>
          <w:p>
            <w:pPr>
              <w:spacing w:after="0"/>
              <w:rPr>
                <w:sz w:val="1"/>
                <w:szCs w:val="1"/>
                <w:color w:val="auto"/>
              </w:rPr>
            </w:pPr>
          </w:p>
        </w:tc>
      </w:tr>
      <w:tr>
        <w:trPr>
          <w:trHeight w:val="51"/>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Cost of sales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(76.4)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(59.8)</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(160.2)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(118.9)</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Research and development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(509.1)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(584.6)</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(1,034.7)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(1,092.1)</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Sales and marketing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(19.7)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(12.9)</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(33.4)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(28.5)</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General and administrative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(117.7)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(170.9)</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(224.6)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(287.9)</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 operating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(117.2)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(290.8)</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(165.7)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(314.7)</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 operating income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78.2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24.1</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139.8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52.4</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Operating loss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(501.1)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(966.2)</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(1,035.2)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(1,473.4)</w:t>
            </w:r>
          </w:p>
        </w:tc>
        <w:tc>
          <w:tcPr>
            <w:tcW w:w="0" w:type="dxa"/>
            <w:vAlign w:val="bottom"/>
          </w:tcPr>
          <w:p>
            <w:pPr>
              <w:spacing w:after="0"/>
              <w:rPr>
                <w:sz w:val="1"/>
                <w:szCs w:val="1"/>
                <w:color w:val="auto"/>
              </w:rPr>
            </w:pPr>
          </w:p>
        </w:tc>
      </w:tr>
      <w:tr>
        <w:trPr>
          <w:trHeight w:val="50"/>
        </w:trPr>
        <w:tc>
          <w:tcPr>
            <w:tcW w:w="51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Finance income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105.4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167.7</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228.0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345.3</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Finance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(7.3)</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(40.9)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(9.5)</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Loss before tax</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(402.7)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(805.8)</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(848.1)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(1,137.6)</w:t>
            </w:r>
          </w:p>
        </w:tc>
        <w:tc>
          <w:tcPr>
            <w:tcW w:w="0" w:type="dxa"/>
            <w:vAlign w:val="bottom"/>
          </w:tcPr>
          <w:p>
            <w:pPr>
              <w:spacing w:after="0"/>
              <w:rPr>
                <w:sz w:val="1"/>
                <w:szCs w:val="1"/>
                <w:color w:val="auto"/>
              </w:rPr>
            </w:pPr>
          </w:p>
        </w:tc>
      </w:tr>
      <w:tr>
        <w:trPr>
          <w:trHeight w:val="50"/>
        </w:trPr>
        <w:tc>
          <w:tcPr>
            <w:tcW w:w="51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Income taxes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(2.0)</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45.7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14.7</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7FACB1"/>
            </w:tcBorders>
          </w:tcPr>
          <w:p>
            <w:pPr>
              <w:spacing w:after="0"/>
              <w:rPr>
                <w:sz w:val="4"/>
                <w:szCs w:val="4"/>
                <w:color w:val="auto"/>
              </w:rPr>
            </w:pPr>
          </w:p>
        </w:tc>
        <w:tc>
          <w:tcPr>
            <w:tcW w:w="9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7FACB1"/>
            </w:tcBorders>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Net loss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(386.6)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(807.8)</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(802.4)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(1,122.9)</w:t>
            </w:r>
          </w:p>
        </w:tc>
        <w:tc>
          <w:tcPr>
            <w:tcW w:w="0" w:type="dxa"/>
            <w:vAlign w:val="bottom"/>
          </w:tcPr>
          <w:p>
            <w:pPr>
              <w:spacing w:after="0"/>
              <w:rPr>
                <w:sz w:val="1"/>
                <w:szCs w:val="1"/>
                <w:color w:val="auto"/>
              </w:rPr>
            </w:pPr>
          </w:p>
        </w:tc>
      </w:tr>
      <w:tr>
        <w:trPr>
          <w:trHeight w:val="50"/>
        </w:trPr>
        <w:tc>
          <w:tcPr>
            <w:tcW w:w="51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Loss per share</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tcBorders>
              <w:bottom w:val="single" w:sz="8" w:color="7FACB1"/>
            </w:tcBorders>
          </w:tcPr>
          <w:p>
            <w:pPr>
              <w:spacing w:after="0"/>
              <w:rPr>
                <w:sz w:val="3"/>
                <w:szCs w:val="3"/>
                <w:color w:val="auto"/>
              </w:rPr>
            </w:pPr>
          </w:p>
        </w:tc>
        <w:tc>
          <w:tcPr>
            <w:tcW w:w="220" w:type="dxa"/>
            <w:vAlign w:val="bottom"/>
            <w:tcBorders>
              <w:right w:val="single" w:sz="8" w:color="BECD32"/>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7FACB1"/>
            </w:tcBorders>
          </w:tcPr>
          <w:p>
            <w:pPr>
              <w:spacing w:after="0"/>
              <w:rPr>
                <w:sz w:val="3"/>
                <w:szCs w:val="3"/>
                <w:color w:val="auto"/>
              </w:rPr>
            </w:pPr>
          </w:p>
        </w:tc>
        <w:tc>
          <w:tcPr>
            <w:tcW w:w="920" w:type="dxa"/>
            <w:vAlign w:val="bottom"/>
            <w:tcBorders>
              <w:bottom w:val="single" w:sz="8" w:color="7FACB1"/>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7FACB1"/>
            </w:tcBorders>
          </w:tcPr>
          <w:p>
            <w:pPr>
              <w:spacing w:after="0"/>
              <w:rPr>
                <w:sz w:val="3"/>
                <w:szCs w:val="3"/>
                <w:color w:val="auto"/>
              </w:rPr>
            </w:pPr>
          </w:p>
        </w:tc>
        <w:tc>
          <w:tcPr>
            <w:tcW w:w="8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Basic and diluted loss per share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(3.36)</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(3.33)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(4.67)</w:t>
            </w:r>
          </w:p>
        </w:tc>
        <w:tc>
          <w:tcPr>
            <w:tcW w:w="0" w:type="dxa"/>
            <w:vAlign w:val="bottom"/>
          </w:tcPr>
          <w:p>
            <w:pPr>
              <w:spacing w:after="0"/>
              <w:rPr>
                <w:sz w:val="1"/>
                <w:szCs w:val="1"/>
                <w:color w:val="auto"/>
              </w:rPr>
            </w:pPr>
          </w:p>
        </w:tc>
      </w:tr>
      <w:tr>
        <w:trPr>
          <w:trHeight w:val="50"/>
        </w:trPr>
        <w:tc>
          <w:tcPr>
            <w:tcW w:w="51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Borders>
              <w:bottom w:val="single" w:sz="8" w:color="BECE33"/>
            </w:tcBorders>
          </w:tcPr>
          <w:p>
            <w:pPr>
              <w:spacing w:after="0"/>
              <w:rPr>
                <w:sz w:val="4"/>
                <w:szCs w:val="4"/>
                <w:color w:val="auto"/>
              </w:rPr>
            </w:pPr>
          </w:p>
        </w:tc>
        <w:tc>
          <w:tcPr>
            <w:tcW w:w="1260" w:type="dxa"/>
            <w:vAlign w:val="bottom"/>
            <w:tcBorders>
              <w:bottom w:val="single" w:sz="8" w:color="BECE33"/>
            </w:tcBorders>
          </w:tcPr>
          <w:p>
            <w:pPr>
              <w:spacing w:after="0"/>
              <w:rPr>
                <w:sz w:val="4"/>
                <w:szCs w:val="4"/>
                <w:color w:val="auto"/>
              </w:rPr>
            </w:pPr>
          </w:p>
        </w:tc>
        <w:tc>
          <w:tcPr>
            <w:tcW w:w="140" w:type="dxa"/>
            <w:vAlign w:val="bottom"/>
            <w:tcBorders>
              <w:bottom w:val="single" w:sz="8" w:color="BECE33"/>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Borders>
              <w:bottom w:val="single" w:sz="8" w:color="BECE33"/>
            </w:tcBorders>
          </w:tcPr>
          <w:p>
            <w:pPr>
              <w:spacing w:after="0"/>
              <w:rPr>
                <w:sz w:val="4"/>
                <w:szCs w:val="4"/>
                <w:color w:val="auto"/>
              </w:rPr>
            </w:pPr>
          </w:p>
        </w:tc>
        <w:tc>
          <w:tcPr>
            <w:tcW w:w="1240" w:type="dxa"/>
            <w:vAlign w:val="bottom"/>
            <w:tcBorders>
              <w:bottom w:val="single" w:sz="8" w:color="BECE33"/>
            </w:tcBorders>
          </w:tcPr>
          <w:p>
            <w:pPr>
              <w:spacing w:after="0"/>
              <w:rPr>
                <w:sz w:val="4"/>
                <w:szCs w:val="4"/>
                <w:color w:val="auto"/>
              </w:rPr>
            </w:pPr>
          </w:p>
        </w:tc>
        <w:tc>
          <w:tcPr>
            <w:tcW w:w="140" w:type="dxa"/>
            <w:vAlign w:val="bottom"/>
            <w:tcBorders>
              <w:bottom w:val="single" w:sz="8" w:color="BECE33"/>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Important financial and operating terms and concepts are described in Item 5 of our Annual Report on Form 20-F as of and for the year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Comparison of the three and six months ended June 30, 2025 and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220" w:type="dxa"/>
            <w:vAlign w:val="bottom"/>
          </w:tcPr>
          <w:p>
            <w:pPr>
              <w:spacing w:after="0"/>
              <w:rPr>
                <w:sz w:val="13"/>
                <w:szCs w:val="13"/>
                <w:color w:val="auto"/>
              </w:rPr>
            </w:pPr>
          </w:p>
        </w:tc>
        <w:tc>
          <w:tcPr>
            <w:tcW w:w="206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005A6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200"/>
        </w:trPr>
        <w:tc>
          <w:tcPr>
            <w:tcW w:w="5400" w:type="dxa"/>
            <w:vAlign w:val="bottom"/>
            <w:gridSpan w:val="2"/>
            <w:vMerge w:val="continue"/>
          </w:tcPr>
          <w:p>
            <w:pPr>
              <w:spacing w:after="0"/>
              <w:rPr>
                <w:sz w:val="17"/>
                <w:szCs w:val="17"/>
                <w:color w:val="auto"/>
              </w:rPr>
            </w:pP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3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153.3</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71.9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81.4</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113</w:t>
            </w:r>
          </w:p>
        </w:tc>
        <w:tc>
          <w:tcPr>
            <w:tcW w:w="0" w:type="dxa"/>
            <w:vAlign w:val="bottom"/>
          </w:tcPr>
          <w:p>
            <w:pPr>
              <w:spacing w:after="0"/>
              <w:rPr>
                <w:sz w:val="1"/>
                <w:szCs w:val="1"/>
                <w:color w:val="auto"/>
              </w:rPr>
            </w:pPr>
          </w:p>
        </w:tc>
      </w:tr>
      <w:tr>
        <w:trPr>
          <w:trHeight w:val="50"/>
        </w:trPr>
        <w:tc>
          <w:tcPr>
            <w:tcW w:w="530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5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107.5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56.8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50.7</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89</w:t>
            </w:r>
          </w:p>
        </w:tc>
        <w:tc>
          <w:tcPr>
            <w:tcW w:w="0" w:type="dxa"/>
            <w:vAlign w:val="bottom"/>
          </w:tcPr>
          <w:p>
            <w:pPr>
              <w:spacing w:after="0"/>
              <w:rPr>
                <w:sz w:val="1"/>
                <w:szCs w:val="1"/>
                <w:color w:val="auto"/>
              </w:rPr>
            </w:pPr>
          </w:p>
        </w:tc>
      </w:tr>
      <w:tr>
        <w:trPr>
          <w:trHeight w:val="50"/>
        </w:trPr>
        <w:tc>
          <w:tcPr>
            <w:tcW w:w="530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5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260.8</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128.7</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132.1</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103</w:t>
            </w:r>
          </w:p>
        </w:tc>
        <w:tc>
          <w:tcPr>
            <w:tcW w:w="0" w:type="dxa"/>
            <w:vAlign w:val="bottom"/>
          </w:tcPr>
          <w:p>
            <w:pPr>
              <w:spacing w:after="0"/>
              <w:rPr>
                <w:sz w:val="1"/>
                <w:szCs w:val="1"/>
                <w:color w:val="auto"/>
              </w:rPr>
            </w:pPr>
          </w:p>
        </w:tc>
      </w:tr>
      <w:tr>
        <w:trPr>
          <w:trHeight w:val="50"/>
        </w:trPr>
        <w:tc>
          <w:tcPr>
            <w:tcW w:w="53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bottom w:val="single" w:sz="8" w:color="BECD32"/>
            </w:tcBorders>
          </w:tcPr>
          <w:p>
            <w:pPr>
              <w:spacing w:after="0"/>
              <w:rPr>
                <w:sz w:val="4"/>
                <w:szCs w:val="4"/>
                <w:color w:val="auto"/>
              </w:rPr>
            </w:pPr>
          </w:p>
        </w:tc>
        <w:tc>
          <w:tcPr>
            <w:tcW w:w="126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392"/>
        </w:trPr>
        <w:tc>
          <w:tcPr>
            <w:tcW w:w="5300" w:type="dxa"/>
            <w:vAlign w:val="bottom"/>
            <w:tcBorders>
              <w:bottom w:val="single" w:sz="8" w:color="BECD32"/>
            </w:tcBorders>
          </w:tcPr>
          <w:p>
            <w:pPr>
              <w:spacing w:after="0"/>
              <w:rPr>
                <w:sz w:val="24"/>
                <w:szCs w:val="24"/>
                <w:color w:val="auto"/>
              </w:rPr>
            </w:pPr>
          </w:p>
        </w:tc>
        <w:tc>
          <w:tcPr>
            <w:tcW w:w="100" w:type="dxa"/>
            <w:vAlign w:val="bottom"/>
            <w:tcBorders>
              <w:bottom w:val="single" w:sz="8" w:color="BECD32"/>
            </w:tcBorders>
          </w:tcPr>
          <w:p>
            <w:pPr>
              <w:spacing w:after="0"/>
              <w:rPr>
                <w:sz w:val="24"/>
                <w:szCs w:val="24"/>
                <w:color w:val="auto"/>
              </w:rPr>
            </w:pPr>
          </w:p>
        </w:tc>
        <w:tc>
          <w:tcPr>
            <w:tcW w:w="120" w:type="dxa"/>
            <w:vAlign w:val="bottom"/>
            <w:tcBorders>
              <w:bottom w:val="single" w:sz="8" w:color="BECD32"/>
            </w:tcBorders>
          </w:tcPr>
          <w:p>
            <w:pPr>
              <w:spacing w:after="0"/>
              <w:rPr>
                <w:sz w:val="24"/>
                <w:szCs w:val="24"/>
                <w:color w:val="auto"/>
              </w:rPr>
            </w:pPr>
          </w:p>
        </w:tc>
        <w:tc>
          <w:tcPr>
            <w:tcW w:w="2180" w:type="dxa"/>
            <w:vAlign w:val="bottom"/>
            <w:tcBorders>
              <w:bottom w:val="single" w:sz="8" w:color="BECD32"/>
            </w:tcBorders>
            <w:gridSpan w:val="4"/>
          </w:tcPr>
          <w:p>
            <w:pPr>
              <w:spacing w:after="0"/>
              <w:rPr>
                <w:sz w:val="24"/>
                <w:szCs w:val="24"/>
                <w:color w:val="auto"/>
              </w:rPr>
            </w:pPr>
          </w:p>
        </w:tc>
        <w:tc>
          <w:tcPr>
            <w:tcW w:w="540" w:type="dxa"/>
            <w:vAlign w:val="bottom"/>
            <w:tcBorders>
              <w:bottom w:val="single" w:sz="8" w:color="BECD32"/>
            </w:tcBorders>
          </w:tcPr>
          <w:p>
            <w:pPr>
              <w:spacing w:after="0"/>
              <w:rPr>
                <w:sz w:val="24"/>
                <w:szCs w:val="24"/>
                <w:color w:val="auto"/>
              </w:rPr>
            </w:pPr>
          </w:p>
        </w:tc>
        <w:tc>
          <w:tcPr>
            <w:tcW w:w="220" w:type="dxa"/>
            <w:vAlign w:val="bottom"/>
            <w:tcBorders>
              <w:bottom w:val="single" w:sz="8" w:color="BECD32"/>
            </w:tcBorders>
          </w:tcPr>
          <w:p>
            <w:pPr>
              <w:spacing w:after="0"/>
              <w:rPr>
                <w:sz w:val="24"/>
                <w:szCs w:val="24"/>
                <w:color w:val="auto"/>
              </w:rPr>
            </w:pPr>
          </w:p>
        </w:tc>
        <w:tc>
          <w:tcPr>
            <w:tcW w:w="1260" w:type="dxa"/>
            <w:vAlign w:val="bottom"/>
            <w:tcBorders>
              <w:bottom w:val="single" w:sz="8" w:color="BECD32"/>
            </w:tcBorders>
          </w:tcPr>
          <w:p>
            <w:pPr>
              <w:spacing w:after="0"/>
              <w:rPr>
                <w:sz w:val="24"/>
                <w:szCs w:val="24"/>
                <w:color w:val="auto"/>
              </w:rPr>
            </w:pPr>
          </w:p>
        </w:tc>
        <w:tc>
          <w:tcPr>
            <w:tcW w:w="220" w:type="dxa"/>
            <w:vAlign w:val="bottom"/>
            <w:tcBorders>
              <w:bottom w:val="single" w:sz="8" w:color="BECD32"/>
            </w:tcBorders>
          </w:tcPr>
          <w:p>
            <w:pPr>
              <w:spacing w:after="0"/>
              <w:rPr>
                <w:sz w:val="24"/>
                <w:szCs w:val="24"/>
                <w:color w:val="auto"/>
              </w:rPr>
            </w:pPr>
          </w:p>
        </w:tc>
        <w:tc>
          <w:tcPr>
            <w:tcW w:w="580" w:type="dxa"/>
            <w:vAlign w:val="bottom"/>
            <w:tcBorders>
              <w:bottom w:val="single" w:sz="8" w:color="BECD32"/>
            </w:tcBorders>
          </w:tcPr>
          <w:p>
            <w:pPr>
              <w:spacing w:after="0"/>
              <w:rPr>
                <w:sz w:val="24"/>
                <w:szCs w:val="24"/>
                <w:color w:val="auto"/>
              </w:rPr>
            </w:pPr>
          </w:p>
        </w:tc>
        <w:tc>
          <w:tcPr>
            <w:tcW w:w="700" w:type="dxa"/>
            <w:vAlign w:val="bottom"/>
            <w:tcBorders>
              <w:bottom w:val="single" w:sz="8" w:color="BECD32"/>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005A64"/>
              </w:rPr>
              <w:t>Six months ended</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220" w:type="dxa"/>
            <w:vAlign w:val="bottom"/>
          </w:tcPr>
          <w:p>
            <w:pPr>
              <w:spacing w:after="0"/>
              <w:rPr>
                <w:sz w:val="13"/>
                <w:szCs w:val="13"/>
                <w:color w:val="auto"/>
              </w:rPr>
            </w:pPr>
          </w:p>
        </w:tc>
        <w:tc>
          <w:tcPr>
            <w:tcW w:w="206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005A6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199"/>
        </w:trPr>
        <w:tc>
          <w:tcPr>
            <w:tcW w:w="5400" w:type="dxa"/>
            <w:vAlign w:val="bottom"/>
            <w:gridSpan w:val="2"/>
            <w:vMerge w:val="continue"/>
          </w:tcPr>
          <w:p>
            <w:pPr>
              <w:spacing w:after="0"/>
              <w:rPr>
                <w:sz w:val="17"/>
                <w:szCs w:val="17"/>
                <w:color w:val="auto"/>
              </w:rPr>
            </w:pP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3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286.3</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196.1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90.2</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46</w:t>
            </w:r>
          </w:p>
        </w:tc>
        <w:tc>
          <w:tcPr>
            <w:tcW w:w="0" w:type="dxa"/>
            <w:vAlign w:val="bottom"/>
          </w:tcPr>
          <w:p>
            <w:pPr>
              <w:spacing w:after="0"/>
              <w:rPr>
                <w:sz w:val="1"/>
                <w:szCs w:val="1"/>
                <w:color w:val="auto"/>
              </w:rPr>
            </w:pPr>
          </w:p>
        </w:tc>
      </w:tr>
      <w:tr>
        <w:trPr>
          <w:trHeight w:val="50"/>
        </w:trPr>
        <w:tc>
          <w:tcPr>
            <w:tcW w:w="530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5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157.3</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120.2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37.1</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31</w:t>
            </w:r>
          </w:p>
        </w:tc>
        <w:tc>
          <w:tcPr>
            <w:tcW w:w="0" w:type="dxa"/>
            <w:vAlign w:val="bottom"/>
          </w:tcPr>
          <w:p>
            <w:pPr>
              <w:spacing w:after="0"/>
              <w:rPr>
                <w:sz w:val="1"/>
                <w:szCs w:val="1"/>
                <w:color w:val="auto"/>
              </w:rPr>
            </w:pPr>
          </w:p>
        </w:tc>
      </w:tr>
      <w:tr>
        <w:trPr>
          <w:trHeight w:val="50"/>
        </w:trPr>
        <w:tc>
          <w:tcPr>
            <w:tcW w:w="530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5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443.6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316.3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127.3</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40</w:t>
            </w:r>
          </w:p>
        </w:tc>
        <w:tc>
          <w:tcPr>
            <w:tcW w:w="0" w:type="dxa"/>
            <w:vAlign w:val="bottom"/>
          </w:tcPr>
          <w:p>
            <w:pPr>
              <w:spacing w:after="0"/>
              <w:rPr>
                <w:sz w:val="1"/>
                <w:szCs w:val="1"/>
                <w:color w:val="auto"/>
              </w:rPr>
            </w:pPr>
          </w:p>
        </w:tc>
      </w:tr>
      <w:tr>
        <w:trPr>
          <w:trHeight w:val="50"/>
        </w:trPr>
        <w:tc>
          <w:tcPr>
            <w:tcW w:w="53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bottom w:val="single" w:sz="8" w:color="BECD32"/>
            </w:tcBorders>
          </w:tcPr>
          <w:p>
            <w:pPr>
              <w:spacing w:after="0"/>
              <w:rPr>
                <w:sz w:val="4"/>
                <w:szCs w:val="4"/>
                <w:color w:val="auto"/>
              </w:rPr>
            </w:pPr>
          </w:p>
        </w:tc>
        <w:tc>
          <w:tcPr>
            <w:tcW w:w="126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67" w:right="3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48</w:t>
      </w:r>
    </w:p>
    <w:p>
      <w:pPr>
        <w:sectPr>
          <w:pgSz w:w="11900" w:h="16838" w:orient="portrait"/>
          <w:cols w:equalWidth="0" w:num="1">
            <w:col w:w="11220"/>
          </w:cols>
          <w:pgMar w:left="320" w:top="167" w:right="359" w:bottom="1440" w:gutter="0" w:footer="0" w:header="0"/>
          <w:type w:val="continuous"/>
        </w:sectPr>
      </w:pPr>
    </w:p>
    <w:bookmarkStart w:id="56" w:name="page57"/>
    <w:bookmarkEnd w:id="5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COVID-19 Vaccine Revenues</w:t>
      </w:r>
    </w:p>
    <w:p>
      <w:pPr>
        <w:spacing w:after="0" w:line="14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COVID-19 vaccine revenues increased by €81.4 million, or 113%, from €71.9 million during the three months ended June 30, 2024, to €153.3 million during the three months ended June 30, 2025 and increased by €90.2 million, or 46%, from €196.1 million during the six months ended June 30, 2024, to €286.3 million during the six months ended June 30, 2025. During the three months ended June 30, 2025, our sales were higher compared to the prior year period, which were largely driven by higher volume of doses sold. Our COVID-19 vaccine revenues are subject to seasonal effects in the fall and winter of the northern hemisphere.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Other Revenues</w:t>
      </w:r>
    </w:p>
    <w:p>
      <w:pPr>
        <w:spacing w:after="0" w:line="148"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Our other revenues increased by €50.7 million, or 89%, from €56.8 million during the three months ended June 30, 2024 to €107.5 million during the three months ended June 30, 2025, and increased by €37.1 million, or 31%, from €120.2 million during the six months ended June 30, 2024 to €157.3 million during the six months ended June 30, 2025. Our other revenues were mainly derived from a pandemic preparedness contract with the German government and a one-time effect associated with Pfizer´s opt-out from the further development of our shingles program, BNT167 and the associated release of the respective contract liability, during the three and six months ended June 30, 2025 and 2024.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Cost of Sales</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cost of sales increased by €16.6 million, or 28%, from €59.8 million during the three months ended June 30, 2024 to €76.4 million during the three months ended June 30, 2025 and increased by €41.3 million, or 35%, from €118.9 million during the six months ended June 30, 2024 to €160.2 million during the six months ended June 30, 2025. While we recognized multiple positive extraordinary effects, for example derived from inventory valuation effects, in the respective prior year periods, changes in our cost of sales were additionally impacted by expenses arising from inventory write-downs to net realizable value amounting to €26.6 million and €64.3 million during the three and six months ended June 30, 2025, respectively, compared to €27.6 million and €63.6 million during the three and six months ended June 30, 2024, respectively. The inventories valued at net realizable value in our consolidated statement of financial position as of June 30, 2025 reflect contractual compensation payments.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1517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4"/>
          </w:tcPr>
          <w:p>
            <w:pPr>
              <w:jc w:val="center"/>
              <w:ind w:left="448"/>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220" w:type="dxa"/>
            <w:vAlign w:val="bottom"/>
          </w:tcPr>
          <w:p>
            <w:pPr>
              <w:spacing w:after="0"/>
              <w:rPr>
                <w:sz w:val="13"/>
                <w:szCs w:val="13"/>
                <w:color w:val="auto"/>
              </w:rPr>
            </w:pPr>
          </w:p>
        </w:tc>
        <w:tc>
          <w:tcPr>
            <w:tcW w:w="20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005A6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200"/>
        </w:trPr>
        <w:tc>
          <w:tcPr>
            <w:tcW w:w="5400" w:type="dxa"/>
            <w:vAlign w:val="bottom"/>
            <w:gridSpan w:val="2"/>
            <w:vMerge w:val="continue"/>
          </w:tcPr>
          <w:p>
            <w:pPr>
              <w:spacing w:after="0"/>
              <w:rPr>
                <w:sz w:val="17"/>
                <w:szCs w:val="17"/>
                <w:color w:val="auto"/>
              </w:rPr>
            </w:pP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3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Non-COVID-19 vaccine</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483.5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525.6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0" w:type="dxa"/>
            <w:vAlign w:val="bottom"/>
          </w:tcPr>
          <w:p>
            <w:pPr>
              <w:spacing w:after="0"/>
              <w:rPr>
                <w:sz w:val="1"/>
                <w:szCs w:val="1"/>
                <w:color w:val="auto"/>
              </w:rPr>
            </w:pPr>
          </w:p>
        </w:tc>
      </w:tr>
      <w:tr>
        <w:trPr>
          <w:trHeight w:val="50"/>
        </w:trPr>
        <w:tc>
          <w:tcPr>
            <w:tcW w:w="530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5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25.6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59.0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(33.4)</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(57)</w:t>
            </w:r>
          </w:p>
        </w:tc>
        <w:tc>
          <w:tcPr>
            <w:tcW w:w="0" w:type="dxa"/>
            <w:vAlign w:val="bottom"/>
          </w:tcPr>
          <w:p>
            <w:pPr>
              <w:spacing w:after="0"/>
              <w:rPr>
                <w:sz w:val="1"/>
                <w:szCs w:val="1"/>
                <w:color w:val="auto"/>
              </w:rPr>
            </w:pPr>
          </w:p>
        </w:tc>
      </w:tr>
      <w:tr>
        <w:trPr>
          <w:trHeight w:val="50"/>
        </w:trPr>
        <w:tc>
          <w:tcPr>
            <w:tcW w:w="530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5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research and development expenses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509.1</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584.6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(75.5)</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(13)</w:t>
            </w:r>
          </w:p>
        </w:tc>
        <w:tc>
          <w:tcPr>
            <w:tcW w:w="0" w:type="dxa"/>
            <w:vAlign w:val="bottom"/>
          </w:tcPr>
          <w:p>
            <w:pPr>
              <w:spacing w:after="0"/>
              <w:rPr>
                <w:sz w:val="1"/>
                <w:szCs w:val="1"/>
                <w:color w:val="auto"/>
              </w:rPr>
            </w:pPr>
          </w:p>
        </w:tc>
      </w:tr>
      <w:tr>
        <w:trPr>
          <w:trHeight w:val="50"/>
        </w:trPr>
        <w:tc>
          <w:tcPr>
            <w:tcW w:w="53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bottom w:val="single" w:sz="8" w:color="BECE33"/>
            </w:tcBorders>
          </w:tcPr>
          <w:p>
            <w:pPr>
              <w:spacing w:after="0"/>
              <w:rPr>
                <w:sz w:val="4"/>
                <w:szCs w:val="4"/>
                <w:color w:val="auto"/>
              </w:rPr>
            </w:pPr>
          </w:p>
        </w:tc>
        <w:tc>
          <w:tcPr>
            <w:tcW w:w="126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49</w:t>
            </w:r>
          </w:p>
        </w:tc>
      </w:tr>
    </w:tbl>
    <w:p>
      <w:pPr>
        <w:sectPr>
          <w:pgSz w:w="11900" w:h="16838" w:orient="portrait"/>
          <w:cols w:equalWidth="0" w:num="1">
            <w:col w:w="11240"/>
          </w:cols>
          <w:pgMar w:left="320" w:top="167" w:right="339" w:bottom="1440" w:gutter="0" w:footer="0" w:header="0"/>
        </w:sectPr>
      </w:pPr>
    </w:p>
    <w:bookmarkStart w:id="57" w:name="page58"/>
    <w:bookmarkEnd w:id="5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883920</wp:posOffset>
            </wp:positionV>
            <wp:extent cx="711517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005A64"/>
              </w:rPr>
              <w:t>Six months ended</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center"/>
              <w:ind w:left="568"/>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6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220" w:type="dxa"/>
            <w:vAlign w:val="bottom"/>
          </w:tcPr>
          <w:p>
            <w:pPr>
              <w:spacing w:after="0"/>
              <w:rPr>
                <w:sz w:val="13"/>
                <w:szCs w:val="13"/>
                <w:color w:val="auto"/>
              </w:rPr>
            </w:pPr>
          </w:p>
        </w:tc>
        <w:tc>
          <w:tcPr>
            <w:tcW w:w="20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005A6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200"/>
        </w:trPr>
        <w:tc>
          <w:tcPr>
            <w:tcW w:w="5400" w:type="dxa"/>
            <w:vAlign w:val="bottom"/>
            <w:gridSpan w:val="2"/>
            <w:vMerge w:val="continue"/>
          </w:tcPr>
          <w:p>
            <w:pPr>
              <w:spacing w:after="0"/>
              <w:rPr>
                <w:sz w:val="17"/>
                <w:szCs w:val="17"/>
                <w:color w:val="auto"/>
              </w:rPr>
            </w:pPr>
          </w:p>
        </w:tc>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2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6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Non-COVID-19 vaccine</w:t>
            </w:r>
          </w:p>
        </w:tc>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984.6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976.5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w:t>
            </w:r>
          </w:p>
        </w:tc>
        <w:tc>
          <w:tcPr>
            <w:tcW w:w="0" w:type="dxa"/>
            <w:vAlign w:val="bottom"/>
          </w:tcPr>
          <w:p>
            <w:pPr>
              <w:spacing w:after="0"/>
              <w:rPr>
                <w:sz w:val="1"/>
                <w:szCs w:val="1"/>
                <w:color w:val="auto"/>
              </w:rPr>
            </w:pPr>
          </w:p>
        </w:tc>
      </w:tr>
      <w:tr>
        <w:trPr>
          <w:trHeight w:val="51"/>
        </w:trPr>
        <w:tc>
          <w:tcPr>
            <w:tcW w:w="52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7FACB1"/>
            </w:tcBorders>
          </w:tcPr>
          <w:p>
            <w:pPr>
              <w:spacing w:after="0"/>
              <w:rPr>
                <w:sz w:val="4"/>
                <w:szCs w:val="4"/>
                <w:color w:val="auto"/>
              </w:rPr>
            </w:pPr>
          </w:p>
        </w:tc>
        <w:tc>
          <w:tcPr>
            <w:tcW w:w="6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w:t>
            </w:r>
          </w:p>
        </w:tc>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50.1</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115.6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(65.5)</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(57)</w:t>
            </w:r>
          </w:p>
        </w:tc>
        <w:tc>
          <w:tcPr>
            <w:tcW w:w="0" w:type="dxa"/>
            <w:vAlign w:val="bottom"/>
          </w:tcPr>
          <w:p>
            <w:pPr>
              <w:spacing w:after="0"/>
              <w:rPr>
                <w:sz w:val="1"/>
                <w:szCs w:val="1"/>
                <w:color w:val="auto"/>
              </w:rPr>
            </w:pPr>
          </w:p>
        </w:tc>
      </w:tr>
      <w:tr>
        <w:trPr>
          <w:trHeight w:val="51"/>
        </w:trPr>
        <w:tc>
          <w:tcPr>
            <w:tcW w:w="52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7FACB1"/>
            </w:tcBorders>
          </w:tcPr>
          <w:p>
            <w:pPr>
              <w:spacing w:after="0"/>
              <w:rPr>
                <w:sz w:val="4"/>
                <w:szCs w:val="4"/>
                <w:color w:val="auto"/>
              </w:rPr>
            </w:pPr>
          </w:p>
        </w:tc>
        <w:tc>
          <w:tcPr>
            <w:tcW w:w="6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research and development expenses</w:t>
            </w:r>
          </w:p>
        </w:tc>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1,034.7</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1,092.1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(57.4)</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w:t>
            </w:r>
          </w:p>
        </w:tc>
        <w:tc>
          <w:tcPr>
            <w:tcW w:w="0" w:type="dxa"/>
            <w:vAlign w:val="bottom"/>
          </w:tcPr>
          <w:p>
            <w:pPr>
              <w:spacing w:after="0"/>
              <w:rPr>
                <w:sz w:val="1"/>
                <w:szCs w:val="1"/>
                <w:color w:val="auto"/>
              </w:rPr>
            </w:pPr>
          </w:p>
        </w:tc>
      </w:tr>
      <w:tr>
        <w:trPr>
          <w:trHeight w:val="51"/>
        </w:trPr>
        <w:tc>
          <w:tcPr>
            <w:tcW w:w="52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bottom w:val="single" w:sz="8" w:color="BECE33"/>
            </w:tcBorders>
          </w:tcPr>
          <w:p>
            <w:pPr>
              <w:spacing w:after="0"/>
              <w:rPr>
                <w:sz w:val="4"/>
                <w:szCs w:val="4"/>
                <w:color w:val="auto"/>
              </w:rPr>
            </w:pPr>
          </w:p>
        </w:tc>
        <w:tc>
          <w:tcPr>
            <w:tcW w:w="126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6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research and development expenses decreased by €75.5 million, or 13%, from €584.6 million during the three months ended June 30, 2024 to €509.1 million during the three months ended June 30, 2025 and decreased by €57.4 million, or 5%, from €1,092.1 million during the six months ended June 30, 2024 to €1,034.7 million during the six months ended June 30, 2025. The decreases were mainly driven by the reprioritization of clinical trials towards focus programs.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General and Administrative Expenses</w:t>
      </w:r>
    </w:p>
    <w:p>
      <w:pPr>
        <w:spacing w:after="0" w:line="16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Our general and administrative expenses decreased by €53.2 million, or 31%, from €170.9 million during the three months ended June 30, 2024 to €117.7 million during the three months ended June 30, 2025 and decreased by €63.3 million, or 22%, from €287.9 million during the six months ended June 30, 2024 to €224.6 million during the six months ended June 30, 2025. The decrease was primarily driven by a reduction in external services.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Other Operating Result</w:t>
      </w:r>
    </w:p>
    <w:p>
      <w:pPr>
        <w:spacing w:after="0" w:line="16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total other operating result increased by €227.7 million, or 85%, from a negative operating result of €266.7 million during the three months ended June 30, 2024 to a negative operating result of €39.0 million during the three months ended June 30, 2025 and increased by €236.4 million, or 90%, from a negative operating result of €262.3 million during the six months ended June 30, 2024 to a negative operating result of €25.9 million during the six months ended June 30, 2025. These changes are mainly due to effects from contractual disputes in the respective prior year period, which exceeded the impact of pipeline prioritization costs and the net loss from foreign exchange differences and related effects from derivative instruments in the current period. For the three and six months ended June 30, 2025, our pipeline prioritization costs amounted to €43.6 million and mainly related to adjusting capacities in different sites as well as deferred costs in the context of reducing our workforce in certain areas. (see Note 10 to the unaudited interim condensed consolidated financial statements included elsewhere in this Quarterly Report).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Finance Result</w:t>
      </w:r>
    </w:p>
    <w:p>
      <w:pPr>
        <w:spacing w:after="0" w:line="15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finance result during the three and six months ended June 30, 2025 and 2024 was mainly derived from returns, such as interests, resulting from our financial investments as well as fair value adjustments of our money market funds. It decreased by €62.0 million, or 39%, from a positive finance result of €160.4 million during the three months ended June 30, 2024 to a positive finance result of €98.4 million during the three months ended June 30, 2025 and decreased by €148.7 million, or 44%, from a positive finance result of €335.8 million during the six months ended June 30, 2024, to a positive finance result of €187.1 million during the six months ended June 30, 2025. These changes are mainly due to lower interest income and a shift from positive to negative foreign exchange differences, primarily derived from our security investments disclosed as cash equivalents and bank cash accounts held in foreign currency.</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50</w:t>
            </w:r>
          </w:p>
        </w:tc>
      </w:tr>
    </w:tbl>
    <w:p>
      <w:pPr>
        <w:sectPr>
          <w:pgSz w:w="11900" w:h="16838" w:orient="portrait"/>
          <w:cols w:equalWidth="0" w:num="1">
            <w:col w:w="11240"/>
          </w:cols>
          <w:pgMar w:left="320" w:top="167" w:right="339" w:bottom="1440" w:gutter="0" w:footer="0" w:header="0"/>
        </w:sectPr>
      </w:pPr>
    </w:p>
    <w:bookmarkStart w:id="58" w:name="page59"/>
    <w:bookmarkEnd w:id="5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Income Taxes</w:t>
      </w:r>
    </w:p>
    <w:p>
      <w:pPr>
        <w:spacing w:after="0" w:line="16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income taxes increased by €18.1 million from €2.0 million of accrued tax expenses during the three months ended June 30, 2024 to €16.1 million of realized tax income during the three months ended June 30, 2025, and increased by €31.0 million from €14.7 million of realized tax income during the six months ended June 30, 2024 to €45.7 million of realized tax income during the six months ended June 30, 2025. The effective income tax rate for the six months ended June 30, 2025 was approximately 5.4% and approximately 1.3% for the six months ended June 30, 2024.</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Related Party Transactions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Related party transactions that occurred during the three and six months ended June 30, 2025 and 2024, are explained in Note 12 to the unaudited interim condensed consolidated financial statements included elsewhere in this Quarterly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Critical Accounting Policies and Use of Estimates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unaudited interim condensed consolidated financial statements for the three and six months ended June 30, 2025, have been prepared in accordance with IAS 34 Interim Financial Reporting.</w:t>
      </w:r>
    </w:p>
    <w:p>
      <w:pPr>
        <w:spacing w:after="0" w:line="217"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critical accounting policies and the use of estimates are explained in Note 2 to the unaudited interim condensed consolidated financial statements included elsewhere in this Quarterly Report and further discussed in Note 3 to our audited consolidated financial statements of our Annual Report on Form 20-F as of and for the year ended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Legal Proceedings</w:t>
      </w:r>
    </w:p>
    <w:p>
      <w:pPr>
        <w:spacing w:after="0" w:line="17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and may be involved in various legal proceedings, including patent litigation, product liability and other product-related litigation, as well as other legal proceedings that arise from time to time in the ordinary course of business, including, but not limited to, personal injury, consumer, off-label promotion, securities, antitrust, employment law, tax, environmental, and/or other claims or investigations.</w:t>
      </w:r>
    </w:p>
    <w:p>
      <w:pPr>
        <w:spacing w:after="0" w:line="231"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Certain pending matters to which we are a party are discussed below.</w:t>
      </w:r>
    </w:p>
    <w:p>
      <w:pPr>
        <w:spacing w:after="0" w:line="33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For a description of the risks relating to these and other legal proceedings we face and may in the future face and our assessments thereof, see “Risk Factors” in this Quarterly Report.</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51</w:t>
            </w:r>
          </w:p>
        </w:tc>
      </w:tr>
    </w:tbl>
    <w:p>
      <w:pPr>
        <w:sectPr>
          <w:pgSz w:w="11900" w:h="16838" w:orient="portrait"/>
          <w:cols w:equalWidth="0" w:num="1">
            <w:col w:w="11240"/>
          </w:cols>
          <w:pgMar w:left="320" w:top="167" w:right="339" w:bottom="1440" w:gutter="0" w:footer="0" w:header="0"/>
        </w:sectPr>
      </w:pPr>
    </w:p>
    <w:bookmarkStart w:id="59" w:name="page60"/>
    <w:bookmarkEnd w:id="5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Alnylam Proceedings</w:t>
      </w:r>
    </w:p>
    <w:p>
      <w:pPr>
        <w:spacing w:after="0" w:line="17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Comirnaty, and seeking monetary relief, the amount of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On February 24, 2025, Alnylam voluntarily dismissed U.S. Patent No. 11,633,480, with prejudice, from the lawsuit. On May 13, 2025, Alnylam filed an unopposed motion to stay the litigation and to withdraw its opposition to our motion for summary judgment of noninfringement, and requested that the Court enter judgment of noninfringement in our favor. The Court granted the stay on May 13, 2025. On July 30, 2025, the Court entered a final judgment of noninfringement of the asserted claims of all five patents. Alnylam may seek to appeal this judgment.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CureVac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EP’122, DE’961, DE‘974, DE’575, and EP’668</w:t>
      </w:r>
    </w:p>
    <w:p>
      <w:pPr>
        <w:spacing w:after="0" w:line="15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July 2022, CureVac AG, or CureVac, filed a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EP1857122B1, or EP’122, and three Utility Models DE202015009961U1, DE202015009974U1, and DE202021003575U1. In August 2022, CureVac added European Patent EP3708668B1, or EP’668, to its German lawsuit.</w:t>
      </w:r>
    </w:p>
    <w:p>
      <w:pPr>
        <w:spacing w:after="0" w:line="23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On August 15, 2023, the Düsseldorf Regional Court held a hearing on infringement with respect to all five IP rights. At the hearing, the Court stated it would render its infringement ruling with respect to EP’122 on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w:t>
      </w: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52</w:t>
            </w:r>
          </w:p>
        </w:tc>
      </w:tr>
    </w:tbl>
    <w:p>
      <w:pPr>
        <w:sectPr>
          <w:pgSz w:w="11900" w:h="16838" w:orient="portrait"/>
          <w:cols w:equalWidth="0" w:num="1">
            <w:col w:w="11240"/>
          </w:cols>
          <w:pgMar w:left="320" w:top="167" w:right="339" w:bottom="1440" w:gutter="0" w:footer="0" w:header="0"/>
        </w:sectPr>
      </w:pPr>
    </w:p>
    <w:bookmarkStart w:id="60" w:name="page61"/>
    <w:bookmarkEnd w:id="6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After EP’122 was declared invalid in the first-instance nullity proceedings by the Federal Patent Court on December 19, 2023 (see below), on December 27, 2023, the Düsseldorf Regional Court canceled the December 28, 2023 decision date and stayed the infringement proceedings as to EP’122 until a final appellate decision is rendered as to the validity of EP’122 by the Federal Court of Justice. On June 7, 2024, CureVac waived DE’575 and withdrew this utility model from the infringement proceedings.</w:t>
      </w:r>
    </w:p>
    <w:p>
      <w:pPr>
        <w:spacing w:after="0" w:line="21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On July 1, 2024, the EPO Opposition Division issued a preliminary opinion noting that it believes EP’668 is likely invalid. The EPO Opposition Division held an oral hearing regarding the validity of EP’668 between March 25-27, 2025. At the conclusion of this hearing, the Opposition Division upheld EP’668 in amended form, but only after finding that the alleged technical effect – increased protein expression – was not achieved across the broad scope of the amended claim. The written decision by the Opposition Division to uphold EP’668 in amended form was issued on July 11, 2025, and BioNTech and Pfizer intend to appeal this written decision. An oral hearing with respect to infringement of EP’668 was scheduled by the Düsseldorf Regional Court for July 1, 2025, but has been rescheduled for November 6, 2025. On July 3, 2025, GlaxoSmithKline Biologicals SA filed a request seeking to intervene in the EP’668 infringement proceedings.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EP’755, DE’123, and DE’130</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 xml:space="preserve">In July 2023, CureVac SE filed a second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EP4023755B1, or EP’755, and two Utility Models DE202021004123U1, and DE202021004130U1. On June 7, 2024, CureVac waived DE’123 and withdrew this utility model from the infringement proceedings. The Court has stayed the infringement proceedings with respect to DE’130 pending a validity decision in the co-pending cancellation proceeding before the German Patent and Trademark Office, where an oral hearing has been scheduled for November 18, 2025. On July 24, 2024, the EPO Opposition Division issued a preliminary opinion noting that it believes EP’755 is likely invalid, and held a three-day oral hearing beginning on May 13, 2025. At the conclusion of the hearing, the EPO Opposition Division upheld EP’755 in amended form. We intend to appeal the Opposition Division’s written decision upon its issuance. A hearing on infringement with respect to EP’755 was to occur in the Düsseldorf Regional Court on July 1, 2025, but this has been rescheduled for November 6, 2025. On July 3, 2025, GlaxoSmithKline Biologicals SA filed a request to intervene in the EP’755 infringement proceedings.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Nullity Proceedings – EP’122</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does not address any infringement of EP’122. The preliminary opinion is a preliminary assessment by the court of the merits of a claim, and is non-binding. On December 19, 2023, the Federal Patent Court held an oral hearing, after which it nullified EP’122. On April 25, 2024, the Federal Patent Court issued a judgment containing its written reasons for nullifying EP’122. On May 6, 2024, CureVac appealed the judgment, which is currently pending. An oral hearing on this appeal is scheduled for July 2026.</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53</w:t>
            </w:r>
          </w:p>
        </w:tc>
      </w:tr>
    </w:tbl>
    <w:p>
      <w:pPr>
        <w:sectPr>
          <w:pgSz w:w="11900" w:h="16838" w:orient="portrait"/>
          <w:cols w:equalWidth="0" w:num="1">
            <w:col w:w="11240"/>
          </w:cols>
          <w:pgMar w:left="320" w:top="167" w:right="339" w:bottom="1440" w:gutter="0" w:footer="0" w:header="0"/>
        </w:sectPr>
      </w:pPr>
    </w:p>
    <w:bookmarkStart w:id="61" w:name="page62"/>
    <w:bookmarkEnd w:id="6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 DE’961, DE‘974, and DE’575</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November 2022, we filed cancellation actions seeking the cancellation of the three German Utility Models in the German Patent and Trademark Office. On December 20, 2023, the German Patent and Trademark Office issued a preliminary opinion that DE’974 is likely to be cancelled. On January 23, 2024, the German Patent and Trademark Office issued a preliminary opinion that DE’961 is likely to be cancelled. Both preliminary opinions are based on invalidity pursuant to para. 1 (2) no. 5 Utility Model Act.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 In November 2024, the German Patent and Trademark Office issued its written decisions cancelling DE’961 and DE’974. CureVac has filed an appeal in both cancellation proceedings, which are currently pending.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DE’123 and DE’130</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 On December 5, 2024, the German Patent and Trademark Office issued a preliminary opinion that DE’130 is likely to be cancelled. An oral hearing regarding the validity of DE’130 before the German Patent and Trademark Office is scheduled for November 18,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In July 2022, we and Pfizer filed a complaint for a declaratory judgment in the U.S. District Court for the District of Massachusetts, seeking a judgment of non-infringement by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A three-week trial was set to begin on March 3, 2025, but the Court has rescheduled it to begin on September 8, 2025. On July 7, 2025, GlaxoSmithKline Biologicals SA filed a motion to intervene in the litigation.</w:t>
      </w:r>
    </w:p>
    <w:p>
      <w:pPr>
        <w:spacing w:after="0" w:line="200" w:lineRule="exact"/>
        <w:rPr>
          <w:sz w:val="20"/>
          <w:szCs w:val="20"/>
          <w:color w:val="auto"/>
        </w:rPr>
      </w:pPr>
    </w:p>
    <w:p>
      <w:pPr>
        <w:spacing w:after="0" w:line="27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We and CureVac have from time to time discussed potential options for the resolution of certain of these disputes, and we continue to be actively engaged in such discussions. However, it is currently impractical for us to estimate with sufficient reliability the respective contingent liabilities.</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54</w:t>
            </w:r>
          </w:p>
        </w:tc>
      </w:tr>
    </w:tbl>
    <w:p>
      <w:pPr>
        <w:sectPr>
          <w:pgSz w:w="11900" w:h="16838" w:orient="portrait"/>
          <w:cols w:equalWidth="0" w:num="1">
            <w:col w:w="11240"/>
          </w:cols>
          <w:pgMar w:left="320" w:top="167" w:right="339" w:bottom="1440" w:gutter="0" w:footer="0" w:header="0"/>
        </w:sectPr>
      </w:pPr>
    </w:p>
    <w:bookmarkStart w:id="62" w:name="page63"/>
    <w:bookmarkEnd w:id="6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Moderna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Germany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Infringement Proceedings – EP’949 and EP’565</w:t>
      </w:r>
    </w:p>
    <w:p>
      <w:pPr>
        <w:spacing w:after="0" w:line="14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two European patents, 3590949B1, or EP’949, and 3718565B1, or EP’565. With respect to EP’565, on November 7, 2023, the Opposition Division of the EPO revoked EP’565 after a one-day oral hearing held in the co-pending opposition proceeding, and on December 7, 2023, it issued the written decision revoking EP’565. On February 7, 2024, Moderna appealed the Opposition Division’s revocation decision on EP’565, and the appeal is currently pending, with an oral hearing scheduled for January 27, 2026. With respect to EP’949,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The Düsseldorf Regional Court held an infringement hearing on January 21, 2025, and on March 5, 2025, the Düsseldorf Regional Court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Moderna has not yet taken steps to enforce the Düsseldorf Regional Court’s first-instance decision on infringement.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4"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asserting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200" w:lineRule="exact"/>
        <w:rPr>
          <w:sz w:val="20"/>
          <w:szCs w:val="20"/>
          <w:color w:val="auto"/>
        </w:rPr>
      </w:pPr>
    </w:p>
    <w:p>
      <w:pPr>
        <w:spacing w:after="0" w:line="29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55</w:t>
            </w:r>
          </w:p>
        </w:tc>
      </w:tr>
    </w:tbl>
    <w:p>
      <w:pPr>
        <w:sectPr>
          <w:pgSz w:w="11900" w:h="16838" w:orient="portrait"/>
          <w:cols w:equalWidth="0" w:num="1">
            <w:col w:w="11240"/>
          </w:cols>
          <w:pgMar w:left="320" w:top="167" w:right="339" w:bottom="1440" w:gutter="0" w:footer="0" w:header="0"/>
        </w:sectPr>
      </w:pPr>
    </w:p>
    <w:bookmarkStart w:id="63" w:name="page64"/>
    <w:bookmarkEnd w:id="6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UK High Court held a hearing on September 25, 2024, during which the Court granted Pfizer and BioNTech permission to appeal its judgment regarding the validity of EP’949, and declined Moderna’s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spacing w:after="0" w:line="213" w:lineRule="exact"/>
        <w:rPr>
          <w:sz w:val="20"/>
          <w:szCs w:val="20"/>
          <w:color w:val="auto"/>
        </w:rPr>
      </w:pPr>
    </w:p>
    <w:p>
      <w:pPr>
        <w:ind w:right="80"/>
        <w:spacing w:after="0" w:line="358" w:lineRule="auto"/>
        <w:rPr>
          <w:sz w:val="20"/>
          <w:szCs w:val="20"/>
          <w:color w:val="auto"/>
        </w:rPr>
      </w:pPr>
      <w:r>
        <w:rPr>
          <w:rFonts w:ascii="Times New Roman" w:cs="Times New Roman" w:eastAsia="Times New Roman" w:hAnsi="Times New Roman"/>
          <w:sz w:val="18"/>
          <w:szCs w:val="18"/>
          <w:color w:val="080509"/>
        </w:rPr>
        <w:t>The UK Court of Appeal held an oral hearing on the appeal of EP’949 on July 10-11, 2025. On August 1, 2025, the UK Court of Appeal issued a judgment agreeing with the UK High Court that EP ‘949 is valid, and dismissing our appeal. We intend to appeal this decision to the UK Supreme Court.</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U.S. District Court Litigation</w:t>
      </w:r>
    </w:p>
    <w:p>
      <w:pPr>
        <w:spacing w:after="0" w:line="14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August 2022, Moderna filed a lawsuit in the U.S. District Court for the District of Massachusetts against us and our wholly owned subsidiaries BioNTech Manufacturing GmbH and BioNTech US Inc. and Pfizer Inc.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Inter Partes Review</w:t>
      </w:r>
    </w:p>
    <w:p>
      <w:pPr>
        <w:spacing w:after="0" w:line="13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appealed this decision on May 6,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Netherlands</w:t>
      </w:r>
    </w:p>
    <w:p>
      <w:pPr>
        <w:spacing w:after="0" w:line="16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has been set for September 22, 2025. The EP’565 case has been stayed pending the outcome of Moderna’s appeal of the Opposition Division’s revocation of EP’565.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6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and our wholly owned subsidiary BioNTech Manufacturing GmbH, Pfizer Inc., Pfizer Healthcare Ireland, Pfizer Ireland Pharmaceuticals, and C.P. Pharmaceuticals International C.V.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56</w:t>
            </w:r>
          </w:p>
        </w:tc>
      </w:tr>
    </w:tbl>
    <w:p>
      <w:pPr>
        <w:sectPr>
          <w:pgSz w:w="11900" w:h="16838" w:orient="portrait"/>
          <w:cols w:equalWidth="0" w:num="1">
            <w:col w:w="11240"/>
          </w:cols>
          <w:pgMar w:left="320" w:top="167" w:right="339" w:bottom="1440" w:gutter="0" w:footer="0" w:header="0"/>
        </w:sectPr>
      </w:pPr>
    </w:p>
    <w:bookmarkStart w:id="64" w:name="page65"/>
    <w:bookmarkEnd w:id="6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Belgium</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our wholly owned subsidiary BioNTech Manufacturing GmbH, Pfizer Inc. and Pfizer Manufacturing Belgium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Brussels Dutch-speaking Enterprise Court. On May 29, 2024, the parties filed a joint request to stay the proceedings, which was entered by the Enterprise Court.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All of the above proceedings are currently pending.</w:t>
      </w:r>
    </w:p>
    <w:p>
      <w:pPr>
        <w:spacing w:after="0" w:line="3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Arbutus and Genevant Proceedings</w:t>
      </w:r>
    </w:p>
    <w:p>
      <w:pPr>
        <w:spacing w:after="0" w:line="17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and seeking monetary relief. This proceeding is currently pending.</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GlaxoSmithKline Proceedings</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 xml:space="preserve">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24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57</w:t>
            </w:r>
          </w:p>
        </w:tc>
      </w:tr>
    </w:tbl>
    <w:p>
      <w:pPr>
        <w:sectPr>
          <w:pgSz w:w="11900" w:h="16838" w:orient="portrait"/>
          <w:cols w:equalWidth="0" w:num="1">
            <w:col w:w="11240"/>
          </w:cols>
          <w:pgMar w:left="320" w:top="167" w:right="339" w:bottom="1440" w:gutter="0" w:footer="0" w:header="0"/>
        </w:sectPr>
      </w:pPr>
    </w:p>
    <w:bookmarkStart w:id="65" w:name="page66"/>
    <w:bookmarkEnd w:id="6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Promosome Proceedings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 xml:space="preserve">In January 2025, Promosome LLC, or Promosome, filed a lawsuit against us and Pfizer in the Unified Patent Court, or UPC, Munich Division, alleging that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infringes EP 2 401 365 and seeking monetary relief. This proceeding is currently pending.</w:t>
      </w:r>
    </w:p>
    <w:p>
      <w:pPr>
        <w:spacing w:after="0" w:line="20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 a contingent liabilities as of the balance sheet date. However, it is currently impractical for us to estimate with sufficient reliability the respective contingent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Ladewig Proceedings</w:t>
      </w:r>
    </w:p>
    <w:p>
      <w:pPr>
        <w:spacing w:after="0" w:line="17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In January 2024, we and certain of our officers and directors were named as defendants in a securities class action complaint captioned </w:t>
      </w:r>
      <w:r>
        <w:rPr>
          <w:rFonts w:ascii="Times New Roman" w:cs="Times New Roman" w:eastAsia="Times New Roman" w:hAnsi="Times New Roman"/>
          <w:sz w:val="18"/>
          <w:szCs w:val="18"/>
          <w:i w:val="1"/>
          <w:iCs w:val="1"/>
          <w:color w:val="080509"/>
        </w:rPr>
        <w:t xml:space="preserve">Ladewig v. BioNTech SE </w:t>
      </w:r>
      <w:r>
        <w:rPr>
          <w:rFonts w:ascii="Times New Roman" w:cs="Times New Roman" w:eastAsia="Times New Roman" w:hAnsi="Times New Roman"/>
          <w:sz w:val="18"/>
          <w:szCs w:val="18"/>
          <w:color w:val="080509"/>
        </w:rPr>
        <w:t>filed in the U.S. District Court for the Central District of California brought on behalf of a putative class of</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 xml:space="preserve">investors who purchased our securities from March 30, 2022 through October 13, 2023. Plaintiffs allege that we violated Sections 10(b) and 20(a) of the Exchange Act by stating that we were “well positioned” to remain a “market leader” in vaccines for the prevention of COVID-19 and by purportedly overstating demand for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Plaintiffs further allege that we failed to adapt our inventory to reflect the emergence of new COVID variants. On July 15, 2024, the case was transferred to the U.S. District Court for the Southern District of New York.</w:t>
      </w:r>
    </w:p>
    <w:p>
      <w:pPr>
        <w:spacing w:after="0" w:line="23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and intend to vigorously defend ourselves in the lawsuit mentioned above. 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Overview</w:t>
      </w:r>
    </w:p>
    <w:p>
      <w:pPr>
        <w:spacing w:after="0" w:line="16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Given our strong financial, scientific and operational accomplishments, we believe we have the resources to diligently allocate our current capital to drive a multi-platform strategy and deliver a fully integrated global biotechnology company. We focus our R&amp;D on rapidly advancing our diversified clinical oncology pipeline with synergistic potential, developing next generation COVID-19 vaccines to maintain leadership and pandemic preparedness, as well as broadening the label of and access to the</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58</w:t>
            </w:r>
          </w:p>
        </w:tc>
      </w:tr>
    </w:tbl>
    <w:p>
      <w:pPr>
        <w:sectPr>
          <w:pgSz w:w="11900" w:h="16838" w:orient="portrait"/>
          <w:cols w:equalWidth="0" w:num="1">
            <w:col w:w="11240"/>
          </w:cols>
          <w:pgMar w:left="320" w:top="167" w:right="339" w:bottom="1440" w:gutter="0" w:footer="0" w:header="0"/>
        </w:sectPr>
      </w:pPr>
    </w:p>
    <w:bookmarkStart w:id="66" w:name="page67"/>
    <w:bookmarkEnd w:id="6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existing vaccine. We also plan to invest heavily to build out our global development organization, bringing in talent with clinical and regulatory expertise needed to accelerate our pipeline development. We are also diversifying our therapeutic area footprint, which will enable us to fully leverage the potential of all technology platforms across autoimmune diseases, inflammatory diseases, cardiovascular disease, neurodegenerative diseases, and regenerative medicines. In addition, we plan to enhance capabilities through complementary acquisitions, technologies, infrastructure and manufacturing. To support our future trajectory, growing the organization and expanding our team is of utmost importance. We are on the way to developing our global footprint in key regions including Europe, the United States, Asia and Africa. Additionally, investing in manufacturing capabilities for key technologies and deploying our pandemic response capabilities remain priorities for us. As a science and innovation driven company, we will continue to focus investments on R&amp;D and scaling the business for commercial readiness in oncology in multiple countries.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As of June 30, 2025, we had cash and cash equivalents of €10,269.5 million, current security investments of €3,363.8 million and non-current security investments of €2,356.0 million, accumulating to €15,989.3 million in cash, cash equivalents and security investments.</w:t>
      </w:r>
    </w:p>
    <w:p>
      <w:pPr>
        <w:spacing w:after="0" w:line="217"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Cash and cash equivalents and financial securities are invested in accordance with our asset management and investment policy, primarily with a focus on liquidity and capital preservation, and consist primarily of cash in bank accounts and on hand as well as long- and short-term financial investments.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Cash Flow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following table summarizes the primary sources and uses of cash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3604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Net cash flows from /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3604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3604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3604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3604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87" w:lineRule="exact"/>
        <w:rPr>
          <w:sz w:val="20"/>
          <w:szCs w:val="20"/>
          <w:color w:val="auto"/>
        </w:rPr>
      </w:pPr>
    </w:p>
    <w:p>
      <w:pPr>
        <w:ind w:left="20"/>
        <w:spacing w:after="0" w:line="345" w:lineRule="auto"/>
        <w:rPr>
          <w:sz w:val="20"/>
          <w:szCs w:val="20"/>
          <w:color w:val="auto"/>
        </w:rPr>
      </w:pPr>
      <w:r>
        <w:rPr>
          <w:rFonts w:ascii="Times New Roman" w:cs="Times New Roman" w:eastAsia="Times New Roman" w:hAnsi="Times New Roman"/>
          <w:sz w:val="14"/>
          <w:szCs w:val="14"/>
          <w:b w:val="1"/>
          <w:bCs w:val="1"/>
          <w:color w:val="005A64"/>
        </w:rPr>
        <w:t>Total cash inflow / (outflow) before change in cash and cash equivalents resulting from exchange rate differences and other valuation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3604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1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005A64"/>
              </w:rPr>
              <w:t>Six months ended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212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005A64"/>
              </w:rPr>
              <w:t>June 30,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36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380" w:type="dxa"/>
            <w:vAlign w:val="bottom"/>
            <w:tcBorders>
              <w:left w:val="single" w:sz="8" w:color="BECD32"/>
            </w:tcBorders>
            <w:gridSpan w:val="2"/>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360" w:type="dxa"/>
            <w:vAlign w:val="bottom"/>
            <w:gridSpan w:val="2"/>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BECD32"/>
            </w:tcBorders>
          </w:tcPr>
          <w:p>
            <w:pPr>
              <w:spacing w:after="0"/>
              <w:rPr>
                <w:sz w:val="19"/>
                <w:szCs w:val="19"/>
                <w:color w:val="auto"/>
              </w:rPr>
            </w:pPr>
          </w:p>
        </w:tc>
        <w:tc>
          <w:tcPr>
            <w:tcW w:w="1260" w:type="dxa"/>
            <w:vAlign w:val="bottom"/>
            <w:tcBorders>
              <w:top w:val="single" w:sz="8" w:color="005A64"/>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005A64"/>
              <w:bottom w:val="single" w:sz="8" w:color="7FACB1"/>
            </w:tcBorders>
          </w:tcPr>
          <w:p>
            <w:pPr>
              <w:spacing w:after="0"/>
              <w:rPr>
                <w:sz w:val="19"/>
                <w:szCs w:val="19"/>
                <w:color w:val="auto"/>
              </w:rPr>
            </w:pPr>
          </w:p>
        </w:tc>
        <w:tc>
          <w:tcPr>
            <w:tcW w:w="620" w:type="dxa"/>
            <w:vAlign w:val="bottom"/>
            <w:tcBorders>
              <w:top w:val="single" w:sz="8" w:color="005A64"/>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005A64"/>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005A64"/>
              <w:bottom w:val="single" w:sz="8" w:color="7FACB1"/>
            </w:tcBorders>
          </w:tcPr>
          <w:p>
            <w:pPr>
              <w:spacing w:after="0"/>
              <w:rPr>
                <w:sz w:val="19"/>
                <w:szCs w:val="19"/>
                <w:color w:val="auto"/>
              </w:rPr>
            </w:pPr>
          </w:p>
        </w:tc>
        <w:tc>
          <w:tcPr>
            <w:tcW w:w="720" w:type="dxa"/>
            <w:vAlign w:val="bottom"/>
            <w:tcBorders>
              <w:top w:val="single" w:sz="8" w:color="005A64"/>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146.5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1,627.2</w:t>
            </w:r>
          </w:p>
        </w:tc>
        <w:tc>
          <w:tcPr>
            <w:tcW w:w="12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(634.2)</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1,309.9</w:t>
            </w:r>
          </w:p>
        </w:tc>
        <w:tc>
          <w:tcPr>
            <w:tcW w:w="0" w:type="dxa"/>
            <w:vAlign w:val="bottom"/>
          </w:tcPr>
          <w:p>
            <w:pPr>
              <w:spacing w:after="0"/>
              <w:rPr>
                <w:sz w:val="1"/>
                <w:szCs w:val="1"/>
                <w:color w:val="auto"/>
              </w:rPr>
            </w:pPr>
          </w:p>
        </w:tc>
      </w:tr>
      <w:tr>
        <w:trPr>
          <w:trHeight w:val="50"/>
        </w:trPr>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(64.4)</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(241.4)</w:t>
            </w:r>
          </w:p>
        </w:tc>
        <w:tc>
          <w:tcPr>
            <w:tcW w:w="12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1,182.4</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(2,545.8)</w:t>
            </w:r>
          </w:p>
        </w:tc>
        <w:tc>
          <w:tcPr>
            <w:tcW w:w="0" w:type="dxa"/>
            <w:vAlign w:val="bottom"/>
          </w:tcPr>
          <w:p>
            <w:pPr>
              <w:spacing w:after="0"/>
              <w:rPr>
                <w:sz w:val="1"/>
                <w:szCs w:val="1"/>
                <w:color w:val="auto"/>
              </w:rPr>
            </w:pPr>
          </w:p>
        </w:tc>
      </w:tr>
      <w:tr>
        <w:trPr>
          <w:trHeight w:val="50"/>
        </w:trPr>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(13.3)</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(22.9)</w:t>
            </w:r>
          </w:p>
        </w:tc>
        <w:tc>
          <w:tcPr>
            <w:tcW w:w="12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(27.1)</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(30.7)</w:t>
            </w:r>
          </w:p>
        </w:tc>
        <w:tc>
          <w:tcPr>
            <w:tcW w:w="0" w:type="dxa"/>
            <w:vAlign w:val="bottom"/>
          </w:tcPr>
          <w:p>
            <w:pPr>
              <w:spacing w:after="0"/>
              <w:rPr>
                <w:sz w:val="1"/>
                <w:szCs w:val="1"/>
                <w:color w:val="auto"/>
              </w:rPr>
            </w:pPr>
          </w:p>
        </w:tc>
      </w:tr>
      <w:tr>
        <w:trPr>
          <w:trHeight w:val="50"/>
        </w:trPr>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68.8</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1,362.9</w:t>
            </w:r>
          </w:p>
        </w:tc>
        <w:tc>
          <w:tcPr>
            <w:tcW w:w="120" w:type="dxa"/>
            <w:vAlign w:val="bottom"/>
            <w:tcBorders>
              <w:right w:val="single" w:sz="8" w:color="BECD32"/>
            </w:tcBorders>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521.1</w:t>
            </w:r>
          </w:p>
        </w:tc>
        <w:tc>
          <w:tcPr>
            <w:tcW w:w="12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(1,266.6)</w:t>
            </w:r>
          </w:p>
        </w:tc>
        <w:tc>
          <w:tcPr>
            <w:tcW w:w="0" w:type="dxa"/>
            <w:vAlign w:val="bottom"/>
          </w:tcPr>
          <w:p>
            <w:pPr>
              <w:spacing w:after="0"/>
              <w:rPr>
                <w:sz w:val="1"/>
                <w:szCs w:val="1"/>
                <w:color w:val="auto"/>
              </w:rPr>
            </w:pPr>
          </w:p>
        </w:tc>
      </w:tr>
      <w:tr>
        <w:trPr>
          <w:trHeight w:val="158"/>
        </w:trPr>
        <w:tc>
          <w:tcPr>
            <w:tcW w:w="120" w:type="dxa"/>
            <w:vAlign w:val="bottom"/>
            <w:tcBorders>
              <w:left w:val="single" w:sz="8" w:color="BECD32"/>
              <w:bottom w:val="single" w:sz="8" w:color="BECD32"/>
            </w:tcBorders>
          </w:tcPr>
          <w:p>
            <w:pPr>
              <w:spacing w:after="0"/>
              <w:rPr>
                <w:sz w:val="13"/>
                <w:szCs w:val="13"/>
                <w:color w:val="auto"/>
              </w:rPr>
            </w:pPr>
          </w:p>
        </w:tc>
        <w:tc>
          <w:tcPr>
            <w:tcW w:w="1260" w:type="dxa"/>
            <w:vAlign w:val="bottom"/>
            <w:tcBorders>
              <w:bottom w:val="single" w:sz="8" w:color="BECD32"/>
            </w:tcBorders>
          </w:tcPr>
          <w:p>
            <w:pPr>
              <w:spacing w:after="0"/>
              <w:rPr>
                <w:sz w:val="13"/>
                <w:szCs w:val="13"/>
                <w:color w:val="auto"/>
              </w:rPr>
            </w:pPr>
          </w:p>
        </w:tc>
        <w:tc>
          <w:tcPr>
            <w:tcW w:w="120" w:type="dxa"/>
            <w:vAlign w:val="bottom"/>
            <w:tcBorders>
              <w:bottom w:val="single" w:sz="8" w:color="BECD32"/>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005A64"/>
            </w:tcBorders>
          </w:tcPr>
          <w:p>
            <w:pPr>
              <w:spacing w:after="0"/>
              <w:rPr>
                <w:sz w:val="13"/>
                <w:szCs w:val="13"/>
                <w:color w:val="auto"/>
              </w:rPr>
            </w:pPr>
          </w:p>
        </w:tc>
        <w:tc>
          <w:tcPr>
            <w:tcW w:w="620" w:type="dxa"/>
            <w:vAlign w:val="bottom"/>
            <w:tcBorders>
              <w:bottom w:val="single" w:sz="8" w:color="005A64"/>
            </w:tcBorders>
          </w:tcPr>
          <w:p>
            <w:pPr>
              <w:spacing w:after="0"/>
              <w:rPr>
                <w:sz w:val="13"/>
                <w:szCs w:val="13"/>
                <w:color w:val="auto"/>
              </w:rPr>
            </w:pPr>
          </w:p>
        </w:tc>
        <w:tc>
          <w:tcPr>
            <w:tcW w:w="120" w:type="dxa"/>
            <w:vAlign w:val="bottom"/>
            <w:tcBorders>
              <w:right w:val="single" w:sz="8" w:color="BECD32"/>
            </w:tcBorders>
          </w:tcPr>
          <w:p>
            <w:pPr>
              <w:spacing w:after="0"/>
              <w:rPr>
                <w:sz w:val="13"/>
                <w:szCs w:val="13"/>
                <w:color w:val="auto"/>
              </w:rPr>
            </w:pPr>
          </w:p>
        </w:tc>
        <w:tc>
          <w:tcPr>
            <w:tcW w:w="100" w:type="dxa"/>
            <w:vAlign w:val="bottom"/>
            <w:tcBorders>
              <w:bottom w:val="single" w:sz="8" w:color="BECD32"/>
            </w:tcBorders>
          </w:tcPr>
          <w:p>
            <w:pPr>
              <w:spacing w:after="0"/>
              <w:rPr>
                <w:sz w:val="13"/>
                <w:szCs w:val="13"/>
                <w:color w:val="auto"/>
              </w:rPr>
            </w:pPr>
          </w:p>
        </w:tc>
        <w:tc>
          <w:tcPr>
            <w:tcW w:w="1260" w:type="dxa"/>
            <w:vAlign w:val="bottom"/>
            <w:tcBorders>
              <w:bottom w:val="single" w:sz="8" w:color="BECD32"/>
            </w:tcBorders>
          </w:tcPr>
          <w:p>
            <w:pPr>
              <w:spacing w:after="0"/>
              <w:rPr>
                <w:sz w:val="13"/>
                <w:szCs w:val="13"/>
                <w:color w:val="auto"/>
              </w:rPr>
            </w:pPr>
          </w:p>
        </w:tc>
        <w:tc>
          <w:tcPr>
            <w:tcW w:w="120" w:type="dxa"/>
            <w:vAlign w:val="bottom"/>
            <w:tcBorders>
              <w:bottom w:val="single" w:sz="8" w:color="BECD32"/>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005A64"/>
            </w:tcBorders>
          </w:tcPr>
          <w:p>
            <w:pPr>
              <w:spacing w:after="0"/>
              <w:rPr>
                <w:sz w:val="13"/>
                <w:szCs w:val="13"/>
                <w:color w:val="auto"/>
              </w:rPr>
            </w:pPr>
          </w:p>
        </w:tc>
        <w:tc>
          <w:tcPr>
            <w:tcW w:w="720" w:type="dxa"/>
            <w:vAlign w:val="bottom"/>
            <w:tcBorders>
              <w:bottom w:val="single" w:sz="8" w:color="005A64"/>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ectPr>
          <w:pgSz w:w="11900" w:h="16838" w:orient="portrait"/>
          <w:cols w:equalWidth="0" w:num="2">
            <w:col w:w="4700" w:space="700"/>
            <w:col w:w="5840"/>
          </w:cols>
          <w:pgMar w:left="320" w:top="167"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Operating Activities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derive cash flows from operations primarily from the sale of products and services rendered. Our cash flows from operating activities are significantly influenced by cash we generated as settlement payments of our gross profit as well as our use of cash for operating expenses and working capital to support the business.</w:t>
      </w:r>
    </w:p>
    <w:p>
      <w:pPr>
        <w:spacing w:after="0" w:line="23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net cash flows from operating activities during the three months ended June 30, 2025 were €146.5 million. Cash received from our revenue streams exceeded the cash payments for our operating business, resulting in a cash inflow of €94.7 million for three months ended June 30, 2025. We generated positive cash contributions from interest and other payments related to the security</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59</w:t>
            </w:r>
          </w:p>
        </w:tc>
      </w:tr>
    </w:tbl>
    <w:p>
      <w:pPr>
        <w:sectPr>
          <w:pgSz w:w="11900" w:h="16838" w:orient="portrait"/>
          <w:cols w:equalWidth="0" w:num="1">
            <w:col w:w="11240"/>
          </w:cols>
          <w:pgMar w:left="320" w:top="167" w:right="339" w:bottom="1440" w:gutter="0" w:footer="0" w:header="0"/>
          <w:type w:val="continuous"/>
        </w:sectPr>
      </w:pPr>
    </w:p>
    <w:bookmarkStart w:id="67" w:name="page68"/>
    <w:bookmarkEnd w:id="6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investments of €73.1 million and grants of €7.8 million, which were partly offset by tax payments of €14.9 million and by share based payment programs of €11.5 million.</w:t>
      </w:r>
    </w:p>
    <w:p>
      <w:pPr>
        <w:spacing w:after="0" w:line="217"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net cash flows from operating activities during the three months ended June 30, 2024, were €1,627.2 million. Cash received from our revenue streams exceeded the cash payments for our operating business, resulting in an increase in cash of €1,455.6 million. Additionally, we received positive cash contributions from tax refunds for 2024 from overpayments of €66.4 million, from grants of €32.8 million and from returns such as interests or sales resulting from our financial investments of €80.8 million.</w:t>
      </w:r>
    </w:p>
    <w:p>
      <w:pPr>
        <w:spacing w:after="0" w:line="23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net cash flows used in operating activities during the six months ended June 30, 2025, were €634.2 million. Cash payments for our operating activities exceeded our cash received from our revenue streams during the six months ended June 30, 2025, resulting in a cash outflow of €808.9 million. We generated positive cash contributions from interest and other payments related to the security investments of €191.7 million and grants of €31.0 million, which were partly offset by tax payments of €27.1 million and by share based payment programs of €15.1 million.</w:t>
      </w:r>
    </w:p>
    <w:p>
      <w:pPr>
        <w:spacing w:after="0" w:line="200" w:lineRule="exact"/>
        <w:rPr>
          <w:sz w:val="20"/>
          <w:szCs w:val="20"/>
          <w:color w:val="auto"/>
        </w:rPr>
      </w:pPr>
    </w:p>
    <w:p>
      <w:pPr>
        <w:spacing w:after="0" w:line="295"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net cash flows from operating activities during the six months ended June 30, 2024, were €1,309.9 million. Cash received from our revenue streams exceeded the cash payments for our operating business, resulting in an increase in cash of €1,194.6 million. Additionally, we received positive cash contribution from grants of €42.0 million and from returns such as interests or sales resulting from our financial investments of €280.2 million. On the other hand, we paid income taxes of €192.4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Investing Activities</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net cash flows used in investing activities during the three months ended June 30, 2025 were €64.4 million. This amount includes €34.7 million mainly representing net payments in security investments. The net payments in property, plant and equipment and intangible assets of €29.7 million are related to investments in building our laboratory and office facilities in Mainz, Germany and elsewhere.</w:t>
      </w:r>
    </w:p>
    <w:p>
      <w:pPr>
        <w:spacing w:after="0" w:line="23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net cash flows used in investing activities during the three months ended June 30, 2024 were €241.4 million. This amount includes €100.3 million mainly spent on security investments. The net payments in property, plant and equipment and intangible assets of €141.1 million are related to investments in building our laboratory and office facilities in Mainz, Germany, Singapore and in-licensing.</w:t>
      </w:r>
    </w:p>
    <w:p>
      <w:pPr>
        <w:spacing w:after="0" w:line="231"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Our net cash flows from investing activities during the six months ended June 30, 2025 were €1,182.4 million. This amount includes €1,908.2 million representing mainly repayments from matured security investments offset by a payment of €565.1 million for the settlement of our pre-existing relationship in connection with the License and Collaboration Agreement with Biotheus entered into in November 2023, which is separate from the remaining purchase price to be transferred for the acquired business of Biotheus (see Note 5 to the unaudited interim condensed consolidated financial statements included in this Quarterly Report). Other offsetting effects are the remaining net cash outflow for the Biotheus business combination of €78.5 million and net payments in property, plant and equipment a of €75.0 million related to investments in building our laboratory and office facilities in Mainz, Germany and elsewhere.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60</w:t>
            </w:r>
          </w:p>
        </w:tc>
      </w:tr>
    </w:tbl>
    <w:p>
      <w:pPr>
        <w:sectPr>
          <w:pgSz w:w="11900" w:h="16838" w:orient="portrait"/>
          <w:cols w:equalWidth="0" w:num="1">
            <w:col w:w="11240"/>
          </w:cols>
          <w:pgMar w:left="320" w:top="167" w:right="339" w:bottom="1440" w:gutter="0" w:footer="0" w:header="0"/>
        </w:sectPr>
      </w:pPr>
    </w:p>
    <w:bookmarkStart w:id="68" w:name="page69"/>
    <w:bookmarkEnd w:id="6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net cash flows from investing activities during the six months ended June 30, 2024 were €2,545.8 million. The amount includes €2,267.8 million mainly spent on security investments. The net payments in property, plant and equipment and intangible assets of €278.0 million are related to investments in building our laboratory and office facilities in Mainz, Germany and elsewhere as well as in-licensing.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Financing Activities</w:t>
      </w:r>
    </w:p>
    <w:p>
      <w:pPr>
        <w:spacing w:after="0" w:line="16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net cash flows used in financing activities during the three months ended June 30, 2025 were €13.3 million and mainly related to our lease payments of €9.6 million.</w:t>
      </w:r>
    </w:p>
    <w:p>
      <w:pPr>
        <w:spacing w:after="0" w:line="21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Our net cash flows used in financing activities during the three months ended June 30, 2024 were €22.9 million and mainly related to our lease payments.</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net cash flows used in financing activities during the six months ended June 30, 2025 were €27.1 million and mainly related to our lease payments of €18.9 million.</w:t>
      </w:r>
    </w:p>
    <w:p>
      <w:pPr>
        <w:spacing w:after="0" w:line="21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Our net cash flows used in financing activities during the six months ended June 30, 2024 were €30.7 million and mainly related to our lease payments.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Operation and Funding Requirements</w:t>
      </w:r>
    </w:p>
    <w:p>
      <w:pPr>
        <w:spacing w:after="0" w:line="17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or expand our research or development of our programs in preclinical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or expand the scope of our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initiate additional preclinical, clinical, or other trials for our product candidates, including under our collaboration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to invest in our immunotherapy platforms to conduct research to identify novel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increase our manufacturing capacity or capability;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add additional suppliers;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 additional infrastructure to our quality control, quality assurance, legal, compliance and other groups to support our operations as 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public company and our product development and commercialization efforts, including new and expanded sites globally;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 and retain skilled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marketing approvals and reimbursement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 our sales, marketing, and distribution infrastructure for our COVID-19 vaccine;</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61</w:t>
      </w:r>
    </w:p>
    <w:p>
      <w:pPr>
        <w:sectPr>
          <w:pgSz w:w="11900" w:h="16838" w:orient="portrait"/>
          <w:cols w:equalWidth="0" w:num="1">
            <w:col w:w="11240"/>
          </w:cols>
          <w:pgMar w:left="320" w:top="167" w:right="339" w:bottom="1440" w:gutter="0" w:footer="0" w:header="0"/>
          <w:type w:val="continuous"/>
        </w:sectPr>
      </w:pPr>
    </w:p>
    <w:bookmarkStart w:id="69" w:name="page70"/>
    <w:bookmarkEnd w:id="6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enhance our commercial infrastructure for other product candidates for which we are seeking to obtain marketing approval;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to identify and validate additional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or in-license other product candidates and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other companies;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milestone or other payments under any in-license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 protect, defend, enforce and expand our intellectual property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any delays or encounter issues with any of the above.</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are a party to license and research and development agreements with universities and other third parties, as well as patent assignment agreements, under which we have obtained rights to patents, patent applications and know-how. We enter into contracts in the normal course of business with CROs for clinical trials and clinical and commercial supply manufacturing, and with vendors for preclinical research studies and for other services and products for operating purposes. We work together with CMOs who manufacture our product candidates and products, and enter into lease agreements to lease laboratory, GMP manufacturing, storage and office spaces. Purchase obligations under our agreements, to the extent that they are quantifiable and not cancellable, have been considered when defining our guidance for future cash commitments. Most of the committed cash outflow within one year is related to lease payments amounting to €47.8 million and commitments under purchase agreements and contractual obligations amounting to €178.2 million. Further, we have lease payment obligations with an amount of €212.6 million and commitments under purchase agreements and contractual obligations of €871.2 million for the years 2026 and beyond. Our capital expenditures supporting our operating activities during the three and six months ended June 30, 2025 amounted to €38.3 million and €91.2 million, respectively. In comparison, our capital expenditures supporting our operating activities during the three and six months ended June 30, 2024 amounted to €94.4 million and €156.9 million, respectively. During both years, these expenditures were mainly driven by investments in building our laboratory and office facilities in Germany and rest of world.</w:t>
      </w:r>
    </w:p>
    <w:p>
      <w:pPr>
        <w:spacing w:after="0" w:line="200" w:lineRule="exact"/>
        <w:rPr>
          <w:sz w:val="20"/>
          <w:szCs w:val="20"/>
          <w:color w:val="auto"/>
        </w:rPr>
      </w:pPr>
    </w:p>
    <w:p>
      <w:pPr>
        <w:spacing w:after="0" w:line="31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are subject to all of the risks related to the development and commercialization of pharmaceutical products, and we may encounter unforeseen expenses, difficulties, complications, delays and other unknown factors that may adversely affect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future funding requirements, both near and long term, will depend on many factors, including, but not limited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initiation, progress, timing, costs, and results of preclinical or nonclinical studies and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 and timing of revenues and associated costs from sales of our COVID-19 vaccine;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62</w:t>
            </w:r>
          </w:p>
        </w:tc>
      </w:tr>
    </w:tbl>
    <w:p>
      <w:pPr>
        <w:sectPr>
          <w:pgSz w:w="11900" w:h="16838" w:orient="portrait"/>
          <w:cols w:equalWidth="0" w:num="1">
            <w:col w:w="11240"/>
          </w:cols>
          <w:pgMar w:left="320" w:top="167" w:right="339" w:bottom="1440" w:gutter="0" w:footer="0" w:header="0"/>
        </w:sectPr>
      </w:pPr>
    </w:p>
    <w:bookmarkStart w:id="70" w:name="page71"/>
    <w:bookmarkEnd w:id="7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research and our other platform activities;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development plans we establish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agreements with our current or future collaborators, and the achievement of any milestone payments under such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agreements to be paid to us or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and characteristics of product candidates that we develop or may in-license;</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timing and cost of meeting regulatory requirements established by the FDA, the EMA and other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filing, prosecuting, obtaining, maintaining, protecting, defending and enforcing our patent claims and other intellectual property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231"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effect of competing technological and market developments, including other products that may compete with one or more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and timing of completion and further expansion of clinical and commercial scale manufacturing activities sufficient to support 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our current and future programs;</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establishing sales, marketing, and distribution capabilities for any product candidates for which we may receive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approval and reimbursement in regions where we choose to commercialize our products on our own;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ADS repurchases we make.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Risk Factors</w:t>
      </w:r>
    </w:p>
    <w:p>
      <w:pPr>
        <w:spacing w:after="0" w:line="20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business is subject to various risks, including those described below. You should consider carefully the risks and uncertainties described below and in our future filings. If any such risks are 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 Factor Summary</w:t>
      </w:r>
    </w:p>
    <w:p>
      <w:pPr>
        <w:spacing w:after="0" w:line="16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Demand for our COVID-19 vaccine, though difficult to predict, is expected to continue to decrease in the near future. Changing market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dynamics, including as a result of the political climate and public</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63</w:t>
            </w:r>
          </w:p>
        </w:tc>
      </w:tr>
    </w:tbl>
    <w:p>
      <w:pPr>
        <w:sectPr>
          <w:pgSz w:w="11900" w:h="16838" w:orient="portrait"/>
          <w:cols w:equalWidth="0" w:num="1">
            <w:col w:w="11240"/>
          </w:cols>
          <w:pgMar w:left="320" w:top="167" w:right="339" w:bottom="1440" w:gutter="0" w:footer="0" w:header="0"/>
        </w:sectPr>
      </w:pPr>
    </w:p>
    <w:bookmarkStart w:id="71" w:name="page72"/>
    <w:bookmarkEnd w:id="71"/>
    <w:p>
      <w:pPr>
        <w:ind w:left="1000"/>
        <w:spacing w:after="0"/>
        <w:tabs>
          <w:tab w:leader="none" w:pos="736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right="20"/>
        <w:spacing w:after="0" w:line="344" w:lineRule="auto"/>
        <w:rPr>
          <w:sz w:val="20"/>
          <w:szCs w:val="20"/>
          <w:color w:val="auto"/>
        </w:rPr>
      </w:pPr>
      <w:r>
        <w:rPr>
          <w:rFonts w:ascii="Times New Roman" w:cs="Times New Roman" w:eastAsia="Times New Roman" w:hAnsi="Times New Roman"/>
          <w:sz w:val="18"/>
          <w:szCs w:val="18"/>
          <w:color w:val="080509"/>
        </w:rPr>
        <w:t>sentiment, will impact our revenue, which currently depends heavily on sales of our COVID-19 vaccine, and result in challenges relating to production of our COVID-19 vaccine.</w:t>
      </w:r>
    </w:p>
    <w:p>
      <w:pPr>
        <w:spacing w:after="0" w:line="217" w:lineRule="exact"/>
        <w:rPr>
          <w:sz w:val="20"/>
          <w:szCs w:val="20"/>
          <w:color w:val="auto"/>
        </w:rPr>
      </w:pPr>
    </w:p>
    <w:p>
      <w:pPr>
        <w:ind w:left="18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reported commercial revenue is partially based on preliminary estimates of COVID-19 vaccine sales and costs from Pfizer Inc.,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Pfizer, that are likely to change in future periods, which may impact our reported financial results.</w:t>
      </w:r>
    </w:p>
    <w:p>
      <w:pPr>
        <w:spacing w:after="0" w:line="216" w:lineRule="exact"/>
        <w:rPr>
          <w:sz w:val="20"/>
          <w:szCs w:val="20"/>
          <w:color w:val="auto"/>
        </w:rPr>
      </w:pPr>
    </w:p>
    <w:p>
      <w:pPr>
        <w:ind w:left="18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unsuccessful in adapting our COVID-19 vaccine or developing future versions of our COVID-19 vaccine to protect against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variants of the SARS-CoV-2 virus and, even if we are successful, a market for vaccines against these variants may not develop.</w:t>
      </w:r>
    </w:p>
    <w:p>
      <w:pPr>
        <w:spacing w:after="0" w:line="216" w:lineRule="exact"/>
        <w:rPr>
          <w:sz w:val="20"/>
          <w:szCs w:val="20"/>
          <w:color w:val="auto"/>
        </w:rPr>
      </w:pPr>
    </w:p>
    <w:p>
      <w:pPr>
        <w:ind w:left="18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adverse events may occur during our clinical trials or even after receiving regulatory approval, which could delay or terminate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and delay or prevent regulatory approval or market acceptance of any of our product candidates. Since commercialization, we have received, and expect to continue to receive, product liability claims related to our COVID-19 vaccine.</w:t>
      </w:r>
    </w:p>
    <w:p>
      <w:pPr>
        <w:spacing w:after="0" w:line="231" w:lineRule="exact"/>
        <w:rPr>
          <w:sz w:val="20"/>
          <w:szCs w:val="20"/>
          <w:color w:val="auto"/>
        </w:rPr>
      </w:pPr>
    </w:p>
    <w:p>
      <w:pPr>
        <w:ind w:left="18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we are unable to continue to increase our marketing and sales capabilities on our own or through third parties, we may not be able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market and sell our product candidates effectively in the United States and other jurisdictions, if approved, or generate product sales revenue.</w:t>
      </w:r>
    </w:p>
    <w:p>
      <w:pPr>
        <w:spacing w:after="0" w:line="200" w:lineRule="exact"/>
        <w:rPr>
          <w:sz w:val="20"/>
          <w:szCs w:val="20"/>
          <w:color w:val="auto"/>
        </w:rPr>
      </w:pPr>
    </w:p>
    <w:p>
      <w:pPr>
        <w:spacing w:after="0" w:line="262" w:lineRule="exact"/>
        <w:rPr>
          <w:sz w:val="20"/>
          <w:szCs w:val="20"/>
          <w:color w:val="auto"/>
        </w:rPr>
      </w:pPr>
    </w:p>
    <w:p>
      <w:pPr>
        <w:ind w:left="18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companies or organizations may challenge our intellectual property rights or may assert intellectual property rights that prevent us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developing and commercializing our COVID-19 vaccine or our product candidates and other technologies, or that negatively affect our results of operations.</w:t>
      </w:r>
    </w:p>
    <w:p>
      <w:pPr>
        <w:spacing w:after="0" w:line="200" w:lineRule="exact"/>
        <w:rPr>
          <w:sz w:val="20"/>
          <w:szCs w:val="20"/>
          <w:color w:val="auto"/>
        </w:rPr>
      </w:pPr>
    </w:p>
    <w:p>
      <w:pPr>
        <w:spacing w:after="0" w:line="262" w:lineRule="exact"/>
        <w:rPr>
          <w:sz w:val="20"/>
          <w:szCs w:val="20"/>
          <w:color w:val="auto"/>
        </w:rPr>
      </w:pPr>
    </w:p>
    <w:p>
      <w:pPr>
        <w:ind w:left="18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Even if we obtain regulatory approval for our product candidates, the products may not gain the market acceptance among physicians,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patients, hospitals, treatment centers and others in the medical community necessary for commercial success.</w:t>
      </w:r>
    </w:p>
    <w:p>
      <w:pPr>
        <w:spacing w:after="0" w:line="216" w:lineRule="exact"/>
        <w:rPr>
          <w:sz w:val="20"/>
          <w:szCs w:val="20"/>
          <w:color w:val="auto"/>
        </w:rPr>
      </w:pPr>
    </w:p>
    <w:p>
      <w:pPr>
        <w:ind w:left="18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operating results may fluctuate significantly, which makes our future operating results difficult to predict. If our operating results fall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below expectations, the price of the ADSs representing our shares could decline.</w:t>
      </w:r>
    </w:p>
    <w:p>
      <w:pPr>
        <w:spacing w:after="0" w:line="216" w:lineRule="exact"/>
        <w:rPr>
          <w:sz w:val="20"/>
          <w:szCs w:val="20"/>
          <w:color w:val="auto"/>
        </w:rPr>
      </w:pPr>
    </w:p>
    <w:p>
      <w:pPr>
        <w:ind w:left="18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we identify material weaknesses in our internal control over financial reporting and fail to remediate such material weaknesses, we may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not be able to report our financial results accurately or to prevent fraud.</w:t>
      </w:r>
    </w:p>
    <w:p>
      <w:pPr>
        <w:spacing w:after="0" w:line="216" w:lineRule="exact"/>
        <w:rPr>
          <w:sz w:val="20"/>
          <w:szCs w:val="20"/>
          <w:color w:val="auto"/>
        </w:rPr>
      </w:pPr>
    </w:p>
    <w:p>
      <w:pPr>
        <w:ind w:left="18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 a “foreign private issuer,” we are exempt from a number of rules under U.S. securities laws, as well as Nasdaq rules, and we are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permitted to file less information with the Securities and Exchange Commission, or the SEC, than U.S. companies. This may limit the information available to holders of the ADSs and may make our ordinary shares and the ADSs less attractive to investors.</w:t>
      </w:r>
    </w:p>
    <w:p>
      <w:pPr>
        <w:spacing w:after="0" w:line="231" w:lineRule="exact"/>
        <w:rPr>
          <w:sz w:val="20"/>
          <w:szCs w:val="20"/>
          <w:color w:val="auto"/>
        </w:rPr>
      </w:pPr>
    </w:p>
    <w:p>
      <w:pPr>
        <w:ind w:left="18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development involves a lengthy and expensive process with an uncertain outcome, and delays can occur for a variety of reasons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64</w:t>
            </w:r>
          </w:p>
        </w:tc>
      </w:tr>
    </w:tbl>
    <w:p>
      <w:pPr>
        <w:sectPr>
          <w:pgSz w:w="11900" w:h="16838" w:orient="portrait"/>
          <w:cols w:equalWidth="0" w:num="1">
            <w:col w:w="11200"/>
          </w:cols>
          <w:pgMar w:left="360" w:top="167" w:right="339" w:bottom="1440" w:gutter="0" w:footer="0" w:header="0"/>
        </w:sectPr>
      </w:pPr>
    </w:p>
    <w:bookmarkStart w:id="72" w:name="page73"/>
    <w:bookmarkEnd w:id="7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mRNA drug development has substantial clinical development and regulatory risks due to limited regulatory experience with mRNA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immunotherapies.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approved product and product candidates are based on novel technologies and they may be complex and difficult to manufacture. We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23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our efforts to obtain, maintain, protect, defend and/or enforce the intellectual property related to our COVID-19 vaccine or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and technologies are not adequate, we may not be able to compete effectively in our market.</w:t>
      </w:r>
    </w:p>
    <w:p>
      <w:pPr>
        <w:spacing w:after="0" w:line="216"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have experienced and may continue to experience significant volatility in the market price of the ADSs representing our ordinary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shares.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principal shareholders and management own a significant percentage of our ordinary shares and will be able to exert significant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control over matters subject to shareholder approval.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COVID-19 Vaccine and the Commercialization of our Pipeline</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Demand for our COVID- 19 vaccine, though difficult to predict, is expected to continue to decrease in the near future. Changing market dynamics will impact our revenue, which currently depends heavily on sales of our COVID-19 vaccine, and result in challenges relating to production of our COVID-19 vaccine.</w:t>
      </w:r>
    </w:p>
    <w:p>
      <w:pPr>
        <w:spacing w:after="0" w:line="18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Prior to the commercialization of our COVID-19 vaccine, we had not sold or marketed any products in our pipeline. As a result, a majority of our total revenues to date are attributable to sales of our COVID-19 vaccine. However, we have experienced and we expect to continue to experience increasing reductions in demand for COVID-19 vaccination generally, including for our vaccine, now that the virus has entered an endemic stage and as a growing proportion of the population becomes vaccinated. We expect that future revenues from sales of our COVID-19 vaccine will decrease as demand for vaccination wanes. Such revenues will depend on numerous factors, including:</w:t>
      </w:r>
    </w:p>
    <w:p>
      <w:pPr>
        <w:spacing w:after="0" w:line="240"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a COVID-19 vaccine, including any booster shot, continues to be necessary while COVID-19 remains an endemic</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virus;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competition from other COVID-19 vaccines, including those with different mechanisms of action and different manufacturing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distribution constraints, on the basis of, among other things, efficacy, cost, convenience of storage and distribution, breadth of approved use, side-effect profile and durability of immune response;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successfully and timely develop effective vaccines targeting new variants and mutations of COVID-19;</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changes in local, national and state government policy preferences in the United States and other jurisdictions resulting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new elected leadership and evolving public sentiment affect demand for COVID-19 vaccines or mRNA therapeutics and our ability to successfully commercialize our product candidates, if approved;</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65</w:t>
            </w:r>
          </w:p>
        </w:tc>
      </w:tr>
    </w:tbl>
    <w:p>
      <w:pPr>
        <w:sectPr>
          <w:pgSz w:w="11900" w:h="16838" w:orient="portrait"/>
          <w:cols w:equalWidth="0" w:num="1">
            <w:col w:w="11240"/>
          </w:cols>
          <w:pgMar w:left="320" w:top="167" w:right="339" w:bottom="1440" w:gutter="0" w:footer="0" w:header="0"/>
        </w:sectPr>
      </w:pPr>
    </w:p>
    <w:bookmarkStart w:id="73" w:name="page74"/>
    <w:bookmarkEnd w:id="7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receive full regulatory approvals where we currently have, or previously have had, emergency use authorizations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equivalents;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expand our geographic customer base;</w:t>
      </w:r>
    </w:p>
    <w:p>
      <w:pPr>
        <w:spacing w:after="0" w:line="333" w:lineRule="exact"/>
        <w:rPr>
          <w:sz w:val="20"/>
          <w:szCs w:val="20"/>
          <w:color w:val="auto"/>
        </w:rPr>
      </w:pPr>
    </w:p>
    <w:p>
      <w:pPr>
        <w:jc w:val="right"/>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pricing and reimbursement negotiations with governmental authorities, private health insurers and other third-party payors after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initial sales to national governments, including the transition towards ordinary-course insurance coverage in the public and private sectors;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of countries and jurisdictions to store and distribute doses of our COVID-19 vaccine to end users at cold temperatures;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safety profile of our COVID-19 vaccine, including if previously unknown undesirable effects or increased incidence or severity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known undesirable effects are identified with our COVID-19 vaccine;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litigation involving our COVID-19 vaccine and COVID-19 vaccines in general;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manufacturing and distribution capabilities for our COVID-19 vaccine.</w:t>
      </w:r>
    </w:p>
    <w:p>
      <w:pPr>
        <w:spacing w:after="0" w:line="333"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We cannot accurately predict the revenues our COVID-19 vaccine will generate in future periods or for how long our COVID-19 vaccine will continue to generate material revenues, and we cannot ensure it will maintain its competitive position. Uncertainty in the demand for our COVID-19 vaccine and difficulties in targeting appropriate supply of our COVID-19 vaccines have in the past resulted, and may in the future result, in significant inventory write-downs and cancellations of contract manufacturing orders. Our business and financial condition could be materially affected by lowered COVID-19 vaccine revenues resulting from any of the above factors, or by production and supply chain difficulties. In addition, if our revenues or market share of, or other financial metrics relating to, our COVID-19 vaccine do not meet the expectations of investors or securities analysts, the market price of the ADSs representing our ordinary shares may decline.</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reported commercial revenue is based in part on preliminary estimates of COVID-19 vaccine sales and costs from Pfizer that are likely to change in future periods, which may impact our reported financial results.</w:t>
      </w:r>
    </w:p>
    <w:p>
      <w:pPr>
        <w:spacing w:after="0" w:line="158"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Our reported commercial revenue is based in part on preliminary estimates from Pfizer and other assumptions and judgments that we have made, which may be subject to significant uncertainties. Our commercial revenue includes preliminary estimates in part due to a difference in Pfizer’s financial quarter for subsidiaries outside the United States, which consequently creates an additional time lag between the recognition of revenues and the receipt of payment. Although our revenue recognition policy is based on facts and circumstances known to us and various other assumptions that we believe to be reasonable under the circumstances, our actual results may deviate from such reported revenue.</w:t>
      </w:r>
    </w:p>
    <w:p>
      <w:pPr>
        <w:spacing w:after="0" w:line="200" w:lineRule="exact"/>
        <w:rPr>
          <w:sz w:val="20"/>
          <w:szCs w:val="20"/>
          <w:color w:val="auto"/>
        </w:rPr>
      </w:pPr>
    </w:p>
    <w:p>
      <w:pPr>
        <w:spacing w:after="0" w:line="30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depend on Pfizer to determine and provide estimates of the costs and profits to be shared with us in the countries where it is commercializing our COVID-19 vaccine under our collaboration agreement with Pfizer for our COVID-19 vaccine, which we refer to as the Pfizer Agreement. Because the information supplied by Pfizer is preliminary and subject to change, the commercial revenue we report</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66</w:t>
            </w:r>
          </w:p>
        </w:tc>
      </w:tr>
    </w:tbl>
    <w:p>
      <w:pPr>
        <w:sectPr>
          <w:pgSz w:w="11900" w:h="16838" w:orient="portrait"/>
          <w:cols w:equalWidth="0" w:num="1">
            <w:col w:w="11240"/>
          </w:cols>
          <w:pgMar w:left="320" w:top="167" w:right="339" w:bottom="1440" w:gutter="0" w:footer="0" w:header="0"/>
        </w:sectPr>
      </w:pPr>
    </w:p>
    <w:bookmarkStart w:id="74" w:name="page75"/>
    <w:bookmarkEnd w:id="7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based on such information is also subject to finalization. This is particularly true for vaccine sales outside of the United States, where Pfizer has a different reporting cycle than ours. As a result, we may not have the complete sales and costs results outside of the United States for months not covered by the reporting period, but we are nonetheless required to report estimated figures.</w:t>
      </w:r>
    </w:p>
    <w:p>
      <w:pPr>
        <w:spacing w:after="0" w:line="231"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Pfizer has historically provided us with profit figures for our COVID-19 vaccine sales in the United States using standard U.S. transfer prices and manufacturing and shipping cost variances (as far as those have been identified) that could be subject to adjustment (e.g., due to changes in manufacturing costs or the price of our COVID-19 vaccine). Pfizer has also provided estimated profits for COVID-19 vaccine sales outside of the United States that were preliminary in nature for the last month of a quarter, as Pfizer’s subsidiaries outside of the United States have a different reporting cycle than ours. These estimated figures have changed, and in the future such estimated figures are likely to change, as we receive final data from Pfizer for the applicable period in accordance with the reporting cycle of Pfizer’s ex-U.S. subsidiaries and as actual costs become known. Further, to the extent that Pfizer does not provide such preliminary information in the future, our provisional sales figures for territories outside of the United States will be subject to an even greater level of estimate and judgment. Any changes to the preliminary data we report herein may have an impact on our reported revenues and expenses, profitability or financial position.</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may be unsuccessful in adapting our COVID- 19 vaccine or developing future versions of our COVID-19 vaccine to protect against variants of the SARS-CoV-2 virus, and even if we are successful, a market for vaccines against these variants may not develop and our ability to continue to generate income from sales of our COVID-19 vaccine is uncertain.</w:t>
      </w:r>
    </w:p>
    <w:p>
      <w:pPr>
        <w:spacing w:after="0" w:line="17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The COVID-19 disease itself is unpredictable and each variant comes with varying levels of transmissibility and severity. Consequently, the burden of the disease may wane or dissipate such that our and other COVID-19 vaccines may be considered less essential from individual and public health perspectives.</w:t>
      </w:r>
    </w:p>
    <w:p>
      <w:pPr>
        <w:spacing w:after="0" w:line="200" w:lineRule="exact"/>
        <w:rPr>
          <w:sz w:val="20"/>
          <w:szCs w:val="20"/>
          <w:color w:val="auto"/>
        </w:rPr>
      </w:pPr>
    </w:p>
    <w:p>
      <w:pPr>
        <w:spacing w:after="0" w:line="26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Our COVID-19 vaccine was initially developed based upon the genetic sequence of the original SARS-CoV-2 virus that was first detected. The SARS-CoV-2 virus continues to evolve, and new strains of the virus or those that are already in circulation may prove more transmissible or cause more severe forms of COVID-19 disease than the predominant strains observed to date. Our vaccine may not be as effective in protecting against existing and future variant strains of the SARS-CoV-2 virus as it is against the original virus or currently known strains of the SARS-CoV-2 virus. We and Pfizer intend to continue to observe our COVID-19 vaccine, including variant-adapted vaccine candidates, in global clinical trials. It is possible that subsequent data from these clinical trials may not be as favorable as data we submitted to regulatory authorities to support our applications for emergency use authorization or marketing or conditional marketing approval or that concerns about the safety of our variant-adapted COVID-19 vaccines will arise from widespread use outside of clinical trials. While we continue to monitor emerging SARS-CoV-2 strains, undertake investigations into the immunogenicity of our COVID-19 vaccine against new variants as they emerge and develop modified versions of our COVID-19 vaccine against new variants, these efforts may be unsuccessful, and failure to timely and successfully adapt our vaccine to variants of the SARS-CoV-2 virus could lead to significant reputational harm and adversely affect our financial results. Furthermore, variant-adapted COVID-19 vaccines may not receive approval or emergency use authorization in all jurisdictions, which could adversely affect our business prospects. It is also possible that we may expend significant resources adapting our COVID-19 vaccine to protect against certain variants of the SARS-CoV-2 virus, but that a market for adapted vaccines does not develop for one or more variants or that demand does not align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67</w:t>
            </w:r>
          </w:p>
        </w:tc>
      </w:tr>
    </w:tbl>
    <w:p>
      <w:pPr>
        <w:sectPr>
          <w:pgSz w:w="11900" w:h="16838" w:orient="portrait"/>
          <w:cols w:equalWidth="0" w:num="1">
            <w:col w:w="11240"/>
          </w:cols>
          <w:pgMar w:left="320" w:top="167" w:right="339" w:bottom="1440" w:gutter="0" w:footer="0" w:header="0"/>
        </w:sectPr>
      </w:pPr>
    </w:p>
    <w:bookmarkStart w:id="75" w:name="page76"/>
    <w:bookmarkEnd w:id="7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with our projections or cost expenditures. Moreover, even if we are successful in developing an adapted vaccine and there is a market for the new vaccine, new variants continue to emerge and any adapted vaccine may not be as effective in protecting against such future variant strains.</w:t>
      </w:r>
    </w:p>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If we discover safety issues with our products, including our COVID-19 vaccine, that were not known at the time of approval, commercialization efforts for our products could be negatively affected, approved products could lose their approval or sales could be suspended, we could be subject to product liability claims and our business and reputation could be materially harmed.</w:t>
      </w:r>
    </w:p>
    <w:p>
      <w:pPr>
        <w:spacing w:after="0" w:line="17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Our COVID-19 vaccine and any other product candidates for which we receive approval or emergency use authorization are subject to continuing regulatory oversight, including the review of additional safety information. Billions of doses of our COVID-19 vaccine have been delivered worldwide, and our COVID-19 vaccine is being more widely used by patients as an authorized product than it was used in clinical trials. As a result, undesirable effects and other problems may be observed that were not seen or anticipated, or were not as prevalent or severe, during clinical trials. We cannot provide assurance that newly discovered or developed safety issues will not arise, and we have received, and expect to continue to receive, product liability claims relating to our COVID-19 vaccine. With the use of any vaccine by a wide patient population, serious adverse events may occur from time to time that did not arise in clinical trials or that initially appeared to be unrelated to the vaccine itself and only with the collection of subsequent information were found to be causally related to the product. Safety events that arise outside of a clinical trial setting are difficult to monitor, and given the widespread use of our COVID-19 vaccine, we have experienced difficulty tracking potential treatment-related adverse events on a global basis. Any safety issues could cause us to suspend or cease marketing of our approved products, possibly subject us to substantial liabilities, and adversely affect our ability to generate revenue and our financial condition.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the price of the ADSs representing our ordinary shares to decline or experience periods of volatility.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Unexpected safety issues, including any that we have not yet observed in our clinical trials for our COVID-19 vaccine or in real world data, could lead to significant reputational damage for us and our product development platforms going forward and other issues, including delays in our other programs, the need for re-design of our clinical trials and the need for significant additional financial resources.</w:t>
      </w:r>
    </w:p>
    <w:p>
      <w:pPr>
        <w:spacing w:after="0" w:line="18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005A64"/>
        </w:rPr>
        <w:t>Failure to comply with continuing regulatory requirements by us or our collaboration partners could adversely impact regulatory approvals for our products, result in product recalls or suspensions, and/or subject us to fines and/or other types of liabilities.</w:t>
      </w:r>
    </w:p>
    <w:p>
      <w:pPr>
        <w:spacing w:after="0" w:line="17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If we or our collaborators fail to comply with applicable continuing regulatory requirements, including good industry practices, such as good manufacturing practices, or GMP, we or our collaborators may be subject to fines, suspension or withdrawal of regulatory approvals for specific drugs, product recalls and seizures, operating restrictions and/or criminal prosecutions. We and the manufacturers we engage to make our products and the manufacturing facilities in which our products are made are subject to periodic review and inspection by the U.S. Food and Drug Administration, or the FDA, and other regulatory authorities. If problems are identified during a review or inspection, we or our collaborators may be the subject of adverse regulatory action, including the issuance of untitled or warning letters, which could result in our inability to use the facility to make our product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68</w:t>
            </w:r>
          </w:p>
        </w:tc>
      </w:tr>
    </w:tbl>
    <w:p>
      <w:pPr>
        <w:sectPr>
          <w:pgSz w:w="11900" w:h="16838" w:orient="portrait"/>
          <w:cols w:equalWidth="0" w:num="1">
            <w:col w:w="11240"/>
          </w:cols>
          <w:pgMar w:left="320" w:top="167" w:right="339" w:bottom="1440" w:gutter="0" w:footer="0" w:header="0"/>
        </w:sectPr>
      </w:pPr>
    </w:p>
    <w:bookmarkStart w:id="76" w:name="page77"/>
    <w:bookmarkEnd w:id="7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determination that inventories are not safe for commercial sale. Any of these factors could adversely affect our business prospects and our financial position could be materially harmed.</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The successful commercialization of our product candidates will depend in part on the extent to which governmental authorities, private health insurers and other third-party payors provide coverage and adequate reimbursement levels and implement pricing policies favorable to our product candidates. Failure to obtain or maintain coverage and adequate reimbursement for our product candidates, if approved, and/or delayed payments from government authorities could limit our ability to market those products and decrease our ability to generate revenue.</w:t>
      </w:r>
    </w:p>
    <w:p>
      <w:pPr>
        <w:spacing w:after="0" w:line="391"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The availability and extent of reimbursement by governmental and private payors is essential for most patients to be able to afford certain treatments, including our COVID-19 vaccine and other product candidates we may develop and sell. In addition, because our mRNA product candidates represent an entirely new therapeutic modality, we cannot accurately estimate how future products we may develop and sell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in any of our products. Additionally, even if pricing terms with governmental authorities are agreed upon, there may be delayed or denied payments.</w:t>
      </w:r>
    </w:p>
    <w:p>
      <w:pPr>
        <w:spacing w:after="0" w:line="245"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There is significant uncertainty related to the insurance coverage and reimbursement for newly approved products in particular in the United States,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24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69</w:t>
            </w:r>
          </w:p>
        </w:tc>
      </w:tr>
    </w:tbl>
    <w:p>
      <w:pPr>
        <w:sectPr>
          <w:pgSz w:w="11900" w:h="16838" w:orient="portrait"/>
          <w:cols w:equalWidth="0" w:num="1">
            <w:col w:w="11240"/>
          </w:cols>
          <w:pgMar w:left="320" w:top="166" w:right="339" w:bottom="1440" w:gutter="0" w:footer="0" w:header="0"/>
        </w:sectPr>
      </w:pPr>
    </w:p>
    <w:bookmarkStart w:id="77" w:name="page78"/>
    <w:bookmarkEnd w:id="7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200" w:lineRule="exact"/>
        <w:rPr>
          <w:sz w:val="20"/>
          <w:szCs w:val="20"/>
          <w:color w:val="auto"/>
        </w:rPr>
      </w:pPr>
    </w:p>
    <w:p>
      <w:pPr>
        <w:spacing w:after="0" w:line="26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The Inflation Reduction Act, or IRA, enacted in August 2022 allows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The negotiated prices, which will become effective in 2026 for the first round of selected drugs,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These IRA provisions have begun to take effect progressively starting in 2023, although the drug negotiation provisions of the IRA are currently the subject of legal challenges. The effects of the IRA on our business and the healthcare industry in general are not yet known. These laws and regulations may result in additional reductions in Medicare and other healthcare funding and otherwise affect the prices we may obtain for any of our products for which we may obtain regulatory approval or the frequency with which any such product is prescribed or used.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importing from other countries and bulk purchasing. Officials appointed by the new presidential administration to oversee the implementation of the IRA may take a different approach, and the new administration and Congress could also pursue statutory changes to the program, either of which could negatively affect our revenues.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products in the marketplace.</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Government policies, including relating to manufacturing, export controls, or tariffs, and negative public perception regarding vaccines and mRNA-based therapeutics could severely and adversely impact the manufacturing and sales of our COVID-19 vaccine and other product candidates we may develop, if approved.</w:t>
      </w:r>
    </w:p>
    <w:p>
      <w:pPr>
        <w:spacing w:after="0" w:line="175"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There is a heightened risk that vaccines could be subject to export controls, adverse emergency actions or supply requirements by governmental and other authorities. In the past, the European Union and other regions have imposed, or threatened to impose, export controls that would limit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70</w:t>
            </w:r>
          </w:p>
        </w:tc>
      </w:tr>
    </w:tbl>
    <w:p>
      <w:pPr>
        <w:sectPr>
          <w:pgSz w:w="11900" w:h="16838" w:orient="portrait"/>
          <w:cols w:equalWidth="0" w:num="1">
            <w:col w:w="11240"/>
          </w:cols>
          <w:pgMar w:left="320" w:top="166" w:right="339" w:bottom="1440" w:gutter="0" w:footer="0" w:header="0"/>
        </w:sectPr>
      </w:pPr>
    </w:p>
    <w:bookmarkStart w:id="78" w:name="page79"/>
    <w:bookmarkEnd w:id="7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block the delivery of COVID-19 vaccines manufactured in or outside their territories in instances where manufacturers have been delayed or have not fully satisfied their delivery obligations to such governments, which could have prohibited us from delivering our COVID-19 vaccine to other jurisdictions. More recently, on April 2, 2025, the Trump administration imposed new tariffs including a 10% baseline tariff on all countries, a 20% tariff on imports from the EU, a 24% tariff on Japanese imports, a 26% percent tariff on Indian goods, and an additional 34% tariff on Chinese exports, bringing the total U.S. tariffs on Chinese goods to 54%. On April 9, 2025, the Trump administration further increased the total U.S. tariffs on Chinese goods to 145% and announced a 90-day pause on most of the other tariffs. On July 7, 2025, the Trump administration announced an extension of the 90-day pause until August 1, 2025. Despite the temporary pause, the imposition of new tariffs will likely be met with reciprocal tariffs, thus increasing the possibility of a global trade war. If trade restrictions or tariffs reduce global economic activity, potential impacts could include declining sales; increased costs; volatility in foreign exchange rates; and a decline in the value of our financial assets. Issued or future executive orders or other new or changes in laws, regulations or policy regarding tariffs could have a material adverse effect on our business, earnings and financial guidance. The actual impact of the new tariffs on our business is subject to a number of factors including, but not limited to, restrictions on trade, the effective date and duration of such tariffs, countries included in the scope of tariffs, changes to amounts of tariffs, potential retaliatory tariffs imposed by other countries, and the extent to which tariffs are imposed on finished or unfinished pharmaceutical products. Vaccines are also at risk of being subject to adverse emergency actions taken by governmental entities in certain countries, including intellectual property expropriation, compulsory licenses, strict price controls or other actions, such as the requirement that specific quantities of vaccine doses be set aside for designated purposes or geographic areas. Additional changes in governmental policy preferences and regulatory decision-making may have an adverse effect on our ability to commercialize products or, if approved, product candidates.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Furthermore, public sentiment regarding commercialization of vaccines, the safety and efficacy of our COVID-19 vaccine, other COVID-19 vaccines and treatments, and other public perceptions and misinformation relating to COVID-19, mRNA technology, and our and other COVID-19 vaccines may limit our ability to generate income from sales of our COVID-19 vaccine and other product candidates we may develop and sell, including due to changes in local, national and state government policies in the U.S. and other jurisdictions, and cause reputational damage.</w:t>
      </w:r>
    </w:p>
    <w:p>
      <w:pPr>
        <w:spacing w:after="0" w:line="200" w:lineRule="exact"/>
        <w:rPr>
          <w:sz w:val="20"/>
          <w:szCs w:val="20"/>
          <w:color w:val="auto"/>
        </w:rPr>
      </w:pP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face significant competition with other makers of COVID-19 vaccines and may be unable to maintain a competitive market share for our COVID-19 vaccine.</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 number of vaccine manufacturers, academic institutions and other organizations currently have programs to develop COVID-19 vaccine candidates, including vaccines developed by Moderna, Inc. and Novavax, Inc.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invest heavily to accelerate discovery and development of their vaccine candidates.</w:t>
      </w:r>
    </w:p>
    <w:p>
      <w:pPr>
        <w:spacing w:after="0" w:line="240"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Our efforts to continue successful commercialization of our COVID-19 vaccine may fail if competitors develop and commercialize COVID-19 vaccines that are safer, more effective, produce longer immunity against COVID-19, require fewer administrations, have fewer or less severe undesirable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71</w:t>
            </w:r>
          </w:p>
        </w:tc>
      </w:tr>
    </w:tbl>
    <w:p>
      <w:pPr>
        <w:sectPr>
          <w:pgSz w:w="11900" w:h="16838" w:orient="portrait"/>
          <w:cols w:equalWidth="0" w:num="1">
            <w:col w:w="11240"/>
          </w:cols>
          <w:pgMar w:left="320" w:top="166" w:right="339" w:bottom="1440" w:gutter="0" w:footer="0" w:header="0"/>
        </w:sectPr>
      </w:pPr>
    </w:p>
    <w:bookmarkStart w:id="79" w:name="page80"/>
    <w:bookmarkEnd w:id="7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effects, have broader market acceptance, are more convenient to administer or distribute or are less expensive than any vaccine candidate that we have developed or we may develop.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Our COVID-19 vaccine is sensitive to temperature, shipping and storage conditions and could be subject to risk of loss or damage.</w:t>
      </w:r>
    </w:p>
    <w:p>
      <w:pPr>
        <w:spacing w:after="0" w:line="21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COVID-19 vaccine is, and other product candidates we develop could be, sensitive to temperature, storage and handling conditions. In particular, while we have improved the required shipping and storage conditions of our COVID-19 vaccine, it must be shipped and stored at cold temperatures. Loss in supply of our COVID-19 vaccine and our product candidates could occur if the product or product intermediates are not stored or handled properly. Shelf life for our product candidates may vary by product, and it is possible that supply of our COVID-19 vaccine or our product candidates could be lost due to expiration prior to use. This has in the past led, and could in the future lead, to additional manufacturing costs and delays in our ability to supply required quantities for clinical trials or for commercial purposes. Such distribution challenges may make our COVID-19 vaccine a less attractive product than other COVID-19 vaccines that do not require as cold storage, and our COVID-19 vaccine may become increasingly less competitive as additional other vaccines become authorized for emergency use. If we, our partners and customers are unable to adequately manage these issues, we may be exposed to product liability claims and the market opportunity for our COVID-19 vaccine may be reduced, each of which could adversely affect our business prospects and materially harm our financial condition.</w:t>
      </w:r>
    </w:p>
    <w:p>
      <w:pPr>
        <w:spacing w:after="0" w:line="200" w:lineRule="exact"/>
        <w:rPr>
          <w:sz w:val="20"/>
          <w:szCs w:val="20"/>
          <w:color w:val="auto"/>
        </w:rPr>
      </w:pPr>
    </w:p>
    <w:p>
      <w:pPr>
        <w:spacing w:after="0" w:line="2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are developing other product candidates and services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17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greater financial, technical and human resources than we have at every stage of the discovery, development, manufacture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commercialization of products;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more extensive experience in preclinical testing, conducting clinical trials, obtaining regulatory approvals and manufacturing,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selling drug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that are based on previously tested or accepted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that have been approved or are in late stages of development;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collaborative arrangements in our target markets with leading companies and research institutions.</w:t>
      </w:r>
    </w:p>
    <w:p>
      <w:pPr>
        <w:spacing w:after="0" w:line="33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will continue to face intense competition from products that have already been approved and accepted by the medical community for the treatment of the conditions for which we may develop products in the future. We also expect to face competition from new products that enter the market. There are a number of products currently under development, which may become commercially available in the future, for the treatment of conditions for which we are trying, or may in the future try,</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72</w:t>
            </w:r>
          </w:p>
        </w:tc>
      </w:tr>
    </w:tbl>
    <w:p>
      <w:pPr>
        <w:sectPr>
          <w:pgSz w:w="11900" w:h="16838" w:orient="portrait"/>
          <w:cols w:equalWidth="0" w:num="1">
            <w:col w:w="11240"/>
          </w:cols>
          <w:pgMar w:left="320" w:top="166" w:right="339" w:bottom="1440" w:gutter="0" w:footer="0" w:header="0"/>
        </w:sectPr>
      </w:pPr>
    </w:p>
    <w:bookmarkStart w:id="80" w:name="page81"/>
    <w:bookmarkEnd w:id="8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to develop drugs. These drugs may be more effective, safer, less expensive, or marketed and sold more effectively than any products we develop.</w:t>
      </w:r>
    </w:p>
    <w:p>
      <w:pPr>
        <w:spacing w:after="0" w:line="200" w:lineRule="exact"/>
        <w:rPr>
          <w:sz w:val="20"/>
          <w:szCs w:val="20"/>
          <w:color w:val="auto"/>
        </w:rPr>
      </w:pPr>
    </w:p>
    <w:p>
      <w:pPr>
        <w:spacing w:after="0" w:line="3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anticipate competing with the largest pharmaceutical companies in the world, many of which are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23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If we successfully develop other product candidates, and obtain approval for them, we will face competition based on many different factors, including:</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safety and effectiveness of our products relative to alternative therapies, if 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ease with which our products can be administered and the extent to which patients accept relatively new routes of administration;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timing and scope of regulatory approvals for these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availability and cost of manufacturing, marketing and sales capabilities;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price of any approved immunotherapy;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reimbursement coverage;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position.</w:t>
      </w:r>
    </w:p>
    <w:p>
      <w:pPr>
        <w:spacing w:after="0" w:line="3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Following our acquisition of InstaDeep Ltd., or InstaDeep, we also face competition in the rapidly growing and developing artificial intelligence, or AI, industry. Our competitors may develop or commercialize products and services with significant advantages over any products we develop based on any of the factors listed above or on other factors. In addition, our competitors may develop collaborations with or receive funding from larger pharmaceutical, biotechnology or technology companies, providing them with an advantage over us. Our competitors therefore may be more successful in commercializing their products and services than we are, which could adversely affect our competitive position and business. Competitive products and services may make any products and services we develop obsolete or non-competitive before we can recover the expenses of developing and commercializing such products, if approved, and services.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market opportunities for some of our product candidates may be small due to the rarity of the disease, or limited to those patients who are ineligible for or have failed prior treatments. As the target patient populations for some of our programs are small, we may be unable to achieve or maintain profitability in future periods without obtaining regulatory approval for additional indications.</w:t>
      </w:r>
    </w:p>
    <w:p>
      <w:pPr>
        <w:spacing w:after="0" w:line="17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FDA often approves new cancer therapies initially only for use by patients with relapsed or refractory advanced cancer. We expect to seek approval initially for some of our product candidates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73</w:t>
            </w:r>
          </w:p>
        </w:tc>
      </w:tr>
    </w:tbl>
    <w:p>
      <w:pPr>
        <w:sectPr>
          <w:pgSz w:w="11900" w:h="16838" w:orient="portrait"/>
          <w:cols w:equalWidth="0" w:num="1">
            <w:col w:w="11240"/>
          </w:cols>
          <w:pgMar w:left="320" w:top="166" w:right="339" w:bottom="1440" w:gutter="0" w:footer="0" w:header="0"/>
        </w:sectPr>
      </w:pPr>
    </w:p>
    <w:bookmarkStart w:id="81" w:name="page82"/>
    <w:bookmarkEnd w:id="8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in this context. Subsequently, for those products that prove to be sufficiently beneficial,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may be small, we may be unable to achieve or maintain profitability in future periods without obtaining regulatory approval for additional indications.</w:t>
      </w:r>
    </w:p>
    <w:p>
      <w:pPr>
        <w:spacing w:after="0" w:line="200" w:lineRule="exact"/>
        <w:rPr>
          <w:sz w:val="20"/>
          <w:szCs w:val="20"/>
          <w:color w:val="auto"/>
        </w:rPr>
      </w:pPr>
    </w:p>
    <w:p>
      <w:pPr>
        <w:spacing w:after="0" w:line="2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If we are unable to continue to increase our marketing and sales capabilities on our own or through third parties, we may not be able to market and sell our product candidates effectively in the United States and other jurisdictions, if approved, or generate sufficient product sales revenue.</w:t>
      </w:r>
    </w:p>
    <w:p>
      <w:pPr>
        <w:spacing w:after="0" w:line="38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have only relatively recently developed our sales, distribution or marketing capabilities in Germany and Türkiye, and, other than for our COVID-19 vaccine, we have not historically designed our preclinical studies and clinical trials with specific commercialization or marketing considerations in mind. In addition, with respect to our COVID-19 vaccine, we rely heavily on the sales, distribution, and marketing capabilities of our partners, except in Germany and Türkiye. To successfully commercialize any other products that may result from our development programs, several of which are undergoing pivotal clinical trials, we will need to continue developing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current and future collaborators do not commit sufficient resources to further commercialize our COVID-19 vaccine and our future products, if any, and we are unable to develop the necessary marketing capabilities on our own, we may be unable to generate sufficient product sales revenue to sustain our business. We compete with many companies that currently have extensive and well-funded marketing and sales operations. Without continuing to grow our internal team or obtaining the support of third parties to perform marketing and sales functions, we may be unable to compete successfully against these more established companies.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b w:val="1"/>
          <w:bCs w:val="1"/>
          <w:color w:val="005A64"/>
        </w:rPr>
        <w:t>Our ability to achieve or maintain profitability in future periods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18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ability to achieve or maintain profitability in future periods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obtaining, on a country-by-country basis, the applicable marketing authorization from the competent regulatory authority;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74</w:t>
            </w:r>
          </w:p>
        </w:tc>
      </w:tr>
    </w:tbl>
    <w:p>
      <w:pPr>
        <w:sectPr>
          <w:pgSz w:w="11900" w:h="16838" w:orient="portrait"/>
          <w:cols w:equalWidth="0" w:num="1">
            <w:col w:w="11240"/>
          </w:cols>
          <w:pgMar w:left="320" w:top="166" w:right="339" w:bottom="1440" w:gutter="0" w:footer="0" w:header="0"/>
        </w:sectPr>
      </w:pPr>
    </w:p>
    <w:bookmarkStart w:id="82" w:name="page83"/>
    <w:bookmarkEnd w:id="8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burden of complying with complex and changing regulatory, tax, accounting, labor and other legal requirements in each jurisdiction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that we or our collaborators pursue;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reduced protection for intellectual property rights;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medical practices and customs affecting acceptance in the marketplace;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import or export licensing requirements;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governmental controls, trade restrictions or changes in tariffs;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economic weakness, including inflation, or political instability;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shortages resulting from any events affecting raw material supply or manufacturing capabilities abroad;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longer accounts receivable collection times;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longer lead times for shipping;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language barriers;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foreign currency exchange rate fluctuations;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impact of epidemics, pandemics and other public health developments, such as COVID-19, on employees and the global economy;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reimbursement, pricing and insurance regimes;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interpretation of contractual provisions governed by local laws in the event of a contract dispute.</w:t>
      </w:r>
    </w:p>
    <w:p>
      <w:pPr>
        <w:spacing w:after="0" w:line="33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158"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Any product that we bring to the market may not gain market acceptance by physicians, trial participants, third-party payors, and others in the medical community. Additionally, ethical and legal concerns and social preferences about research involving mRNA could result in additional regulations</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75</w:t>
      </w:r>
    </w:p>
    <w:p>
      <w:pPr>
        <w:sectPr>
          <w:pgSz w:w="11900" w:h="16838" w:orient="portrait"/>
          <w:cols w:equalWidth="0" w:num="1">
            <w:col w:w="11240"/>
          </w:cols>
          <w:pgMar w:left="320" w:top="166" w:right="339" w:bottom="1440" w:gutter="0" w:footer="0" w:header="0"/>
          <w:type w:val="continuous"/>
        </w:sectPr>
      </w:pPr>
    </w:p>
    <w:bookmarkStart w:id="83" w:name="page84"/>
    <w:bookmarkEnd w:id="8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restricting or prohibiting the products and processes we may use. If these products do not achieve an adequate level of acceptance, we may not generate significant product sales revenue and may not be able to achieve or maintain profitability in future periods. The degree of market acceptance of our product candidates, if approved for commercial sale, will depend on a number of factors, including: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potential efficacy and potential advantages over alternative treatments;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to offer our products, if approved, at competitive prices;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prevalence and severity of any undesirable effects, including any limitations or warnings contained in a product’s approved labeling;</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prevalence and severity of any undesirable effects resulting from checkpoint inhibitors or other drugs or therapies with which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are administered;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relative convenience and ease of transportation, storage and administration;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restrictions on the use of our products, if approved, together with other medications;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willingness of the target patient population to try new therapies, such as mRNA vaccines and therapies, and of physicians to prescribe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these therapies;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strength of marketing and distribution support and timing of market introduction of competitive products;</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changes in local, national and state government policy preferences in the United States and other jurisdictions resulting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new elected leadership and evolving public sentiment affect demand for COVID-19 vaccines or mRNA therapeutics and our ability to successfully commercialize our product candidates, if approved;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publicity concerning our products or competing products and treatments;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sufficient third-party insurance coverage or reimbursement, and patients’ willingness to pay out-of-pocket in the absence of third-party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coverage or adequate reimbursement.</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200" w:lineRule="exact"/>
        <w:rPr>
          <w:sz w:val="20"/>
          <w:szCs w:val="20"/>
          <w:color w:val="auto"/>
        </w:rPr>
      </w:pPr>
    </w:p>
    <w:p>
      <w:pPr>
        <w:spacing w:after="0" w:line="295"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addition, for our products that are approved for marketing, we and/or our collaborator are subject to significant regulatory obligations regarding the submission of safety and other post-marketing information and reports for such product, and will need to continue to comply (or ensure that our third-party providers comply) with current GMP and current good clinical practices, or GCP, for any clinical trials that we or a collaborator conduct post-approval. In addition, there is always the risk that we or a</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76</w:t>
      </w:r>
    </w:p>
    <w:p>
      <w:pPr>
        <w:sectPr>
          <w:pgSz w:w="11900" w:h="16838" w:orient="portrait"/>
          <w:cols w:equalWidth="0" w:num="1">
            <w:col w:w="11240"/>
          </w:cols>
          <w:pgMar w:left="320" w:top="166" w:right="339" w:bottom="1440" w:gutter="0" w:footer="0" w:header="0"/>
          <w:type w:val="continuous"/>
        </w:sectPr>
      </w:pPr>
    </w:p>
    <w:bookmarkStart w:id="84" w:name="page85"/>
    <w:bookmarkEnd w:id="8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Coverage and reimbursement may be limited or unavailable in certain market segments for our product candidates, which could make it difficult for us to sell our product candidates, if approved, profitably.</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Successful sales of our product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product candidates for which we obtain regulatory approval. In addition, because certain of our product candidates represent new approaches to the treatment of cancer, we cannot accurately estimate the potential revenue from our product candidates.</w:t>
      </w:r>
    </w:p>
    <w:p>
      <w:pPr>
        <w:spacing w:after="0" w:line="240"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200" w:lineRule="exact"/>
        <w:rPr>
          <w:sz w:val="20"/>
          <w:szCs w:val="20"/>
          <w:color w:val="auto"/>
        </w:rPr>
      </w:pPr>
    </w:p>
    <w:p>
      <w:pPr>
        <w:spacing w:after="0" w:line="262"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covered benefit under its health plan;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safe, effective and medically necessary;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appropriate for the specific patient;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cost-effective;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neither experimental nor investigational.</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Obtaining coverage and reimbursement of a product from a government or other third-party payor is a time-consuming and costly process that could require us to provide to the payor supporting scientific, clinical and cost-effectiveness data for the use of our products. Third-party payors could require us to conduct additional studies, including post-marketing studies related to the cost effectiveness of a product, to qualify for reimbursement, which could be costly and divert our resources.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healthcare providers, including the Medicare Physician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77</w:t>
            </w:r>
          </w:p>
        </w:tc>
      </w:tr>
    </w:tbl>
    <w:p>
      <w:pPr>
        <w:sectPr>
          <w:pgSz w:w="11900" w:h="16838" w:orient="portrait"/>
          <w:cols w:equalWidth="0" w:num="1">
            <w:col w:w="11240"/>
          </w:cols>
          <w:pgMar w:left="320" w:top="166" w:right="339" w:bottom="1440" w:gutter="0" w:footer="0" w:header="0"/>
        </w:sectPr>
      </w:pPr>
    </w:p>
    <w:bookmarkStart w:id="85" w:name="page86"/>
    <w:bookmarkEnd w:id="8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23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200" w:lineRule="exact"/>
        <w:rPr>
          <w:sz w:val="20"/>
          <w:szCs w:val="20"/>
          <w:color w:val="auto"/>
        </w:rPr>
      </w:pPr>
    </w:p>
    <w:p>
      <w:pPr>
        <w:spacing w:after="0" w:line="30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advancement of healthcare reform legislation and changes to the regulatory environment in the United States, the European Union and elsewhere may increase the difficulty and cost for us to obtain marketing approval of and commercialize any product candidates we or our collaborators develop and may adversely affect the prices for such product candidates.</w:t>
      </w:r>
    </w:p>
    <w:p>
      <w:pPr>
        <w:spacing w:after="0" w:line="175"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In the United States, there have been and continue to be a number of legislative initiatives to contain healthcare costs. For example, in March 2010, the Patient Protection and Affordable Care Act, as amended by the Health Care and Education Reconciliation Act of 2010, or the ACA, was passed, which substantially changed the way health 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78</w:t>
            </w:r>
          </w:p>
        </w:tc>
      </w:tr>
    </w:tbl>
    <w:p>
      <w:pPr>
        <w:sectPr>
          <w:pgSz w:w="11900" w:h="16838" w:orient="portrait"/>
          <w:cols w:equalWidth="0" w:num="1">
            <w:col w:w="11240"/>
          </w:cols>
          <w:pgMar w:left="320" w:top="166" w:right="339" w:bottom="1440" w:gutter="0" w:footer="0" w:header="0"/>
        </w:sectPr>
      </w:pPr>
    </w:p>
    <w:bookmarkStart w:id="86" w:name="page87"/>
    <w:bookmarkEnd w:id="8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August 2022, the IRA was enacted, which sets forth meaningful changes to drug product reimbursement by Medicare. The IRA is anticipated to have significant effects on the pharmaceutical industry and may reduce the prices we can charge and reimbursement we can receive for our products in the United States, among other effects. Any reduction in reimbursement from Medicare resulting from the IRA or other legislative or policy changes or from other government programs may result in a similar reduction in payments from private payers. On August 16, 2024, CMS announced the results of a first round of discounted prices effectively set by CMS under the IRA, applicable to ten products of other manufacturers; those discounted prices, set to take effect for calendar year 2026, were as high as 79% from 2023 list prices. Additional products will be discounted in future years. We cannot be sure whether additional legislative changes will be enacted, or the effect of forthcoming guidance implementing the IRA, or what the impact of such changes on our products and product candidates may be. Officials appointed by the current presidential administration to oversee the implementation of the IRA or other statutes may take a different approach, and the administration and Congress could also pursue statutory changes to this or other programs, either of which could negatively affect our revenues.</w:t>
      </w:r>
    </w:p>
    <w:p>
      <w:pPr>
        <w:spacing w:after="0" w:line="200" w:lineRule="exact"/>
        <w:rPr>
          <w:sz w:val="20"/>
          <w:szCs w:val="20"/>
          <w:color w:val="auto"/>
        </w:rPr>
      </w:pPr>
    </w:p>
    <w:p>
      <w:pPr>
        <w:spacing w:after="0" w:line="3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0" w:lineRule="exact"/>
        <w:rPr>
          <w:sz w:val="20"/>
          <w:szCs w:val="20"/>
          <w:color w:val="auto"/>
        </w:rPr>
      </w:pPr>
    </w:p>
    <w:p>
      <w:pPr>
        <w:spacing w:after="0" w:line="304"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expect that additional healthcare reform measures or proposals will be adopted in the future, any of which could limit the amounts that governments will pay for healthcare products and services, including public health measures, which could result in reduced demand for our products and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 candidates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our approved products and from product candidates that we may successfully develop and for which we may obtain regulatory approval, and may affect our overall financial condition and ability to develop product candidates.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79</w:t>
            </w:r>
          </w:p>
        </w:tc>
      </w:tr>
    </w:tbl>
    <w:p>
      <w:pPr>
        <w:sectPr>
          <w:pgSz w:w="11900" w:h="16838" w:orient="portrait"/>
          <w:cols w:equalWidth="0" w:num="1">
            <w:col w:w="11240"/>
          </w:cols>
          <w:pgMar w:left="320" w:top="166" w:right="339" w:bottom="1440" w:gutter="0" w:footer="0" w:header="0"/>
        </w:sectPr>
      </w:pPr>
    </w:p>
    <w:bookmarkStart w:id="87" w:name="page88"/>
    <w:bookmarkEnd w:id="8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Drug marketing and reimbursement regulations in the European Union and elsewhere may materially affect our ability to market and receive coverage for our products in the member states of the European Union and elsewhere.</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COVID-19 vaccine is currently approved in the United States, the European Union, and other jurisdictions, and we intend to seek approval to market other product candidates in the United States, the European Union and other selected jurisdictions. If we obtain approval for our products or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products or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200" w:lineRule="exact"/>
        <w:rPr>
          <w:sz w:val="20"/>
          <w:szCs w:val="20"/>
          <w:color w:val="auto"/>
        </w:rPr>
      </w:pPr>
    </w:p>
    <w:p>
      <w:pPr>
        <w:spacing w:after="0" w:line="30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Financial Condition and Capital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Long-term sustainable profitability is difficult to achieve and maintain over time and is highly dependent on various factors.</w:t>
      </w:r>
    </w:p>
    <w:p>
      <w:pPr>
        <w:spacing w:after="0" w:line="21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ability to continue to generate revenue and achieve and maintain long-term sustainable profitability depends on our ability, alone or with collaborators, to successfully complete the development of, and obtain the regulatory approvals necessary to commercialize, our product candidates. We continue to generate revenues from sales of our COVID-19 vaccine and additional limited revenues from other transactions. While we expect to maintain revenue from ongoing COVID-19 vaccine sales, future demand for COVID-19 vaccination is subject to uncertainty. Although we anticipate COVID-19 vaccination rates to remain relatively stable in the near term, variations driven by factors such as new virus variants, regional policy changes, and public health measures may</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80</w:t>
            </w:r>
          </w:p>
        </w:tc>
      </w:tr>
    </w:tbl>
    <w:p>
      <w:pPr>
        <w:sectPr>
          <w:pgSz w:w="11900" w:h="16838" w:orient="portrait"/>
          <w:cols w:equalWidth="0" w:num="1">
            <w:col w:w="11240"/>
          </w:cols>
          <w:pgMar w:left="320" w:top="166" w:right="339" w:bottom="1440" w:gutter="0" w:footer="0" w:header="0"/>
        </w:sectPr>
      </w:pPr>
    </w:p>
    <w:bookmarkStart w:id="88" w:name="page89"/>
    <w:bookmarkEnd w:id="8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impact long-term demand. Consequently, our revenue projections are influenced by this inherent unpredictability. The amount of long-term revenue from such sales, including the sales of our COVID-19 vaccine, is uncertain at this time. Our ability to generate future revenues from pharmaceutical product sales and sales of our other products and services depends heavily on our success in: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completing research and preclinical and clinical development of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seeking and obtaining U.S. and non-U.S. marketing approvals for product candidates for which we complete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seeking and obtaining market access and favorable pricing terms in the United States, the European Union, and other key geographies;</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furthering the development of our own manufacturing capabilities and manufacturing relationships with third parties in order to provide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adequate (in amount and quality) products and services to support clinical development and the market demand for our approved products and product candidates, if approved;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obtaining market acceptance of our approved products and product candidates as a treatment option;</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launching and commercializing products for which we obtain marketing approval and reimbursement, either through collaborations or, if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launched independently, by establishing a sales force, marketing and distribution infrastructure;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addressing any competing technological and market developments, in particular, declining demand for any of our approved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implementing additional internal systems and infrastructure;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negotiating favorable terms in any collaboration, licensing or other arrangements into which we may enter;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managing our expenses;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maintaining, defending, protecting, enforcing and expanding our portfolio of intellectual property rights, including patents, trade secrets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know-how;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attracting, hiring and retaining qualified personnel.</w:t>
      </w:r>
    </w:p>
    <w:p>
      <w:pPr>
        <w:spacing w:after="0" w:line="33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Additionally, we have incurred significant costs associated with the commercialization of our COVID-19 vaccine. Our expenses could increase beyond our expectations if we are required by the FDA, the European Medicines Agency, or EMA, or other regulatory agencies to perform clinical and other trials or make changes to our manufacturing or quality systems in addition to those that we currently anticipate. Accordingly, such costs could adversely affect our future ability to achieve and maintain profitability.</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81</w:t>
            </w:r>
          </w:p>
        </w:tc>
      </w:tr>
    </w:tbl>
    <w:p>
      <w:pPr>
        <w:sectPr>
          <w:pgSz w:w="11900" w:h="16838" w:orient="portrait"/>
          <w:cols w:equalWidth="0" w:num="1">
            <w:col w:w="11240"/>
          </w:cols>
          <w:pgMar w:left="320" w:top="166" w:right="339" w:bottom="1440" w:gutter="0" w:footer="0" w:header="0"/>
        </w:sectPr>
      </w:pPr>
    </w:p>
    <w:bookmarkStart w:id="89" w:name="page90"/>
    <w:bookmarkEnd w:id="8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005A64"/>
        </w:rPr>
        <w:t>Our operating results may fluctuate significantly, which makes our future operating results difficult to predict. If our operating results fall below expectations, the price of the ADSs representing our ordinary shares could decline.</w:t>
      </w:r>
    </w:p>
    <w:p>
      <w:pPr>
        <w:spacing w:after="0" w:line="158"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Our financial condition and operating results have varied in the past and will continue to fluctuate from one financial period to the next due to a variety of factors, many of which are beyond our control.</w:t>
      </w:r>
    </w:p>
    <w:p>
      <w:pPr>
        <w:spacing w:after="0" w:line="217"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080509"/>
        </w:rPr>
        <w:t>Factors relating to our business that may contribute to these fluctuations include the following, as well as other factors described elsewhere in this report: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size and timing of orders for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or failures in advancement of existing or future product candidates into the clinic or in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occurrence of adverse events during our clinical trials or post marketing authorization;</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develop and manufacture our product candidates and commercialize and manufacture our COVID-19 vaccine and, if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approved, our product candidates, at commercial scale, including risks associated with quality compliance, such as product design, manufacturing processes, supply chain management, and compliance with regulatory requirements;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manage our growth and spending;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execute our corporate objectives;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strategic decisions related to portfolio prioritization, which may result in certain potential one-time effects and charges and other material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adverse effects on our financial condition and results of operations;</w:t>
      </w:r>
    </w:p>
    <w:p>
      <w:pPr>
        <w:spacing w:after="0" w:line="216"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outcomes of research programs, clinical trials, or other product development or approval processes conducted by us and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of our collaborators to develop and successfully commercialize products developed from our suite of therapeutic classes;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relationships, and any associated exclusivity terms, with collaborators;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contractual or other obligations to provide resources to fund our product candidates, and to provide resources to our collaborators or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collaborations themselves, including take-or-pay or similar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we repurchase outstanding ADSs under any share repurchase plans we may enter into in the future;</w:t>
      </w:r>
    </w:p>
    <w:p>
      <w:pPr>
        <w:spacing w:after="0" w:line="333"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associated with the international aspects of our business, including the conduct of clinical trials in multiple locations, and the risks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associated with potential international commercialization, including regulatory approval, market competition, public sentiment and consumer demand,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82</w:t>
            </w:r>
          </w:p>
        </w:tc>
      </w:tr>
    </w:tbl>
    <w:p>
      <w:pPr>
        <w:sectPr>
          <w:pgSz w:w="11900" w:h="16838" w:orient="portrait"/>
          <w:cols w:equalWidth="0" w:num="1">
            <w:col w:w="11240"/>
          </w:cols>
          <w:pgMar w:left="320" w:top="166" w:right="339" w:bottom="1440" w:gutter="0" w:footer="0" w:header="0"/>
        </w:sectPr>
      </w:pPr>
    </w:p>
    <w:bookmarkStart w:id="90" w:name="page91"/>
    <w:bookmarkEnd w:id="9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spacing w:after="0" w:line="292" w:lineRule="auto"/>
        <w:rPr>
          <w:sz w:val="20"/>
          <w:szCs w:val="20"/>
          <w:color w:val="auto"/>
        </w:rPr>
      </w:pPr>
      <w:r>
        <w:rPr>
          <w:rFonts w:ascii="Times New Roman" w:cs="Times New Roman" w:eastAsia="Times New Roman" w:hAnsi="Times New Roman"/>
          <w:sz w:val="18"/>
          <w:szCs w:val="18"/>
          <w:color w:val="080509"/>
        </w:rPr>
        <w:t>chain disruptions, and changes to the law and regulatory policy, such as increases in tariffs, in different jurisdictions, such as the United States;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minimize and manage product recalls or inventory losses caused by unforeseen events, cold chain interruption, testing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difficulties or decreased demand, and our ability to write down certain inventory;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report our financial results accurately and in a timely manner;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dependence on, and the need to attract and retain, key management and other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protect, maintain, defend and enforce our intellectual property rights;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prevent the theft or infringement, misappropriation or other violation of our intellectual property, trade secrets, know-how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technologies;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and our collaborators’ ability to defend against claims of infringement of the intellectual property rights of third parties;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potential advantages that our competitors and potential competitors may have in securing funding, obtaining the rights to critical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or developing competing technologies or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additional capital that may be necessary to expand our business;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collaborators’ ability to obtain and devote additional capital that may be necessary to develop and commercialize products under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collaboration agreements, including our COVID-19 vaccine;</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minimize and manage product liability claims arising from the use of our COVID-19 vaccine and our product candidates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future products, if approved;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interruptions such as power outages, strikes, acts of terrorism or natural disasters;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use our net operating loss carryforwards to offset future taxable income;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of counterparty defaults within our asset management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or unpredictable pricing for the commodities we rely on, including as a result of inflation.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Each of the factors listed above may be affected by the changing impact of COVID-19 on the global community and the global economy.</w:t>
      </w:r>
    </w:p>
    <w:p>
      <w:pPr>
        <w:spacing w:after="0" w:line="33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Due to the various factors mentioned above, and others, the results of any of our periods should not be relied upon as indications of our future operating performance. Our operating results may fluctuate significantly from one reporting period to the next, such that a period-to-period comparison of our results of operations may not be a good indication of our future performance.</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83</w:t>
      </w:r>
    </w:p>
    <w:p>
      <w:pPr>
        <w:sectPr>
          <w:pgSz w:w="11900" w:h="16838" w:orient="portrait"/>
          <w:cols w:equalWidth="0" w:num="1">
            <w:col w:w="11240"/>
          </w:cols>
          <w:pgMar w:left="320" w:top="166" w:right="339" w:bottom="1440" w:gutter="0" w:footer="0" w:header="0"/>
          <w:type w:val="continuous"/>
        </w:sectPr>
      </w:pPr>
    </w:p>
    <w:bookmarkStart w:id="91" w:name="page92"/>
    <w:bookmarkEnd w:id="9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our overall valuation. The price of the ADSs may decline as a result of unexpected clinical trial results in one or more of our programs, including adverse safety events reported for any of our programs.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have incurred significant losses in the past and we may incur significant losses in the future.</w:t>
      </w:r>
    </w:p>
    <w:p>
      <w:pPr>
        <w:spacing w:after="0" w:line="21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Prior to the first full year of commercialization of our COVID-19 vaccine, for the year ended December 31, 2024, and for the three and six months ended June 30, 2025, we incurred significant losses from operations due to our significant research and development expenses and our investment in our manufacturing capabilities. Prior to commercialization of our COVID-19 vaccine, we funded our operations primarily from private placements or issuances of ordinary shares (including in the form of ADSs) in connection with our public offerings, generation of proceeds under our collaboration agreements, secured bank loans and issuance of a convertible note.</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have experienced, and we expect to continue to experience, increasing reductions in demand for COVID-19 vaccination generally, including for our vaccine. We expect that future revenues from sales of our COVID-19 vaccine will decrease as demand for vaccination wanes. We plan to continue to invest heavily in research and development as we make a strong drive to build out our global development organization and diversify our therapeutic area footprint. Additionally, we plan to enhance capabilities through complementary acquisitions, technologies, infrastructure and manufacturing. Even for those products for which we have obtained or may obtain regulatory approval or emergency use authorization, our future revenues will depend upon the size of any markets in which such products have received approval or authorization to market, our ability to achieve sufficient market acceptance, reimbursement from third-party payors, and adequate market share in those markets.</w:t>
      </w:r>
    </w:p>
    <w:p>
      <w:pPr>
        <w:spacing w:after="0" w:line="200" w:lineRule="exact"/>
        <w:rPr>
          <w:sz w:val="20"/>
          <w:szCs w:val="20"/>
          <w:color w:val="auto"/>
        </w:rPr>
      </w:pPr>
    </w:p>
    <w:p>
      <w:pPr>
        <w:spacing w:after="0" w:line="30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 achieved, profitability is difficult to maintain over time and is highly dependent on various factors. Our future financial results will depend, in part, on the rate of our future expenditures, the extent to which we experience long-term success of our commercial products and our ability to obtain funding through revenue from commercial sales, equity or debt financings, sales of assets, collaborations or grants.</w:t>
      </w:r>
    </w:p>
    <w:p>
      <w:pPr>
        <w:spacing w:after="0" w:line="23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expand, or modify our research or development of our programs in preclinical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expand, or modify the scope of our clinical trials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84</w:t>
            </w:r>
          </w:p>
        </w:tc>
      </w:tr>
    </w:tbl>
    <w:p>
      <w:pPr>
        <w:sectPr>
          <w:pgSz w:w="11900" w:h="16838" w:orient="portrait"/>
          <w:cols w:equalWidth="0" w:num="1">
            <w:col w:w="11240"/>
          </w:cols>
          <w:pgMar w:left="320" w:top="166" w:right="339" w:bottom="1440" w:gutter="0" w:footer="0" w:header="0"/>
        </w:sectPr>
      </w:pPr>
    </w:p>
    <w:bookmarkStart w:id="92" w:name="page93"/>
    <w:bookmarkEnd w:id="9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initiate additional preclinical, clinical, or other trials for our product candidates, including under our collaboration agreements;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execute on our strategic decisions related to portfolio prioritization, which may result in certain potential one-time effects and charges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material adverse effects on our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to invest in our immunotherapy platforms to conduct research to identify novel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our manufacturing capacity or capability;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add additional suppliers;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changes to our infrastructure in connection with our quality control, quality assurance, legal, compliance and other groups to support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operations as a public company and our product development and commercialization efforts, including changes to our sites globally;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 and retain skilled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marketing approvals and reimbursement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 our sales, marketing, and distribution infrastructure for our COVID-19 vaccine and any other products for which we may obtain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marketing approval or emergency use authorization;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to identify and validate additional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or in-license other product candidates and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other companies;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milestone or other payments under any in-license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 protect, defend, enforce and expand our intellectual property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any delays or encounter issues with any of the above.</w:t>
      </w:r>
    </w:p>
    <w:p>
      <w:pPr>
        <w:spacing w:after="0" w:line="2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The amount of, and our ability to use, net operating losses and research and development credits to offset future taxable income 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 prospects.</w:t>
      </w:r>
    </w:p>
    <w:p>
      <w:pPr>
        <w:spacing w:after="0" w:line="39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Germany, we have unused German tax loss carryforwards for corporate taxes for German group entities with pre tax group losses, though we generally have not recognized deferred tax assets related to such loss carryforwards for International Financial Reporting Standards, or IFRS, reporting purposes as of June 30, 2025. Deferred tax assets are recognized for unused tax losses only to the extent that it is probable that taxable profit will be available against which the losses can be utilized. In</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2"/>
          <w:szCs w:val="22"/>
          <w:b w:val="1"/>
          <w:bCs w:val="1"/>
          <w:color w:val="C3C3C3"/>
        </w:rPr>
        <w:t>85</w:t>
      </w:r>
    </w:p>
    <w:p>
      <w:pPr>
        <w:sectPr>
          <w:pgSz w:w="11900" w:h="16838" w:orient="portrait"/>
          <w:cols w:equalWidth="0" w:num="1">
            <w:col w:w="11240"/>
          </w:cols>
          <w:pgMar w:left="320" w:top="166" w:right="339" w:bottom="1440" w:gutter="0" w:footer="0" w:header="0"/>
          <w:type w:val="continuous"/>
        </w:sectPr>
      </w:pPr>
    </w:p>
    <w:bookmarkStart w:id="93" w:name="page94"/>
    <w:bookmarkEnd w:id="9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general, net operating loss, or NOL, carryforwards in Germany do not expire. Furthermore, under current German tax laws, certain substantial changes in the Company’s ownership and business may further limit the amount of NOL carryforwards that can be used annually to offset future taxable income.</w:t>
      </w:r>
    </w:p>
    <w:p>
      <w:pPr>
        <w:spacing w:after="0" w:line="200" w:lineRule="exact"/>
        <w:rPr>
          <w:sz w:val="20"/>
          <w:szCs w:val="20"/>
          <w:color w:val="auto"/>
        </w:rPr>
      </w:pPr>
    </w:p>
    <w:p>
      <w:pPr>
        <w:spacing w:after="0" w:line="262"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For the German tax group, we incurred tax losses up to and including December 31, 2020. Even though we recognized deferred tax assets on a majority of German tax loss carry forwards in 2020 which were fully utilized in 2021, they are, however, subject to review and possible adjustment by the German tax authorities. In addition, the incurred tax losses up to and including December 31, 2024 also remain subject to review.</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addition, we have U.S. federal and state NOL carryforwards due to our subsidiaries in the United States, which may be subject to limitations on use after an ownership change.</w:t>
      </w:r>
    </w:p>
    <w:p>
      <w:pPr>
        <w:spacing w:after="0" w:line="21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may not be able to utilize a material portion of our historic or current NOLs or credits in either Germany (resulting from our German tax group or non-tax group entities in Germany) or the United States until these have been finally assessed by the tax authorities or when the limitation period has passed. In addition, the rules regarding the timing of revenue and expense recognition for tax purposes in connection with various transactions are complex and uncertain in many respects, and, if challenged, our recognition may be subject to a revised assessment. In the event any such challenge is sustained, our NOLs could be materially reduced or we could be determined to be a material cash taxpayer for one or more years, which could have an adverse effect on our business, financial conditions, results of operations or prospects.</w:t>
      </w:r>
    </w:p>
    <w:p>
      <w:pPr>
        <w:spacing w:after="0" w:line="200" w:lineRule="exact"/>
        <w:rPr>
          <w:sz w:val="20"/>
          <w:szCs w:val="20"/>
          <w:color w:val="auto"/>
        </w:rPr>
      </w:pPr>
    </w:p>
    <w:p>
      <w:pPr>
        <w:spacing w:after="0" w:line="304"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Furthermore, our ability to use our NOLs or credits is conditioned upon our attaining profitability and generating taxable income. Taxable income exceeding NOLs will be subject to taxation resulting in tax liabilities. As described above, we incurred significant net losses in every year since our inception other than 2018, 2021, 2022 and 2023 and anticipate that in the future, we may incur losses for the majority of the group entities. Our ability to utilize our NOL or credit carryforwards in the United States and for some other group entities is uncertain; however, we do recognize deferred tax assets on NOLs and tax credit carryforwards in the United States, as the requirements of IAS 12 are fulfilled.</w:t>
      </w:r>
    </w:p>
    <w:p>
      <w:pPr>
        <w:spacing w:after="0" w:line="200" w:lineRule="exact"/>
        <w:rPr>
          <w:sz w:val="20"/>
          <w:szCs w:val="20"/>
          <w:color w:val="auto"/>
        </w:rPr>
      </w:pPr>
    </w:p>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Under German tax laws, we are obligated to withhold a percentage of wage tax and social security contributions on personnel expenses if contract services providers are considered to be our internal employees and remit those withholdings to German tax authorities and social security institutions. Late payments may subject us to penalties and fees.</w:t>
      </w:r>
    </w:p>
    <w:p>
      <w:pPr>
        <w:spacing w:after="0" w:line="17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Under German tax and social security laws, we are obligated to withhold a percentage of payments we make to third parties in consideration of the services provided, in case these are considered employment payments, and remit those withholdings to German tax authorities and social security institutions. After a significant volume of service providers were engaged to assist with research, development, manufacturing and supply of our COVID-19 vaccine, we discovered after internal review that we and certain of our subsidiaries did not withhold, report and remit certain German wage taxes and social security contributions in connection with certain contract service providers engaged in a manner comparable to internal employees, which we notified tax authorities about. If we do not properly and timely make required payments in the future, we could be subjected to fees, administrative offenses or other proceedings or penalties.</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86</w:t>
            </w:r>
          </w:p>
        </w:tc>
      </w:tr>
    </w:tbl>
    <w:p>
      <w:pPr>
        <w:sectPr>
          <w:pgSz w:w="11900" w:h="16838" w:orient="portrait"/>
          <w:cols w:equalWidth="0" w:num="1">
            <w:col w:w="11240"/>
          </w:cols>
          <w:pgMar w:left="320" w:top="166" w:right="339" w:bottom="1440" w:gutter="0" w:footer="0" w:header="0"/>
        </w:sectPr>
      </w:pPr>
    </w:p>
    <w:bookmarkStart w:id="94" w:name="page95"/>
    <w:bookmarkEnd w:id="9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It is not possible to seek the refund of these wage taxes or social security contributions from either the German tax authorities or social security institutions after filing returns. In Germany, employers are considered secondarily liable for wage taxes.</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value added taxes, or VAT, on invoices received by contract services providers who are considered internal employees are considered non-deductible and must be repaid to the German tax authorities. It is possible to reclaim the VAT repaid to the German tax authorities from the service provider. There is a possibility that the relevant input VAT claims against the contract service providers may, in some instances, not be enforceable as a result of a contract service provider no longer existing, the lapse of time or any other facts preventing the enforcement of such claims.</w:t>
      </w:r>
    </w:p>
    <w:p>
      <w:pPr>
        <w:spacing w:after="0" w:line="200" w:lineRule="exact"/>
        <w:rPr>
          <w:sz w:val="20"/>
          <w:szCs w:val="20"/>
          <w:color w:val="auto"/>
        </w:rPr>
      </w:pP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may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operating plans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We may require additional capital to obtain regulatory approval for, and to commercialize, future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the high uncertainty of the length of time and activities associated with discovery and development of our product candidates, we are unable to estimate the actual funds we will require for development, marketing and commercialization activities.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future funding requirements, both near and long term, will depend on many factors, including, but not limited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initiation, progress, timing, costs, and results of preclinical or nonclinical studies and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 and timing of revenues and associated costs from sales of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research and our other platform activities;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development plans we establish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agreements with our current or future collaborators, and the achievement of any milestone payments under such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agreements to be paid to us or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other strategic transactions, including relating to any acquisitions, into which we enter;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and characteristics of product candidates that we develop or may in-license;</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timing and cost of meeting regulatory requirements established by the FDA, the EMA and other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87</w:t>
            </w:r>
          </w:p>
        </w:tc>
      </w:tr>
    </w:tbl>
    <w:p>
      <w:pPr>
        <w:sectPr>
          <w:pgSz w:w="11900" w:h="16838" w:orient="portrait"/>
          <w:cols w:equalWidth="0" w:num="1">
            <w:col w:w="11240"/>
          </w:cols>
          <w:pgMar w:left="320" w:top="166" w:right="339" w:bottom="1440" w:gutter="0" w:footer="0" w:header="0"/>
        </w:sectPr>
      </w:pPr>
    </w:p>
    <w:bookmarkStart w:id="95" w:name="page96"/>
    <w:bookmarkEnd w:id="9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filing, prosecuting, obtaining, maintaining, protecting, defending and enforcing our patent claims and other intellectual property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rights, including actions for patent and other intellectual property infringement, misappropriation and other violations brought by third parties against us regarding our products or product candidates or actions by us challenging the patent or intellectual property rights of others;</w:t>
      </w:r>
    </w:p>
    <w:p>
      <w:pPr>
        <w:spacing w:after="0" w:line="200" w:lineRule="exact"/>
        <w:rPr>
          <w:sz w:val="20"/>
          <w:szCs w:val="20"/>
          <w:color w:val="auto"/>
        </w:rPr>
      </w:pPr>
    </w:p>
    <w:p>
      <w:pPr>
        <w:spacing w:after="0" w:line="285"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effect of competing technological and market developments, including other products that may compete with one or more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and timing of completion and further expansion of clinical and commercial scale manufacturing activities sufficient to support 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 xml:space="preserve">of our current and future programs, including the development of modular production and clinical facilities in various markets via our </w:t>
      </w:r>
      <w:r>
        <w:rPr>
          <w:rFonts w:ascii="Times New Roman" w:cs="Times New Roman" w:eastAsia="Times New Roman" w:hAnsi="Times New Roman"/>
          <w:sz w:val="18"/>
          <w:szCs w:val="18"/>
          <w:i w:val="1"/>
          <w:iCs w:val="1"/>
          <w:color w:val="080509"/>
        </w:rPr>
        <w:t xml:space="preserve">BioNTainer </w:t>
      </w:r>
      <w:r>
        <w:rPr>
          <w:rFonts w:ascii="Times New Roman" w:cs="Times New Roman" w:eastAsia="Times New Roman" w:hAnsi="Times New Roman"/>
          <w:sz w:val="18"/>
          <w:szCs w:val="18"/>
          <w:color w:val="080509"/>
        </w:rPr>
        <w:t>network; and</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establishing sales, marketing, and distribution capabilities for any product candidates for which we may receive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approval and reimbursement in regions where we choose to commercialize our products on our own.</w:t>
      </w:r>
    </w:p>
    <w:p>
      <w:pPr>
        <w:spacing w:after="0" w:line="21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To date, we have financed our operations primarily through the sale of equity securities, revenue from collaborations, and revenue from sales of our COVID-19 vaccine. While we are currently generating product sales and royalty revenue to finance our operations, we cannot be certain that we will continue to generate sufficient revenue from product sales and royalties to finance our operations. If we were to seek financing from outside sources, that additional funding may not be available on favorable terms, or at all. Should our revenues from product sales sufficiently decrease in the future, we expect to finance our future cash needs through a combination of product sales, public or private equity offerings, debt financings, collaborations,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shift of COVID-19 towards an endemic phase and other global events, such as political upheavals and economic downturns, may have on the capital markets.</w:t>
      </w:r>
    </w:p>
    <w:p>
      <w:pPr>
        <w:spacing w:after="0" w:line="200" w:lineRule="exact"/>
        <w:rPr>
          <w:sz w:val="20"/>
          <w:szCs w:val="20"/>
          <w:color w:val="auto"/>
        </w:rPr>
      </w:pPr>
    </w:p>
    <w:p>
      <w:pPr>
        <w:spacing w:after="0" w:line="30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the ADSs representing our ordinary shares to decline. If we raise additional funds through public or private equity offerings, the terms of these securities may include liquidation or other preferences that may adversely affect our shareholders’ rights.</w:t>
      </w:r>
    </w:p>
    <w:p>
      <w:pPr>
        <w:spacing w:after="0" w:line="240"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Further, to the extent that we raise additional capital through the sale of ADSs, ordinary shares or securities convertible or exchangeable into ordinary shares or ADSs, share ownership interests will be diluted.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88</w:t>
            </w:r>
          </w:p>
        </w:tc>
      </w:tr>
    </w:tbl>
    <w:p>
      <w:pPr>
        <w:sectPr>
          <w:pgSz w:w="11900" w:h="16838" w:orient="portrait"/>
          <w:cols w:equalWidth="0" w:num="1">
            <w:col w:w="11240"/>
          </w:cols>
          <w:pgMar w:left="320" w:top="166" w:right="339" w:bottom="1440" w:gutter="0" w:footer="0" w:header="0"/>
        </w:sectPr>
      </w:pPr>
    </w:p>
    <w:bookmarkStart w:id="96" w:name="page97"/>
    <w:bookmarkEnd w:id="9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sales of assets,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may encounter difficulties in developing and expanding our company and managing such development and expansion, which could disrupt our operations.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To manage our anticipated development and expansion, we must continue to implement and improve our managerial, operational, legal, compliance and financial systems, expand our facilities, and continue to recruit and train additional qualified personnel. This includes our acquisition in January 2025 of Biotheus, a clinical-stage biotechnology company, as part of our oncology strategy, and our strategic initiatives more generally. In addition, our management may need to divert a disproportionate amount of its attention away from its day-to-day activities and devote a substantial amount of time to managing these development activities.</w:t>
      </w:r>
    </w:p>
    <w:p>
      <w:pPr>
        <w:spacing w:after="0" w:line="24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As an evolving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certain operations or recruit and train additional qualified personnel. This may result in weaknesses in our infrastructure and/or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our expenses may increase more than expected, our ability to generate or increase our revenue could be reduced and we may not be able to effectively implement our business strategy. Our future financial performance and our ability to compete effectively and commercialize our COVID-19 vaccine and our product candidates, if approved, will depend in part on our ability to effectively manage the current and future development of our company.</w:t>
      </w:r>
    </w:p>
    <w:p>
      <w:pPr>
        <w:spacing w:after="0" w:line="200" w:lineRule="exact"/>
        <w:rPr>
          <w:sz w:val="20"/>
          <w:szCs w:val="20"/>
          <w:color w:val="auto"/>
        </w:rPr>
      </w:pPr>
    </w:p>
    <w:p>
      <w:pPr>
        <w:spacing w:after="0" w:line="2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incur significant costs as a result of operating as a public company, and our management is required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18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As a public company, we incur significant legal, accounting and other expenses. The U.S. federal securities laws, including the Sarbanes-Oxley Act of 2002, or the Sarbanes-Oxley Act, and rules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89</w:t>
            </w:r>
          </w:p>
        </w:tc>
      </w:tr>
    </w:tbl>
    <w:p>
      <w:pPr>
        <w:sectPr>
          <w:pgSz w:w="11900" w:h="16838" w:orient="portrait"/>
          <w:cols w:equalWidth="0" w:num="1">
            <w:col w:w="11240"/>
          </w:cols>
          <w:pgMar w:left="320" w:top="166" w:right="339" w:bottom="1440" w:gutter="0" w:footer="0" w:header="0"/>
        </w:sectPr>
      </w:pPr>
    </w:p>
    <w:bookmarkStart w:id="97" w:name="page98"/>
    <w:bookmarkEnd w:id="9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result in substantial legal and financial compliance costs and have made some activities time-consuming and costly.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240"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Pursuant to Section 404 of the Sarbanes-Oxley Act, or Section 404, we are required to furnish a report by our management on our internal control over financial reporting, including the attestation report on internal control over financial reporting issued by our independent registered public accounting firm. To maintain compliance with Section 404, we document and evaluate our internal control over financial reporting, which is both costly and challenging. In this regard, we have needed to continue to dedicate internal resources, have engaged outside consultants, and have adopted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need to devote a substantial amount of time to these compliance initiatives.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identify material weaknesses in our internal control over financial reporting and fail to remediate such material weaknesses, we may not be able to report our financial results accurately or to prevent fraud.</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239"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If we fail to comply with the relevant rules and regulations or otherwise fail to prepare our financial statements in accordance with international financial reporting standards, a material weakness may arise. If we are unable to successfully remediate any material weaknesses,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90</w:t>
            </w:r>
          </w:p>
        </w:tc>
      </w:tr>
    </w:tbl>
    <w:p>
      <w:pPr>
        <w:sectPr>
          <w:pgSz w:w="11900" w:h="16838" w:orient="portrait"/>
          <w:cols w:equalWidth="0" w:num="1">
            <w:col w:w="11240"/>
          </w:cols>
          <w:pgMar w:left="320" w:top="166" w:right="339" w:bottom="1440" w:gutter="0" w:footer="0" w:header="0"/>
        </w:sectPr>
      </w:pPr>
    </w:p>
    <w:bookmarkStart w:id="98" w:name="page99"/>
    <w:bookmarkEnd w:id="9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could contain material misstatements discovered in the future that could cause us to fail to meet our future reporting obligations and cause the price of the ADSs to decline.</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have various international trade obligations, including customs value calculation, customs tariff number classification and other related securities requirements. Late payments to customs authorities may subject us to penalties and fees.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supply chain, production and distribution network across the globe creates an increasing level of complexity in customs and foreign trade processes. The requirements for internal control systems are increasing and must be developed simultaneously. The risk management system for customs and foreign trade, which we are continuously improving, determines which stakeholders, goods, and means of transport should be examined and to what extent. These risks include the potential for non-compliance with customs value calculation, customs tariff number classification, trade restrictions, security regulations as well as the potential failure to facilitate international trade. We have in the past discovered that certain of our and our subsidiaries’ customs value calculations were not applied correctly, following which we notified the customs authorities of potential late payments.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are, and will likely continue to be, subject to various audits that arise from time to time, including customs and potential future foreign trade audits. If we do not properly address our international trade and customs requirements, we could be subjected to penalties and fees.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As a “foreign private issuer,” we are exempt from a number of rules under the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18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As a foreign private issuer, we file an Annual Report on Form 20-F within four months of the close of each financial year ending December 31 and reports on Form 6-K relating to certain material events promptly after we publicly announce these events. Additionally, we rely on a provision in Nasdaq’s Listed Company Manual that allows us to follow German company law and European law applicable to European stock corporations in general, the German Stock Corporation Act (Aktiengesetz), the Council Regulation (EC) No 2157/2001 of October 8, 2001 on the Statute for a European company (SE), or the SE Regulation, and the German Act on the Implementation of Council Regulation (EC) No 2157/2001 of October 8, 2001 on the Statute for a European company (SE) (Gesetz zur Ausführung der Verordnung (EG) NR. 2157/2001 des Rates vom 8. Oktober 2001 über das Statut der Europäischen Gesellschaft (SE)) (SE-Ausführungsgesetz-SEAG), in particular with regard to certain aspects of corporate governance. This allows us to follow certain corporate governance practices</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91</w:t>
            </w:r>
          </w:p>
        </w:tc>
      </w:tr>
    </w:tbl>
    <w:p>
      <w:pPr>
        <w:sectPr>
          <w:pgSz w:w="11900" w:h="16838" w:orient="portrait"/>
          <w:cols w:equalWidth="0" w:num="1">
            <w:col w:w="11240"/>
          </w:cols>
          <w:pgMar w:left="320" w:top="166" w:right="339" w:bottom="1440" w:gutter="0" w:footer="0" w:header="0"/>
        </w:sectPr>
      </w:pPr>
    </w:p>
    <w:bookmarkStart w:id="99" w:name="page100"/>
    <w:bookmarkEnd w:id="9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that differ in significant respects from the corporate governance requirements applicable to U.S. companies listed on Nasdaq.</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For example, we are exempt from regulations of Nasdaq that require a listed U.S. company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 majority of the board of directors consist of independent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require non-management directors to meet on a regular basis without management present;</w:t>
      </w:r>
    </w:p>
    <w:p>
      <w:pPr>
        <w:spacing w:after="0" w:line="333"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adopt a code of conduct and promptly disclose any waivers of the code for directors or executive officers that should address certain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specified items;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an independent compensation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an independent nominating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solicit proxies and provide proxy statements for all shareholder meetings;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review related party transactions;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shareholder approval for the implementation of certain equity compensation plans and issuances of ordinary shares.</w:t>
      </w:r>
    </w:p>
    <w:p>
      <w:pPr>
        <w:spacing w:after="0" w:line="3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employees and the Supervisory Board, executive remuneration disclosure, proxy solicitation in connection with shareholders’ meetings, and obtaining shareholder approval in connection with the establishment of, or material amendment to, certain equity-based compensation plans.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Nasdaq applicable to listed U.S. companies, including an affirmative determination that all members of the audit committee are “independent,” using more stringent criteria than those applicable to us as a foreign private issuer.</w:t>
      </w:r>
    </w:p>
    <w:p>
      <w:pPr>
        <w:spacing w:after="0" w:line="23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92</w:t>
            </w:r>
          </w:p>
        </w:tc>
      </w:tr>
    </w:tbl>
    <w:p>
      <w:pPr>
        <w:sectPr>
          <w:pgSz w:w="11900" w:h="16838" w:orient="portrait"/>
          <w:cols w:equalWidth="0" w:num="1">
            <w:col w:w="11240"/>
          </w:cols>
          <w:pgMar w:left="320" w:top="166" w:right="339" w:bottom="1440" w:gutter="0" w:footer="0" w:header="0"/>
        </w:sectPr>
      </w:pPr>
    </w:p>
    <w:bookmarkStart w:id="100" w:name="page101"/>
    <w:bookmarkEnd w:id="10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face risks related to catastrophic global events including natural disasters, political crises, or public health epidemics and pandemics and other public health developments, that could adversely affect our operations.</w:t>
      </w:r>
    </w:p>
    <w:p>
      <w:pPr>
        <w:spacing w:after="0" w:line="15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business could be adversely impacted by the effects of catastrophic global events, including natural disasters such as an earthquake, fire, hurricane, tornado, flood or significant power outage; public health crises such as the COVID-19 pandemic; political crises, such as terrorist attacks, war and other political instability, including the ongoing geopolitical conflicts in the Middle East and Ukraine, and resulting sanctions imposed and retaliatory actions taken in response to such sanctions; or other catastrophic events.</w:t>
      </w:r>
    </w:p>
    <w:p>
      <w:pPr>
        <w:spacing w:after="0" w:line="23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For example, prolonged or expanded conflicts, and political responses to global actions, could destabilize oil and gas supply and demand patterns, increase energy volatility and have severe adverse effects on regional and global supply chains and economies and our business. Our commercial production of our COVID-19 vaccine is currently run on natural gas, although we believe our production could be powered by alternative fuel sources if needed. We also continue to evaluate the impacts that energy shortages may have on our partners, suppliers and service providers. Were any of these parties to experience significant impacts from this or any other energy shortage, our business could be materially harmed. We cannot predict with certainty the impact that volatility in energy prices could have on our or their operations, including on the manufacturing of our COVID-19 vaccine and the manufacturing and testing of our product candidates.</w:t>
      </w:r>
    </w:p>
    <w:p>
      <w:pPr>
        <w:spacing w:after="0" w:line="24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Although we have generated revenues from sales of our COVID-19 vaccine, there remains uncertainty regarding other potential effects of COVID-19 on our business. For example, if a new variant of COVID-19 emerges for which existing vaccines, including our COVID-19 vaccine, are ineffective, infections may become even more widespread, negatively impact our ability to enroll patients in clinical studies and complete clinical trials on the timelines we currently anticipate, or result in an economic downturn that could affect demand for our products and services or our ability to raise capital, which could have a material adverse effect on our business, operating results and financial condition. Our suppliers, licensors or collaborators could also be disrupted by conditions related to COVID-19 or other pandemics and epidemics, possibly resulting in disruption to our supply chain, clinical trials, partnerships or operations.</w:t>
      </w:r>
    </w:p>
    <w:p>
      <w:pPr>
        <w:spacing w:after="0" w:line="19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005A64"/>
        </w:rPr>
        <w:t>Our insurance policies are expensive and protect us only from some business risks, which leaves us exposed to significant uninsured liabilities.</w:t>
      </w:r>
    </w:p>
    <w:p>
      <w:pPr>
        <w:spacing w:after="0" w:line="200" w:lineRule="exact"/>
        <w:rPr>
          <w:sz w:val="20"/>
          <w:szCs w:val="20"/>
          <w:color w:val="auto"/>
        </w:rPr>
      </w:pPr>
    </w:p>
    <w:p>
      <w:pPr>
        <w:spacing w:after="0" w:line="20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We currently maintain insurance coverage for losses relating to property damage, business interruption, transportation, product liability, cyber matters, clinical trials, and several other areas of coverage. For example, attracting and retaining qualified individuals to serve on our Supervisory Board and our Management Board requires that we obtain and maintain adequate director and officer liability insurance, which has increased in cost as our operations have evolved. We are dedicating resources to exploring additional avenues for more adequate coverage as our business evolves. However,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93</w:t>
            </w:r>
          </w:p>
        </w:tc>
      </w:tr>
    </w:tbl>
    <w:p>
      <w:pPr>
        <w:sectPr>
          <w:pgSz w:w="11900" w:h="16838" w:orient="portrait"/>
          <w:cols w:equalWidth="0" w:num="1">
            <w:col w:w="11240"/>
          </w:cols>
          <w:pgMar w:left="320" w:top="166" w:right="339" w:bottom="1440" w:gutter="0" w:footer="0" w:header="0"/>
        </w:sectPr>
      </w:pPr>
    </w:p>
    <w:bookmarkStart w:id="101" w:name="page102"/>
    <w:bookmarkEnd w:id="10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w:t>
      </w:r>
    </w:p>
    <w:p>
      <w:pPr>
        <w:spacing w:after="0" w:line="231"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Additionally, operating as a public company has made it more expensive for us to obtain director and officer liability insurance. As a result, it may be more difficult for us to attract and retain qualified individuals to serve on our Supervisory Board, our Management Board, or our board committees.</w:t>
      </w: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38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There is no guarantee that the U.S. Department of Treasury, the Federal Deposit Insurance Corporation, and Federal Reserve Board will provide access to uninsured funds in a timely fashion, or at all, in the event of the closure of banks or financial institutions.</w:t>
      </w:r>
    </w:p>
    <w:p>
      <w:pPr>
        <w:spacing w:after="0" w:line="240"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While we maintain our cash and cash equivalents in multiple financial institutions worldwide, 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Business</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17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Even if we complete the necessary preclinical studies and clinical trials, the marketing approval process is expensive, time-consuming and uncertain, and we may not be able to obtain approvals for the commercialization of product candidates we may develop. Any product candidates we may develop and the activities associated with their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required to commercialize any of our product candidates, we and our collaborators must demonstrate through extensive preclinical studies and clinical trials that our product candidates are safe and effective for their intended use in the relevant target population. Successful completion of clinical trials is a prerequisite to submitting a biologics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94</w:t>
            </w:r>
          </w:p>
        </w:tc>
      </w:tr>
    </w:tbl>
    <w:p>
      <w:pPr>
        <w:sectPr>
          <w:pgSz w:w="11900" w:h="16838" w:orient="portrait"/>
          <w:cols w:equalWidth="0" w:num="1">
            <w:col w:w="11240"/>
          </w:cols>
          <w:pgMar w:left="320" w:top="166" w:right="339" w:bottom="1440" w:gutter="0" w:footer="0" w:header="0"/>
        </w:sectPr>
      </w:pPr>
    </w:p>
    <w:bookmarkStart w:id="102" w:name="page103"/>
    <w:bookmarkEnd w:id="10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231"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Failure to obtain marketing approval for a product candidate will prevent us from commercializing the product candidate in a given jurisdiction. Although our COVID-19 vaccine has received emergency use authorization and/or regulatory approvals in certain countries, it is possible that none of our other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We expect to submit initial BLAs/MAAs for our mRNA-based product candidates in the United States, the European Union and in other countries globally. In some of these jurisdictions, mRNA-based medicinal products may be classified in different ways and may be subject to specific requirements. Securing regulatory approval requires the submission of extensive quality,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Benefit and risk are regularly assessed, and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200" w:lineRule="exact"/>
        <w:rPr>
          <w:sz w:val="20"/>
          <w:szCs w:val="20"/>
          <w:color w:val="auto"/>
        </w:rPr>
      </w:pPr>
    </w:p>
    <w:p>
      <w:pPr>
        <w:spacing w:after="0" w:line="31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and standards of care during the development period, changes in or the enactment of additional statutes or regulations, or changes in regulatory review for each submitted product application may cause delays in the approval or rejection of an application. The FDA, EMA and comparable regulatory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Officials appointed by the U.S. presidential administration to oversee the agencies involved with approval of drugs and biologics may seek to change regulatory requirements for approval or the approach to reviewing applications. Together with changes of regulatory policy priorities and allocated resources, this could cause further delays, expense or non-approvals.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95</w:t>
            </w:r>
          </w:p>
        </w:tc>
      </w:tr>
    </w:tbl>
    <w:p>
      <w:pPr>
        <w:sectPr>
          <w:pgSz w:w="11900" w:h="16838" w:orient="portrait"/>
          <w:cols w:equalWidth="0" w:num="1">
            <w:col w:w="11240"/>
          </w:cols>
          <w:pgMar w:left="320" w:top="166" w:right="339" w:bottom="1440" w:gutter="0" w:footer="0" w:header="0"/>
        </w:sectPr>
      </w:pPr>
    </w:p>
    <w:bookmarkStart w:id="103" w:name="page104"/>
    <w:bookmarkEnd w:id="10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Regulatory agencies also may approve a product candidate for fewer or more limited indications or patient populations than requested or may grant approval subject to the conduct of post-marketing studies. In addition, regulatory agencies may not approve the labeling claims that are necessary or desirable for the successful commercialization of our product candidates.</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200" w:lineRule="exact"/>
        <w:rPr>
          <w:sz w:val="20"/>
          <w:szCs w:val="20"/>
          <w:color w:val="auto"/>
        </w:rPr>
      </w:pP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mRNA drug development carries substantial clinical development and regulatory risks due to limited regulatory experience with mRNA immunotherapies.</w:t>
      </w:r>
    </w:p>
    <w:p>
      <w:pPr>
        <w:spacing w:after="0" w:line="158"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To our knowledge, other than our and Moderna, Inc.’s vaccines, no mRNA immunotherapies have been approved or received emergency use authorization or conditional marketing authorization to date by the FDA or the EMA. Successful discovery and development of mRNA-based (and other) immunotherapies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for many reasons, including: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discovery efforts aimed at identifying potential immunotherapies may not be successful;</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nonclinical or preclinical study results may show product candidates to be less effective than desired or have harmful or problematic side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 results may show the product candidates to be less effective than expected, including a failure to meet one or more endpoints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have unacceptable side effects or toxicities;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manufacturing or distribution failures or insufficient supply of GMP materials for clinical trials or higher than expected cost could delay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set back clinical trials, or make our product candidates commercially unattractive;</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improvements in the manufacturing processes may not be sufficient to satisfy the clinical or commercial demand of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or regulatory requirements for clinical trials;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changes that we make to optimize our manufacturing, testing or formulating of GMP materials could impact the safety, tolerability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efficacy of our product candidates;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96</w:t>
            </w:r>
          </w:p>
        </w:tc>
      </w:tr>
    </w:tbl>
    <w:p>
      <w:pPr>
        <w:sectPr>
          <w:pgSz w:w="11900" w:h="16838" w:orient="portrait"/>
          <w:cols w:equalWidth="0" w:num="1">
            <w:col w:w="11240"/>
          </w:cols>
          <w:pgMar w:left="320" w:top="166" w:right="339" w:bottom="1440" w:gutter="0" w:footer="0" w:header="0"/>
        </w:sectPr>
      </w:pPr>
    </w:p>
    <w:bookmarkStart w:id="104" w:name="page105"/>
    <w:bookmarkEnd w:id="10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pricing or reimbursement issues or other factors could delay clinical trials or make any immunotherapy uneconomical or noncompetitive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other therapies;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changing social and political preferences regarding vaccines and mRNA therapies;</w:t>
      </w:r>
    </w:p>
    <w:p>
      <w:pPr>
        <w:spacing w:after="0" w:line="333" w:lineRule="exact"/>
        <w:rPr>
          <w:sz w:val="20"/>
          <w:szCs w:val="20"/>
          <w:color w:val="auto"/>
        </w:rPr>
      </w:pPr>
    </w:p>
    <w:p>
      <w:pPr>
        <w:ind w:left="2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failure to timely advance our programs or receive the necessary regulatory approvals, or a delay in receiving such approvals, due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proprietary rights, products and technologies of our competitors may prevent our immunotherapies from being commercialized.</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For administrative purposes, some mRNA products may be classified together with gene therapy products by the FDA or other regulatory agencies. Unlike certain gene therapies that irreversibly alter cell DNA and may be subsequently subject to specific safety concerns, most mRNA products are not designed to localize to the cell nucleus or interact with the genome. Side effects observed in other gene therapies, however, could negatively impact the perception of immunotherapies despite the differences in mechanism. In addition, unclear or inconsistent regulatory classification of mRNA products may result in uncertainties regarding the regulatory requirements and pathways for marketing approval. On the other hand, mRNA-based vaccines for the prevention of infectious diseases, like our COVID-19 vaccine, are not currently classified as gene therapies in most regions. The regulatory pathway for an individualized therapy, such as our Individualized Neoantigen Specific Immunotherapy, or iNeST, an mRNA-based immunotherapy where each patient receives a different combination of mRNAs, remains undetermined. The number and design of the clinical and preclinical studies required for the approval of these types of medicines have not been established, may be different from those required for advanced medicinal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product candidates may not work as intended, may cause undesirable effects or may have other properties that could delay or prevent their regulatory approval, limit the commercial profile of an approved label, or result in significant negative consequences following marketing approval, if any.</w:t>
      </w:r>
    </w:p>
    <w:p>
      <w:pPr>
        <w:spacing w:after="0" w:line="17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As with most medicinal products, use of our product candidates could be associated with undesirable effects or adverse events which can vary in severity from minor reactions to death and in frequency from infrequent to prevalent. The potential for adverse events is especially acute in the oncology setting, where patients may have advanced disease, have impaired organ function, compromised immune and other systems and may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97</w:t>
            </w:r>
          </w:p>
        </w:tc>
      </w:tr>
    </w:tbl>
    <w:p>
      <w:pPr>
        <w:sectPr>
          <w:pgSz w:w="11900" w:h="16838" w:orient="portrait"/>
          <w:cols w:equalWidth="0" w:num="1">
            <w:col w:w="11240"/>
          </w:cols>
          <w:pgMar w:left="320" w:top="166" w:right="339" w:bottom="1440" w:gutter="0" w:footer="0" w:header="0"/>
        </w:sectPr>
      </w:pPr>
    </w:p>
    <w:bookmarkStart w:id="105" w:name="page106"/>
    <w:bookmarkEnd w:id="10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If unacceptable side effects arise in the development of our product candidates, we, the FDA, competent authorities of EU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Clinical trials are strictly regulated and monitored by regulatory agencies, ethics committees, and sponsors. Despite this rigorous oversight, unexpected events may occur that could adversely impact patients’ safety and/or affect our ability to obtain regulatory approvals and, if approved, commercialize our product candidates.</w:t>
      </w:r>
    </w:p>
    <w:p>
      <w:pPr>
        <w:spacing w:after="0" w:line="17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our ongoing and planned clinical trials, we have contracted,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the EMA or other comparable regulatory authority delaying, suspending or terminating one or more of our clinical trials, and which could jeopardize regulatory approval. The centers using our products, if and when approved, could also have difficulty managing any adverse effects of our products, or use medicines that do not adequately control such undesirable effects or that have a detrimental impact on the efficacy of the treatment.</w:t>
      </w:r>
    </w:p>
    <w:p>
      <w:pPr>
        <w:spacing w:after="0" w:line="200" w:lineRule="exact"/>
        <w:rPr>
          <w:sz w:val="20"/>
          <w:szCs w:val="20"/>
          <w:color w:val="auto"/>
        </w:rPr>
      </w:pPr>
    </w:p>
    <w:p>
      <w:pPr>
        <w:spacing w:after="0" w:line="30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even if we successfully advance our product candidates into and through clinical trials, such trials will likely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effects and safety consequences of taking our product candidates over a multi-year period.</w:t>
      </w:r>
    </w:p>
    <w:p>
      <w:pPr>
        <w:spacing w:after="0" w:line="200" w:lineRule="exact"/>
        <w:rPr>
          <w:sz w:val="20"/>
          <w:szCs w:val="20"/>
          <w:color w:val="auto"/>
        </w:rPr>
      </w:pPr>
    </w:p>
    <w:p>
      <w:pPr>
        <w:spacing w:after="0" w:line="295"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If any of our product candidates receives marketing approval and we or others later identify undesirable effects caused by such products, a number of potentially significant negative consequences could result,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withdraw their approval of the product;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recall a product or change the way such product is administered to patients;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additional restrictions may be imposed on the marketing of the particular product or the manufacturing processes for the product or any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component thereof;</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98</w:t>
            </w:r>
          </w:p>
        </w:tc>
      </w:tr>
    </w:tbl>
    <w:p>
      <w:pPr>
        <w:sectPr>
          <w:pgSz w:w="11900" w:h="16838" w:orient="portrait"/>
          <w:cols w:equalWidth="0" w:num="1">
            <w:col w:w="11240"/>
          </w:cols>
          <w:pgMar w:left="320" w:top="166" w:right="339" w:bottom="1440" w:gutter="0" w:footer="0" w:header="0"/>
        </w:sectPr>
      </w:pPr>
    </w:p>
    <w:bookmarkStart w:id="106" w:name="page107"/>
    <w:bookmarkEnd w:id="10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require the addition of labeling statements, such as a “black box” warning or a contraindication;</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implement a Risk Evaluation and Mitigation Strategy, or REMS, or create a Medication Guide outlining the risks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such side effects for distribution to patients;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be sued and held liable for harm caused to patients;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product may become less competitive;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reputation may be negatively impacted.</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17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had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99</w:t>
            </w:r>
          </w:p>
        </w:tc>
      </w:tr>
    </w:tbl>
    <w:p>
      <w:pPr>
        <w:sectPr>
          <w:pgSz w:w="11900" w:h="16838" w:orient="portrait"/>
          <w:cols w:equalWidth="0" w:num="1">
            <w:col w:w="11240"/>
          </w:cols>
          <w:pgMar w:left="320" w:top="166" w:right="339" w:bottom="1440" w:gutter="0" w:footer="0" w:header="0"/>
        </w:sectPr>
      </w:pPr>
    </w:p>
    <w:bookmarkStart w:id="107" w:name="page108"/>
    <w:bookmarkEnd w:id="10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timelines we expect, if at all, and we cannot be sure that submission of INDs or similar applications will result in the FDA or other regulatory authorities allowing clinical trials to begin.</w:t>
      </w:r>
    </w:p>
    <w:p>
      <w:pPr>
        <w:spacing w:after="0" w:line="17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Clinical development involves a lengthy and expensive process with an uncertain outcome, and delays can occur for a variety of reasons outside of our control. Clinical trials of our product candidates may be delayed,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w:t>
      </w:r>
    </w:p>
    <w:p>
      <w:pPr>
        <w:spacing w:after="0" w:line="18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236"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other regulators, IRBs or ethics committees may not authorize us or our investigators to commence a clinical trial or conduct 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 at a prospective trial site for any number of reasons, including concerns regarding safety and aspects of the clinical trial design;</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experience delays in reaching, or fail to reach, agreement on favorable terms with prospective trial sites and prospective CROs,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which can be subject to extensive negotiation and may vary significantly among different CROs and trial sites;</w:t>
      </w:r>
    </w:p>
    <w:p>
      <w:pPr>
        <w:spacing w:after="0" w:line="21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have optimized in the past and may in the future optimize our manufacturing processes, including through changes to the scale and site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200" w:lineRule="exact"/>
        <w:rPr>
          <w:sz w:val="20"/>
          <w:szCs w:val="20"/>
          <w:color w:val="auto"/>
        </w:rPr>
      </w:pPr>
    </w:p>
    <w:p>
      <w:pPr>
        <w:spacing w:after="0" w:line="28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of our preclinical studies and our early clinical trials may not be predictive of the success of later clinical trials, and interim</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results of a clinical trial do not necessarily predict final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establish clinical endpoints that applicable regulatory authorities would consider clinically meaningful;</w:t>
      </w:r>
    </w:p>
    <w:p>
      <w:pPr>
        <w:spacing w:after="0" w:line="333"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an effort to optimize product features, we have made in the past and may continue to make changes to our product candidates after we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commence clinical trials of a medicine which may require us to repeat earlier stages of clinical testing or delay later-stage testing of the medicine;</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of any product candidates may fail to show safety or efficacy, or may produce negative or inconclusive results, and we may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decide, or regulators may require us, to conduct additional nonclinical studies or clinical trials, or we may decide to abandon product development programs;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differences in trial design between early-stage clinical trials and later-stage clinical trials may make it difficult to extrapolate the results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earlier clinical trials to later clinical trials;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100</w:t>
            </w:r>
          </w:p>
        </w:tc>
      </w:tr>
    </w:tbl>
    <w:p>
      <w:pPr>
        <w:sectPr>
          <w:pgSz w:w="11900" w:h="16838" w:orient="portrait"/>
          <w:cols w:equalWidth="0" w:num="1">
            <w:col w:w="11240"/>
          </w:cols>
          <w:pgMar w:left="320" w:top="166" w:right="339" w:bottom="1440" w:gutter="0" w:footer="0" w:header="0"/>
        </w:sectPr>
      </w:pPr>
    </w:p>
    <w:bookmarkStart w:id="108" w:name="page109"/>
    <w:bookmarkEnd w:id="10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preclinical and clinical data are often susceptible to varying interpretations and analyses, and many product candidates believed to have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performed satisfactorily in preclinical studies and clinical trials have nonetheless failed to obtain marketing approval;</w:t>
      </w:r>
    </w:p>
    <w:p>
      <w:pPr>
        <w:spacing w:after="0" w:line="21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product candidates may have undesirable effects or other unexpected characteristics. One or more of such effects or events could cause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231"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of trial participants required for clinical trials of any product candidates may be larger than we anticipate, identification of trial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participants for such trials may be limited, enrollment in these clinical trials may be slower than we anticipate due to perceived adverse effects, limited patient populations, competitive trials, risks related to COVID-19 or other reasons, or participants may withdraw from clinical trials or fail to return for post-treatment follow-up at a higher rate than we anticipate;</w:t>
      </w:r>
    </w:p>
    <w:p>
      <w:pPr>
        <w:spacing w:after="0" w:line="235"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despite robust sponsor oversight, our and our collaborators’ third-party contractors may fail to comply with regulatory requirements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meet their contractual obligations in a timely manner, or at all, or may deviate from the clinical trial protocol or withdraw from the trial, which may require the addition of new clinical trial sites;</w:t>
      </w:r>
    </w:p>
    <w:p>
      <w:pPr>
        <w:spacing w:after="0" w:line="23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regulators may elect to impose a clinical hold, or we, our investigators, IRBs or ethics committees may elect to suspend or terminate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research or trials for various reasons, including noncompliance with regulatory requirements or a finding that the participants are being exposed to an unacceptable benefit-risk ratio;</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respect to infectious disease vaccine trials in particular, we have to wait for particular level of infection in the placebo arm in order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assess protection provided by vaccine, and we cannot control the rate of exposure or infection, which can make timing uncertain;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preclinical or nonclinical testing and studies and clinical trials of any product candidates may be greater than we anticipate;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supply or quality of our product candidates or other materials necessary to conduct clinical trials may be insufficient or inadequate;</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safety or efficacy concerns regarding our product candidates may result from any concerns arising from nonclinical or clinical testing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therapies targeting a similar disease state or other therapies, such as gene therapy, that are perceived as similar to ours; and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or other regulatory authorities may require us to submit additional data, such as long-term toxicology studies, or impose other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requirements before permitting us to initiate a clinical trial.</w:t>
      </w:r>
    </w:p>
    <w:p>
      <w:pPr>
        <w:spacing w:after="0" w:line="217"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We could also encounter delays if a clinical trial is suspended or terminated by us, the FDA or other regulatory authorities, ethics committees, or the IRBs of the institutions in which such trials are being conducted, or if such trial is recommended for suspension or termination by the DSMB. We may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101</w:t>
            </w:r>
          </w:p>
        </w:tc>
      </w:tr>
    </w:tbl>
    <w:p>
      <w:pPr>
        <w:sectPr>
          <w:pgSz w:w="11900" w:h="16838" w:orient="portrait"/>
          <w:cols w:equalWidth="0" w:num="1">
            <w:col w:w="11240"/>
          </w:cols>
          <w:pgMar w:left="320" w:top="166" w:right="339" w:bottom="1440" w:gutter="0" w:footer="0" w:header="0"/>
        </w:sectPr>
      </w:pPr>
    </w:p>
    <w:bookmarkStart w:id="109" w:name="page110"/>
    <w:bookmarkEnd w:id="10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23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200" w:lineRule="exact"/>
        <w:rPr>
          <w:sz w:val="20"/>
          <w:szCs w:val="20"/>
          <w:color w:val="auto"/>
        </w:rPr>
      </w:pPr>
    </w:p>
    <w:p>
      <w:pPr>
        <w:spacing w:after="0" w:line="30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Significant additional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or the suspension of development, of our product candidates may harm our business, financial condition and prospects significantly.</w:t>
      </w:r>
    </w:p>
    <w:p>
      <w:pPr>
        <w:spacing w:after="0" w:line="234"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080509"/>
        </w:rPr>
        <w:t xml:space="preserve">In addition, on June 28, 2024, the Supreme Court overturned the </w:t>
      </w:r>
      <w:r>
        <w:rPr>
          <w:rFonts w:ascii="Times New Roman" w:cs="Times New Roman" w:eastAsia="Times New Roman" w:hAnsi="Times New Roman"/>
          <w:sz w:val="18"/>
          <w:szCs w:val="18"/>
          <w:i w:val="1"/>
          <w:iCs w:val="1"/>
          <w:color w:val="080509"/>
        </w:rPr>
        <w:t>Chevron</w:t>
      </w:r>
      <w:r>
        <w:rPr>
          <w:rFonts w:ascii="Times New Roman" w:cs="Times New Roman" w:eastAsia="Times New Roman" w:hAnsi="Times New Roman"/>
          <w:sz w:val="18"/>
          <w:szCs w:val="18"/>
          <w:color w:val="080509"/>
        </w:rPr>
        <w:t xml:space="preserve"> doctrine in the combined cases of </w:t>
      </w:r>
      <w:r>
        <w:rPr>
          <w:rFonts w:ascii="Times New Roman" w:cs="Times New Roman" w:eastAsia="Times New Roman" w:hAnsi="Times New Roman"/>
          <w:sz w:val="18"/>
          <w:szCs w:val="18"/>
          <w:i w:val="1"/>
          <w:iCs w:val="1"/>
          <w:color w:val="080509"/>
        </w:rPr>
        <w:t>Loper Bright Enterprises v.</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 xml:space="preserve">Raimondo </w:t>
      </w:r>
      <w:r>
        <w:rPr>
          <w:rFonts w:ascii="Times New Roman" w:cs="Times New Roman" w:eastAsia="Times New Roman" w:hAnsi="Times New Roman"/>
          <w:sz w:val="18"/>
          <w:szCs w:val="18"/>
          <w:color w:val="080509"/>
        </w:rPr>
        <w:t>and</w:t>
      </w:r>
      <w:r>
        <w:rPr>
          <w:rFonts w:ascii="Times New Roman" w:cs="Times New Roman" w:eastAsia="Times New Roman" w:hAnsi="Times New Roman"/>
          <w:sz w:val="18"/>
          <w:szCs w:val="18"/>
          <w:i w:val="1"/>
          <w:iCs w:val="1"/>
          <w:color w:val="080509"/>
        </w:rPr>
        <w:t xml:space="preserve"> Relentless Inc. v. Department of Commerce</w:t>
      </w:r>
      <w:r>
        <w:rPr>
          <w:rFonts w:ascii="Times New Roman" w:cs="Times New Roman" w:eastAsia="Times New Roman" w:hAnsi="Times New Roman"/>
          <w:sz w:val="18"/>
          <w:szCs w:val="18"/>
          <w:color w:val="080509"/>
        </w:rPr>
        <w:t>. The</w:t>
      </w:r>
      <w:r>
        <w:rPr>
          <w:rFonts w:ascii="Times New Roman" w:cs="Times New Roman" w:eastAsia="Times New Roman" w:hAnsi="Times New Roman"/>
          <w:sz w:val="18"/>
          <w:szCs w:val="18"/>
          <w:i w:val="1"/>
          <w:iCs w:val="1"/>
          <w:color w:val="080509"/>
        </w:rPr>
        <w:t xml:space="preserve"> Chevron </w:t>
      </w:r>
      <w:r>
        <w:rPr>
          <w:rFonts w:ascii="Times New Roman" w:cs="Times New Roman" w:eastAsia="Times New Roman" w:hAnsi="Times New Roman"/>
          <w:sz w:val="18"/>
          <w:szCs w:val="18"/>
          <w:color w:val="080509"/>
        </w:rPr>
        <w:t>doctrine gave deference to regulatory agencies in litigation against</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 xml:space="preserve">the FDA and other agencies. In addition, the Supreme Court decided </w:t>
      </w:r>
      <w:r>
        <w:rPr>
          <w:rFonts w:ascii="Times New Roman" w:cs="Times New Roman" w:eastAsia="Times New Roman" w:hAnsi="Times New Roman"/>
          <w:sz w:val="18"/>
          <w:szCs w:val="18"/>
          <w:i w:val="1"/>
          <w:iCs w:val="1"/>
          <w:color w:val="080509"/>
        </w:rPr>
        <w:t>Comer Post, Inc. v. Board of Governors of the Federal Reserve System</w:t>
      </w:r>
      <w:r>
        <w:rPr>
          <w:rFonts w:ascii="Times New Roman" w:cs="Times New Roman" w:eastAsia="Times New Roman" w:hAnsi="Times New Roman"/>
          <w:sz w:val="18"/>
          <w:szCs w:val="18"/>
          <w:color w:val="080509"/>
        </w:rPr>
        <w:t>, which lengthened the time in which some challenges to agency rules can be</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102</w:t>
            </w:r>
          </w:p>
        </w:tc>
      </w:tr>
    </w:tbl>
    <w:p>
      <w:pPr>
        <w:sectPr>
          <w:pgSz w:w="11900" w:h="16838" w:orient="portrait"/>
          <w:cols w:equalWidth="0" w:num="1">
            <w:col w:w="11240"/>
          </w:cols>
          <w:pgMar w:left="320" w:top="166" w:right="339" w:bottom="1440" w:gutter="0" w:footer="0" w:header="0"/>
        </w:sectPr>
      </w:pPr>
    </w:p>
    <w:bookmarkStart w:id="110" w:name="page111"/>
    <w:bookmarkEnd w:id="11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initiated. As a result of these cases, more plaintiffs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or our collaborators encounter difficulties enrolling participants in our clinical trials, our clinical development activities could be delayed or otherwise adversely affected.</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specific a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severity of the disease under investigation;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complexity and design of the study protocol;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size of the patient population;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eligibility criteria for the study in question;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proximity and availability of clinical study sites for prospective trial participants;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availability of competing therapies and clinical trials, including between our own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efforts to facilitate timely enrollment in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 referral practices of physicians;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ability to monitor trial participants adequately during and after treatment;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ability to recruit clinical trial investigators with the appropriate competencies and experience;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103</w:t>
            </w:r>
          </w:p>
        </w:tc>
      </w:tr>
    </w:tbl>
    <w:p>
      <w:pPr>
        <w:sectPr>
          <w:pgSz w:w="11900" w:h="16838" w:orient="portrait"/>
          <w:cols w:equalWidth="0" w:num="1">
            <w:col w:w="11240"/>
          </w:cols>
          <w:pgMar w:left="320" w:top="166" w:right="339" w:bottom="1440" w:gutter="0" w:footer="0" w:header="0"/>
        </w:sectPr>
      </w:pPr>
    </w:p>
    <w:bookmarkStart w:id="111" w:name="page112"/>
    <w:bookmarkEnd w:id="11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clinicians’ and trial participants’ perceptions of the potential advantages and side effects of the product candidate being studied in relation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 other available therapies, including any new drugs or treatments that may be approved for the indications we are investigating;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and maintain participant informed consent;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major changes in the approval status of competitor investigational products during the clinical trial period;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risk that trial participants enrolled in clinical trials will not complete a clinical trial.</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our clinical trials may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therapeutic novelty in contrast to more traditional methods for disease treatment and prevention, potential trial participants and their doctors may be inclined to use conventional therapies or other investigational therapies rather than enroll trial participants in any future clinical trial involving more novel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200" w:lineRule="exact"/>
        <w:rPr>
          <w:sz w:val="20"/>
          <w:szCs w:val="20"/>
          <w:color w:val="auto"/>
        </w:rPr>
      </w:pPr>
    </w:p>
    <w:p>
      <w:pPr>
        <w:spacing w:after="0" w:line="30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 Each of the foregoing risks may continue to be affected by the spread of seasonal viral infections, including COVID-19, as well as the potential for any new pandemic caused by an as-yet-unknown agent.</w:t>
      </w:r>
    </w:p>
    <w:p>
      <w:pPr>
        <w:spacing w:after="0" w:line="19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our collaborators, and other third parties on whom we rely conduct various activities, including research, clinical trials, manufacturing and, where approved, marketing, in jurisdictions across the globe. Such activities are subject to a variety of risks which could materially and adversely affect our business.</w:t>
      </w:r>
    </w:p>
    <w:p>
      <w:pPr>
        <w:spacing w:after="0" w:line="17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activities increasingly span different jurisdictions. For example, clinical trials of our product candidates are currently being conducted in several countries, and we plan to commercialize our product candidates, if approved, globally. Accordingly, we are subject to additional risks related to operating in multiple countries, including: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regulatory requirements in such countries;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unexpected changes in tariffs, trade barriers, price and exchange controls and other regulatory requirements;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104</w:t>
            </w:r>
          </w:p>
        </w:tc>
      </w:tr>
    </w:tbl>
    <w:p>
      <w:pPr>
        <w:sectPr>
          <w:pgSz w:w="11900" w:h="16838" w:orient="portrait"/>
          <w:cols w:equalWidth="0" w:num="1">
            <w:col w:w="11240"/>
          </w:cols>
          <w:pgMar w:left="320" w:top="166" w:right="339" w:bottom="1440" w:gutter="0" w:footer="0" w:header="0"/>
        </w:sectPr>
      </w:pPr>
    </w:p>
    <w:bookmarkStart w:id="112" w:name="page113"/>
    <w:bookmarkEnd w:id="11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difficulties in managing the logistics and transportation of storing and shipping product candidates produced in Germany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shipping the product candidate to the patient abroad;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import and export requirements and restrictions;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restrictions on transfers of information, including certain technologies and personal data;</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economic weakness, including inflation, or changes to the political climate, public sentiment, and government policy preferences in certain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economies and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compliance with tax, employment, immigration and labor laws for employees living or traveling abroad;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taxes, including withholding of payroll taxes;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currency fluctuations, which could result in increased operating expenses and reduced revenue, and other obligations incident to doing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 another country;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difficulties staffing and managing operations outside of Germany;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workforce uncertainty in countries where labor unrest is more common;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payor reimbursement regimes, governmental payors or patient self-pay systems, and price controls;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potential liability under the U.S. Foreign Corrupt Practices Act of 1977 or comparable regulations in other jurisdictions;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challenges enforcing our contractual and intellectual property rights, especially in those countries that do not respect and protect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rights to the same extent as Germany and the 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shortages resulting from any events affecting raw material supply or manufacturing capabilities abroad;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interruptions resulting from geopolitical actions, including war and terrorism, or public health epidemics or pandemics.</w:t>
      </w:r>
    </w:p>
    <w:p>
      <w:pPr>
        <w:spacing w:after="0" w:line="33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As part of our global operations, we and our collaborators rely on relationships with entities based in various jurisdictions, including for clinical research and manufacturing activities and other regional operational needs. Such relationships may involve the use of our or others’ intellectual property. We expect to continue to rely on such entities, which include locally-based contract manufacturing organizations, or CMOs, and CROs, in the future. For example, we and our collaborators rely on WuXi Biologics Co., Ltd. and its affiliates for outsourcing activities related to manufacturing and the supply chain, research and development, certain IP, and commercialization readiness for certain of our product candidates. Such entities are subject to evolving local regulatory requirements, and may also be subject to U.S. and EU legislation, including the proposed U.S. BIOSECURE Act, sanctions,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105</w:t>
            </w:r>
          </w:p>
        </w:tc>
      </w:tr>
    </w:tbl>
    <w:p>
      <w:pPr>
        <w:sectPr>
          <w:pgSz w:w="11900" w:h="16838" w:orient="portrait"/>
          <w:cols w:equalWidth="0" w:num="1">
            <w:col w:w="11240"/>
          </w:cols>
          <w:pgMar w:left="320" w:top="166" w:right="339" w:bottom="1440" w:gutter="0" w:footer="0" w:header="0"/>
        </w:sectPr>
      </w:pPr>
    </w:p>
    <w:bookmarkStart w:id="113" w:name="page114"/>
    <w:bookmarkEnd w:id="11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restrictions, and/or other regulations. Such requirements could increase the cost or reduce the supply of material available to us, delay the procurement or supply of such material, or have an adverse affect on our ability to secure significant commitments from governments to purchase our potential therapies.</w:t>
      </w:r>
    </w:p>
    <w:p>
      <w:pPr>
        <w:spacing w:after="0" w:line="200" w:lineRule="exact"/>
        <w:rPr>
          <w:sz w:val="20"/>
          <w:szCs w:val="20"/>
          <w:color w:val="auto"/>
        </w:rPr>
      </w:pPr>
    </w:p>
    <w:p>
      <w:pPr>
        <w:spacing w:after="0" w:line="262"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Further, governments may turn, and have turned, to trade barriers to protect their domestic industries against foreign imports, thereby increasing our cost to operate globally. If significant tariffs or other restrictions are imposed on imports by the United States and related countermeasures are taken by impacted countries, our business, including operating results, cash flows, and financial condition, may be adversely affected. On April 2, 2025, the Trump administration imposed new tariffs including a 10% baseline tariff on all countries, a 20% tariff on imports from the EU, a 24% tariff on Japanese imports, a 26% percent tariff on Indian goods, and an additional 34% tariff on Chinese exports, bringing the total U.S. tariffs on Chinese goods to 54%. On April 9, 2025, the Trump administration further increased the total U.S. tariffs on Chinese goods to 145% and announced a 90-day pause on most of the other tariffs. On July 7, 2025, the Trump administration announced an extension of the 90-day pause until August 1, 2025. Despite the temporary pause, the imposition of new tariffs will likely be met with reciprocal tariffs, thus increasing the possibility of a global trade war. If further tariffs are imposed on a broader range of imports, or if retaliatory trade measures are enacted by affected countries, these factors could significantly increase the cost to our global clinical research and manufacturing activities, adversely affect the commercial sale of our COVID-19 vaccines, and harm our competitive position in key markets. Additionally, ongoing trade tensions and uncertainty regarding future trade policies could negatively impact global economic conditions and consumer confidence, further affecting our global operations.</w:t>
      </w:r>
    </w:p>
    <w:p>
      <w:pPr>
        <w:spacing w:after="0" w:line="200" w:lineRule="exact"/>
        <w:rPr>
          <w:sz w:val="20"/>
          <w:szCs w:val="20"/>
          <w:color w:val="auto"/>
        </w:rPr>
      </w:pPr>
    </w:p>
    <w:p>
      <w:pPr>
        <w:spacing w:after="0" w:line="31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extent to which the COVID-19 virus continues to impact our operations, including our clinical trial operations, in its endemic stage will depend on future developments, which are highly uncertain and cannot be predicted with confidence, including new outbreaks, new information which may emerge concerning the severity of COVID-19 and the actions to contain COVID-19 or treat its impact, among others. In the future, similar events could affect our ability to manufacture and commercialize our product candidates.</w:t>
      </w:r>
    </w:p>
    <w:p>
      <w:pPr>
        <w:spacing w:after="0" w:line="23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As noted above, we and our partners have conducted and are expecting in the future to conduct clinical trials for our product candidates at clinical sites located outside of the United States. Although the FDA may accept data from clinical trials outside the United States that are not conducted under an IND, acceptance of this data in support of a marketing application or IND requires the clinical trial to have been conducted in accordance with GCPs, and that the FDA is able to validate the data from the clinical trial through an onsite inspection if it deems such inspection necessary. Where data from non-U.S. clinical trials are intended to serve as the sole basis for marketing approval in the United States, the FDA will not approve the application on the basis of non-U.S.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There can be no assurance the FDA will accept data from clinical trials conducted outside of the United States in support of a marketing application. If the FDA does not accept data from our clinical trials of our product candidates, it would likely result in the need for additional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106</w:t>
            </w:r>
          </w:p>
        </w:tc>
      </w:tr>
    </w:tbl>
    <w:p>
      <w:pPr>
        <w:sectPr>
          <w:pgSz w:w="11900" w:h="16838" w:orient="portrait"/>
          <w:cols w:equalWidth="0" w:num="1">
            <w:col w:w="11240"/>
          </w:cols>
          <w:pgMar w:left="320" w:top="166" w:right="339" w:bottom="1440" w:gutter="0" w:footer="0" w:header="0"/>
        </w:sectPr>
      </w:pPr>
    </w:p>
    <w:bookmarkStart w:id="114" w:name="page115"/>
    <w:bookmarkEnd w:id="11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which would be costly and time-consuming and delay or permanently halt our development of a product candidate.</w:t>
      </w:r>
    </w:p>
    <w:p>
      <w:pPr>
        <w:spacing w:after="0" w:line="33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These and other risks associated with our international operations and our collaborations with our collaborators may materially adversely affect our ability to attain or maintain profitable operations.</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200" w:lineRule="exact"/>
        <w:rPr>
          <w:sz w:val="20"/>
          <w:szCs w:val="20"/>
          <w:color w:val="auto"/>
        </w:rPr>
      </w:pPr>
    </w:p>
    <w:p>
      <w:pPr>
        <w:spacing w:after="0" w:line="30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disclose publicly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Results of earlier studies and trials of our product candidates may not be predictive of future trial results.</w:t>
      </w:r>
    </w:p>
    <w:p>
      <w:pPr>
        <w:spacing w:after="0" w:line="21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107</w:t>
            </w:r>
          </w:p>
        </w:tc>
      </w:tr>
    </w:tbl>
    <w:p>
      <w:pPr>
        <w:sectPr>
          <w:pgSz w:w="11900" w:h="16838" w:orient="portrait"/>
          <w:cols w:equalWidth="0" w:num="1">
            <w:col w:w="11240"/>
          </w:cols>
          <w:pgMar w:left="320" w:top="166" w:right="339" w:bottom="1440" w:gutter="0" w:footer="0" w:header="0"/>
        </w:sectPr>
      </w:pPr>
    </w:p>
    <w:bookmarkStart w:id="115" w:name="page116"/>
    <w:bookmarkEnd w:id="11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planned clinical trials or those of our collaborators may be less efficacious or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There is typically an extremely high rate of attrition for product candidates across categories of medicines proceeding through clinical trials.</w:t>
      </w:r>
    </w:p>
    <w:p>
      <w:pPr>
        <w:spacing w:after="0" w:line="33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24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Many of our product candidates are being developed or are intended to be co-administered with other developmental therapies or approved medicines. For example, autogene cevumeran (BNT122/RO7198457) is being developed to be co-administered with checkpoint inhibitors. Such combinations may have additional side effects, which may be difficult to predict in future clinical trials.</w:t>
      </w:r>
    </w:p>
    <w:p>
      <w:pPr>
        <w:spacing w:after="0" w:line="23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108</w:t>
            </w:r>
          </w:p>
        </w:tc>
      </w:tr>
    </w:tbl>
    <w:p>
      <w:pPr>
        <w:sectPr>
          <w:pgSz w:w="11900" w:h="16838" w:orient="portrait"/>
          <w:cols w:equalWidth="0" w:num="1">
            <w:col w:w="11240"/>
          </w:cols>
          <w:pgMar w:left="320" w:top="166" w:right="339" w:bottom="1440" w:gutter="0" w:footer="0" w:header="0"/>
        </w:sectPr>
      </w:pPr>
    </w:p>
    <w:bookmarkStart w:id="116" w:name="page117"/>
    <w:bookmarkEnd w:id="11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are not successful in discovering, developing and commercializing additional product candidates beyond our current portfolio, our ability to expand our business and achieve our strategic objectives would be impaired.</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Although a substantial amount of our efforts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develop and commercialize such products successfully for many reasons, including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research methodology used may not be successful in identifying potential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competitors may develop alternatives that render our product candidates obsolete;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we develop may nevertheless be covered by third parties’ patents or other exclusive rights;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product candidate may, on further study, be shown to have harmful side effects or other characteristics that indicate it is unlikely to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effective or otherwise does not meet applicable regulatory criteria;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discontinue the development of a product candidate;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product candidate may not be capable of being produced in commercial quantities at an acceptable cost, or at all;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approved product may not be accepted as safe and effective by trial participants, the medical community or third-party payors.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we are unsuccessful in identifying and developing additional products, our potential for growth may be impaired.</w:t>
      </w:r>
    </w:p>
    <w:p>
      <w:pPr>
        <w:spacing w:after="0" w:line="2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future success depends on our ability to retain key employees, consultants and advisors and to attract, retain and motivate qualified senior management and scientific personnel.</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as well as a current global shortage of these highly qualified individuals. The loss of any of these persons’ services may adversely impact the achievement of our research, development, financing and commercialization objectives. We are also aware of physical threats made against certain of these people. In response to these threats, we have deployed personal protection for such individuals and increased our security generally. We currently do not have “key person” insurance on any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109</w:t>
            </w:r>
          </w:p>
        </w:tc>
      </w:tr>
    </w:tbl>
    <w:p>
      <w:pPr>
        <w:sectPr>
          <w:pgSz w:w="11900" w:h="16838" w:orient="portrait"/>
          <w:cols w:equalWidth="0" w:num="1">
            <w:col w:w="11240"/>
          </w:cols>
          <w:pgMar w:left="320" w:top="166" w:right="339" w:bottom="1440" w:gutter="0" w:footer="0" w:header="0"/>
        </w:sectPr>
      </w:pPr>
    </w:p>
    <w:bookmarkStart w:id="117" w:name="page118"/>
    <w:bookmarkEnd w:id="11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23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Recruiting and retaining other qualified employees, consultants and advisors for our business, including scientific and technical personnel, will be critical to our success as well. Competition for skilled personnel, including in mRNA research, clinical development, clinical operations, regulatory affairs, therapeutic area management, manufacturing, and AI,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and the failure to succeed in preclinical studies or clinical trials or in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200" w:lineRule="exact"/>
        <w:rPr>
          <w:sz w:val="20"/>
          <w:szCs w:val="20"/>
          <w:color w:val="auto"/>
        </w:rPr>
      </w:pPr>
    </w:p>
    <w:p>
      <w:pPr>
        <w:spacing w:after="0" w:line="2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employees, principal investigators and consultants may engage in misconduct or other improper activities, including non-compliance with regulatory standards and requirements and insider trading, which could have an adverse effect on the results of our operations.</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are exposed to the risk of fraud or other misconduct by our employees, principal investigators and consultants, despite our robust efforts to prevent such misconduct through sponsor oversight. Misconduct by these parties could include intentional failures to comply with FDA regulations or the regulations applicable in the European Union and other jurisdictions, to provide accurate information to the FDA, the EMA and other regulatory authorities, to comply with healthcare fraud and abuse laws and regulations in the United States and abroad, to report financial information or data accurately or to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110</w:t>
            </w:r>
          </w:p>
        </w:tc>
      </w:tr>
    </w:tbl>
    <w:p>
      <w:pPr>
        <w:sectPr>
          <w:pgSz w:w="11900" w:h="16838" w:orient="portrait"/>
          <w:cols w:equalWidth="0" w:num="1">
            <w:col w:w="11240"/>
          </w:cols>
          <w:pgMar w:left="320" w:top="166" w:right="339" w:bottom="1440" w:gutter="0" w:footer="0" w:header="0"/>
        </w:sectPr>
      </w:pPr>
    </w:p>
    <w:bookmarkStart w:id="118" w:name="page119"/>
    <w:bookmarkEnd w:id="11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Employment-related disputes, including employee litigation and unfavorable publicity, could negatively affect our future business.</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From time to time we may be subject to claims by our employees or regulatory authorities with respect to employment and workplace matters, including lawsuits or proceedings against us regarding injury, creating a hostile workplace,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The illegal distribution and sale by third parties of counterfeit versions of our COVID-19 vaccine, or, if approved, our other product candidates, could have a negative impact on our financial performance or reputation.</w:t>
      </w:r>
    </w:p>
    <w:p>
      <w:pPr>
        <w:spacing w:after="0" w:line="15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Third parties have in the past and may continue to illegally distribute and sell counterfeit versions of COVID-19 vaccines. Counterfeit products are frequently unsafe or ineffective, and may even be life-threatening. Counterfeit medicines may contain harmful substances or the wrong dosage. However, to distributors and users, counterfeit products may be visually indistinguishable from the authentic version.</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Reports of adverse reactions to counterfeit products, increased levels of counterfeiting, or unsafe vaccines could materially affect public confidence in our COVID-19 vaccine or other product candidates. It is possible that adverse events caused by unsafe counterfeit vaccines will mistakenly be attributed to our COVID-19 vaccine, or, if approved, our other product candidates. In addition, thefts of inventory at warehouses, plants or while in-transit, which are subsequently improperly stored and which are sold through unauthorized channels, could adversely impact patient safety, our reputation, and our business. Public loss of confidence in the integrity of our COVID-19 vaccine or, if approved, our other product candidates, as a result of counterfeiting or theft could have a material adverse effect on our business, results of operations, and financial condition.</w:t>
      </w:r>
    </w:p>
    <w:p>
      <w:pPr>
        <w:spacing w:after="0" w:line="200" w:lineRule="exact"/>
        <w:rPr>
          <w:sz w:val="20"/>
          <w:szCs w:val="20"/>
          <w:color w:val="auto"/>
        </w:rPr>
      </w:pPr>
    </w:p>
    <w:p>
      <w:pPr>
        <w:spacing w:after="0" w:line="2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of running multiple clinical trials in parallel, any breach of our computer systems may result in a loss of data or compromised data integrity across many of our programs in many stages of</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111</w:t>
            </w:r>
          </w:p>
        </w:tc>
      </w:tr>
    </w:tbl>
    <w:p>
      <w:pPr>
        <w:sectPr>
          <w:pgSz w:w="11900" w:h="16838" w:orient="portrait"/>
          <w:cols w:equalWidth="0" w:num="1">
            <w:col w:w="11240"/>
          </w:cols>
          <w:pgMar w:left="320" w:top="166" w:right="339" w:bottom="1440" w:gutter="0" w:footer="0" w:header="0"/>
        </w:sectPr>
      </w:pPr>
    </w:p>
    <w:bookmarkStart w:id="119" w:name="page120"/>
    <w:bookmarkEnd w:id="11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development. Any such breach, loss or compromise of clinical trial participant personal data may also subject us to civil fines and penalties, including under the EU General Data Protection Regulation, or the GDPR, relevant law of an EU member state, HIPAA, and other relevant state and federal privacy laws in the United States or in other jurisdictions.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While we have not experienced any material system failures, accidents or security breaches to date, in December 2020, we were informed by the EMA that the agency was subject to a cyberattack and that some documents relating to our regulatory submission for our COVID-19 vaccine candidate, which was stored on an EMA server, had been unlawfully accessed. None of our systems were breached in connection with this incident and we are unaware that any study participants were identified through the data being accessed.</w:t>
      </w:r>
    </w:p>
    <w:p>
      <w:pPr>
        <w:spacing w:after="0" w:line="23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Product liability lawsuits against us could cause us to incur substantial liabilities and could limit commercialization of our current or future product candidates.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face an inherent risk of product liability exposure related to the testing of any of our current or future product candidates in clinical trials, and an even greater risk related to any commercialized products, such as our COVID-19 vaccine. We have received product liability claims against our COVID-19 vaccine, and expect to receive additional product liability claims in the future. If we cannot successfully defend ourselves against claims that our products and/or our product candidates have caused injuries, we could incur substantial liabilities. Regardless of merit or eventual outcome, liability claims may result in: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decreased demand for any product or product candidate that we may develop;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loss of revenue;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substantial monetary awards to patients, healthy volunteers or their children;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time and costs to defend the related litigation;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withdrawal of clinical trial participants;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inability to commercialize any products or product candidates that we may develop;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injury to our reputation and significant negative media attention.</w:t>
      </w:r>
    </w:p>
    <w:p>
      <w:pPr>
        <w:spacing w:after="0" w:line="33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We carry clinical trial insurance and product liability insurance, which we believe to be sufficient in light of our current clinical programs and commercial operations. However, the amount of coverage we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112</w:t>
            </w:r>
          </w:p>
        </w:tc>
      </w:tr>
    </w:tbl>
    <w:p>
      <w:pPr>
        <w:sectPr>
          <w:pgSz w:w="11900" w:h="16838" w:orient="portrait"/>
          <w:cols w:equalWidth="0" w:num="1">
            <w:col w:w="11240"/>
          </w:cols>
          <w:pgMar w:left="320" w:top="166" w:right="339" w:bottom="1440" w:gutter="0" w:footer="0" w:header="0"/>
        </w:sectPr>
      </w:pPr>
    </w:p>
    <w:bookmarkStart w:id="120" w:name="page121"/>
    <w:bookmarkEnd w:id="12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have obtained may not be adequate, and we may seek to further increase insurance coverage limits as our pipeline moves towards commercialization. As we evolve, we may not be able to maintain insurance coverage at a reasonable cost or in sufficient amounts to protect us against losses due to liability. On occasion, large judgments have been awarded in class action lawsuits based on drugs or medical treatments that had unanticipated adverse effects. A successful product liability claim or series of claims brought against us could cause the price of the ADSs to decline and, if judgments exceed our insurance coverage, could adversely affect our results of operations and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our products become subject to a product recall it could harm our reputation, business and financial results.</w:t>
      </w:r>
    </w:p>
    <w:p>
      <w:pPr>
        <w:spacing w:after="0" w:line="21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or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w:t>
      </w:r>
    </w:p>
    <w:p>
      <w:pPr>
        <w:spacing w:after="0" w:line="200" w:lineRule="exact"/>
        <w:rPr>
          <w:sz w:val="20"/>
          <w:szCs w:val="20"/>
          <w:color w:val="auto"/>
        </w:rPr>
      </w:pPr>
    </w:p>
    <w:p>
      <w:pPr>
        <w:spacing w:after="0" w:line="304"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Recalls of any of our products or, if approved,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200" w:lineRule="exact"/>
        <w:rPr>
          <w:sz w:val="20"/>
          <w:szCs w:val="20"/>
          <w:color w:val="auto"/>
        </w:rPr>
      </w:pP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Issues in the development and use of AI, combined with an uncertain regulatory environment, may result in reputational harm, liability or other adverse consequences to our business.</w:t>
      </w:r>
    </w:p>
    <w:p>
      <w:pPr>
        <w:spacing w:after="0" w:line="158"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We are investing in AI technology systems, including through our acquisition of InstaDeep, and such systems are complex and rapidly changing. We face significant competition from other companies with respect to our AI and machine learning services, along with an evolving regulatory landscape. The introduction of AI into the development and manufacturing of our product candidates, or the provision of services relating to AI technologies and applications, may result in new or enhanced governmental or regulatory scrutiny, litigation, intellectual property risks, confidentiality or security risks, ethical concerns or other complications that could harm our business, reputation or financial condition.</w:t>
      </w:r>
    </w:p>
    <w:p>
      <w:pPr>
        <w:spacing w:after="0" w:line="200" w:lineRule="exact"/>
        <w:rPr>
          <w:sz w:val="20"/>
          <w:szCs w:val="20"/>
          <w:color w:val="auto"/>
        </w:rPr>
      </w:pPr>
    </w:p>
    <w:p>
      <w:pPr>
        <w:spacing w:after="0" w:line="30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Uncertainty around AI may require additional investment in the development and maintenance of proprietary datasets and development of appropriate protections and safeguards for handling the use of customer data with AI technologies, which may be costly and could impact our expenses. In addition, AI may create content that appears correct but is inaccurate or flawed, and if created by third parties, may be mistakenly attributed to us. Our customers or others may rely on or use this flawed content to their detriment, which may expose us to brand or reputational harm, competitive harm or legal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113</w:t>
            </w:r>
          </w:p>
        </w:tc>
      </w:tr>
    </w:tbl>
    <w:p>
      <w:pPr>
        <w:sectPr>
          <w:pgSz w:w="11900" w:h="16838" w:orient="portrait"/>
          <w:cols w:equalWidth="0" w:num="1">
            <w:col w:w="11240"/>
          </w:cols>
          <w:pgMar w:left="320" w:top="166" w:right="339" w:bottom="1440" w:gutter="0" w:footer="0" w:header="0"/>
        </w:sectPr>
      </w:pPr>
    </w:p>
    <w:bookmarkStart w:id="121" w:name="page122"/>
    <w:bookmarkEnd w:id="12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Our ability to effectively monitor and respond to the rapid and ongoing developments and expectations relating to environmental, social and governance, or ESG, matters, including related social expectations and concerns, may impose unexpected costs or result in reputational or other harm that could have a material adverse effect on our business, financial condition, cash flows and results of operations and could cause the price of ADSs representing our ordinary shares to decline.</w:t>
      </w:r>
    </w:p>
    <w:p>
      <w:pPr>
        <w:spacing w:after="0" w:line="18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There are rapid and ongoing developments and changing, sometimes conflicting, expectations relating to ESG matters and factors such as the environmental impact of our operations, access to our COVID-19 vaccine, corporate governance, our product stewardship practices, management of business ethics, human rights due diligence in our own operations and our supply chain, and workforce development. At the same time, ESG matters, including climate change, are the subject of increased politicization, particularly in the United States. These factors may result in increased regulatory, social or other scrutiny on us.</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We believe we must address climate risks from our own contribution to climate change (inside-out perspective), risks to our own operations due to physical effects of climate change as well as transition risks (outside-in perspective), and interactions between both perspectives. To this end, we have set ourselves near-term scienced-based emissions reduction targets for our own operations (scope 1, 2) and for our supply chain (supplier engagement target for scope 3), validated by the Science Based Targets initiative, or SBTi, in early February 2024.</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Additionally, we are addressing increasingly complex regulatory requirements with respect to human rights risks. These requirements include German legislation, such as the Act on Corporate Due Diligence Obligations for the Prevention of Human Rights Violations in Supply Chains (Lieferkettensorgfaltspflichtengesetz – LkSG), potential legislative planning by the European Union, and local or regional regulations. Regulatory frameworks require us to identify, prevent, mitigate and ideally end the extent of any potential adverse impacts or violations throughout our own operations and value chain.</w:t>
      </w:r>
    </w:p>
    <w:p>
      <w:pPr>
        <w:spacing w:after="0" w:line="240"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Finally, we are faced with increasing ESG related transparency and reporting obligations. These requirements arise, for example, from the EU Corporate Sustainability Reporting Directive regulation, the European Sustainability Reporting Standards, and the respective German implementation law, any potential SEC rules that could require registrants to provide additional climate-related disclosures in future periods, and other possible obligations.</w:t>
      </w:r>
    </w:p>
    <w:p>
      <w:pPr>
        <w:spacing w:after="0" w:line="200" w:lineRule="exact"/>
        <w:rPr>
          <w:sz w:val="20"/>
          <w:szCs w:val="20"/>
          <w:color w:val="auto"/>
        </w:rPr>
      </w:pPr>
    </w:p>
    <w:p>
      <w:pPr>
        <w:spacing w:after="0" w:line="28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Should we fail to meet our climate protection targets or if we are unable to adequately recognize and respond to such developments and governmental, societal, investor and NGO expectations relating to such ESG matters, we may have to pay substantial fines, forego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price of ADSs representing our ordinary shares may decline.</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We have observed that in addition to the importance of their financial performance, companies are increasingly being judged by their performance on ESG matters. A variety of organizations measure the performance of companies on such ESG topics, and the results of these assessments are widely publicized. We may fail to comply with standards or best practices put forth by such organizations or by governmental or regulatory bodies. There can be no certainty that we will manage such issues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114</w:t>
            </w:r>
          </w:p>
        </w:tc>
      </w:tr>
    </w:tbl>
    <w:p>
      <w:pPr>
        <w:sectPr>
          <w:pgSz w:w="11900" w:h="16838" w:orient="portrait"/>
          <w:cols w:equalWidth="0" w:num="1">
            <w:col w:w="11240"/>
          </w:cols>
          <w:pgMar w:left="320" w:top="166" w:right="339" w:bottom="1440" w:gutter="0" w:footer="0" w:header="0"/>
        </w:sectPr>
      </w:pPr>
    </w:p>
    <w:bookmarkStart w:id="122" w:name="page123"/>
    <w:bookmarkEnd w:id="12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successfully, or that we will successfully meet society’s expectations as to our proper role. Any failure or perceived failure by us in this regard could have a material adverse effect on our reputation and on our business, the price of ADSs representing our ordinary shares, financial condition, or results of operations, including the sustainability of our business over time.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the Manufacturing of our COVID-19 Vaccine, our Product Candidates and Future Pipeline</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Our COVID-19 vaccine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18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manufacturing processes for our COVID-19 vaccine and our product candidates are novel and complex. Due to the novel nature of this technology and the recency of our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resulted in the past, and may in the future result, in our having to resupply batches for preclinical, clinical, or commercial activities when there is insufficient product stability during storage and insufficient supply. Insufficient stability or shelf life of our products or product candidates could materially delay our or our collaborators’ ability to continue the clinical trial for that product candidate or require us to begin a new clinical trial with a newly formulated drug product, due to the need to manufacture additional preclinical, clinical or commercial supply.</w:t>
      </w:r>
    </w:p>
    <w:p>
      <w:pPr>
        <w:spacing w:after="0" w:line="200" w:lineRule="exact"/>
        <w:rPr>
          <w:sz w:val="20"/>
          <w:szCs w:val="20"/>
          <w:color w:val="auto"/>
        </w:rPr>
      </w:pPr>
    </w:p>
    <w:p>
      <w:pPr>
        <w:spacing w:after="0" w:line="30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23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 process to generate mRNA medicines is complex and, if not developed and manufactured under well-controlled conditions, can adversely impact pharmacological activity.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23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we continue developing new manufacturing processes for our drug substance and drug product, the changes we implement to the manufacturing process may impact, in turn, specification and stability of the drug product. Changes in our manufacturing processes may lead to failure of lots and this could lead to a substantial delay in our clinical trials or an inability to supply sufficient commercial quantities of drug product. Our mRNA product candidates may prove to have a stability profile that leads to an unfavorable shelf life. This poses risk in supply requirements, wasted stock and higher cost of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115</w:t>
            </w:r>
          </w:p>
        </w:tc>
      </w:tr>
    </w:tbl>
    <w:p>
      <w:pPr>
        <w:sectPr>
          <w:pgSz w:w="11900" w:h="16838" w:orient="portrait"/>
          <w:cols w:equalWidth="0" w:num="1">
            <w:col w:w="11240"/>
          </w:cols>
          <w:pgMar w:left="320" w:top="166" w:right="339" w:bottom="1440" w:gutter="0" w:footer="0" w:header="0"/>
        </w:sectPr>
      </w:pPr>
    </w:p>
    <w:bookmarkStart w:id="123" w:name="page124"/>
    <w:bookmarkEnd w:id="12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176"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Due to the number of different programs, we may in the future have cross contamination of products inside of our factories, CROs, external CMOs,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 month stability testing. That may require resupplying clinical or commercial material, or making additional GMP batches to keep up with clinical trial demand before such pharmaceutical property testing is completed.</w:t>
      </w:r>
    </w:p>
    <w:p>
      <w:pPr>
        <w:spacing w:after="0" w:line="239"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COVID-19 vaccine and our product candidates. Further, now and in the future, one or more of our programs may have a single source of supply for raw materials and excipients. Some of our suppliers are located in countries different from our manufacturing sites. Export restrictions could lead to unplanned interruptions in manufacturing, thus impacting supply of both clinical and commercial material.</w:t>
      </w:r>
    </w:p>
    <w:p>
      <w:pPr>
        <w:spacing w:after="0" w:line="200" w:lineRule="exact"/>
        <w:rPr>
          <w:sz w:val="20"/>
          <w:szCs w:val="20"/>
          <w:color w:val="auto"/>
        </w:rPr>
      </w:pPr>
    </w:p>
    <w:p>
      <w:pPr>
        <w:spacing w:after="0" w:line="30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We have established a number of analytical assays, and may have to establish several more, to assess the quality of our mRNA products and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products or product candidates until the manufacturing or testing process is rectified.</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products or product candidates and result in delays or interruptions to clinical or commercial supply. In addition, the cost associated with such transportation services and the limited pool of vendors may also add additional risks of supply disruptions. As we transport intermediate products with holding times in refrigeration (TIR) and allowed times out of refrigeration (TOR) across long distances and crossing borders, traffic issues and customs delays could lead to the loss of batches which would need to be replaced.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116</w:t>
            </w:r>
          </w:p>
        </w:tc>
      </w:tr>
    </w:tbl>
    <w:p>
      <w:pPr>
        <w:sectPr>
          <w:pgSz w:w="11900" w:h="16838" w:orient="portrait"/>
          <w:cols w:equalWidth="0" w:num="1">
            <w:col w:w="11240"/>
          </w:cols>
          <w:pgMar w:left="320" w:top="166" w:right="339" w:bottom="1440" w:gutter="0" w:footer="0" w:header="0"/>
        </w:sectPr>
      </w:pPr>
    </w:p>
    <w:bookmarkStart w:id="124" w:name="page125"/>
    <w:bookmarkEnd w:id="12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such product candidates for clinical trials or, if approved, products for patients could be delayed or stopped, or we may be unable to maintain a commercially viable cost structure.</w:t>
      </w:r>
    </w:p>
    <w:p>
      <w:pPr>
        <w:spacing w:after="0" w:line="18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logistics associated with the collection of a patient’s tumor, blood or other tissue sample;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shipping such samples to a facility for genetic sequencing;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next-generation sequencing of the tumor mRNA;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biopsy of a sufficient quantity of cancerous tissue to allow for proper sequencing and identification of tumor-specific mutations;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identification of appropriate tumor-specific mutations;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use of a software program, including proprietary and open source components, which is hosted in the cloud and a part of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 to assist with the design of the patient-specific mRNA, which software must be maintained and secured;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effective design of the patient-specific mRNA that encodes for the required neoantigens;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batch-specific manufacturing failures or issues that arise due to the uniqueness of each patient-specific batch that may not have been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foreseen;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quality control testing failures;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unexpected failures of batches placed on stability;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shortages or quality control issues with single-use assemblies, consumables or critical parts sourced from third-party vendors that must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changed out for each patient-specific batch;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costs associated with individualized manufacturing that may adversely affect our ability to continue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successful and timely manufacture and release of the patient-specific batch;</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shipment issues encountered during transport of the batch to the site of patient care;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to define a consistent safety profile at a given dose when each participant receives a unique treatment;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reliance on single source suppliers.</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08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1"/>
          <w:szCs w:val="21"/>
          <w:b w:val="1"/>
          <w:bCs w:val="1"/>
          <w:color w:val="C3C3C3"/>
        </w:rPr>
        <w:t>117</w:t>
      </w:r>
    </w:p>
    <w:p>
      <w:pPr>
        <w:sectPr>
          <w:pgSz w:w="11900" w:h="16838" w:orient="portrait"/>
          <w:cols w:equalWidth="0" w:num="1">
            <w:col w:w="11240"/>
          </w:cols>
          <w:pgMar w:left="320" w:top="166" w:right="339" w:bottom="1440" w:gutter="0" w:footer="0" w:header="0"/>
          <w:type w:val="continuous"/>
        </w:sectPr>
      </w:pPr>
    </w:p>
    <w:bookmarkStart w:id="125" w:name="page126"/>
    <w:bookmarkEnd w:id="12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we may not be able to supply this expanded need reliably without significant investments due to the custom nature of the equipment and single-use assemblies. In addition, there will be considerable time to scale up our facilities or build new facilities before we can begin to meet any commercial demand if one or more of our individualized product candidates are approved. This expansion or addition of new facilities could also lead to product comparability issues, which can further delay introduction of new capacity.</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For those of our product candidates that are manufactured for each individual patient, we are required to maintain a chain of identity with respect to each patient’s tissue sample, the sequenced data derived from such tissue sample, the results of such patient’s genomic analysis and the custom manufactured product for such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inability to manufacture sufficient or appropriate quantities of our COVID-19 vaccine or any of our product candidates, or our failure to comply with applicable regulatory requirements, could materially and adversely affect our business.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Manufacturing is a vital component of our individualized immunotherapy approach, and we have invested significantly in our manufacturing facilities, including the acquisition of a manufacturing site in Marburg, Germany, the construction of a novel modular manufacturing facility that we refer to as a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xml:space="preserve">,” and the construction of a facility to support manufacturing of our Individualized Vaccines Against Cancer candidates. All internal manufacturing is performed under GMP guidelines. We also rely on a network of CMOs for the manufacture of our COVID-19 vaccine. We do not rely on any external CMOs for the manufacture of our individualized product candidates and at this time, and we have limited redundancy among our facilities. Due to the individualized nature of our product candidates, we do not maintain product reserves. If any of our or our external CMOs’ manufacturing facilities, including our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xml:space="preserve"> units, experience difficulties, including related to manufacturing, product release, shelf life, testing, storage and supply chain management or shipping, our clinical development programs may be delayed or suspended until we or our external CMOs can resume operations. We may also be required to incur significant expenditures to resolve such difficulties.</w:t>
      </w:r>
    </w:p>
    <w:p>
      <w:pPr>
        <w:spacing w:after="0" w:line="200" w:lineRule="exact"/>
        <w:rPr>
          <w:sz w:val="20"/>
          <w:szCs w:val="20"/>
          <w:color w:val="auto"/>
        </w:rPr>
      </w:pPr>
    </w:p>
    <w:p>
      <w:pPr>
        <w:spacing w:after="0" w:line="30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and our collaboration partner also have experienced, and continue to face the risk of, inventory write-downs or redundant production capacities with respect to our COVID-19 vaccine. Planned new formulations of our COVID-19 vaccine, including versions that could protect against new variants of COVID-19, have resulted or may result in significant research and development expense that was not or may not be recouped. In addition, we have experienced in the past, and may experience in the future, redundant production capacities under our agreements with CMOs due to planned new formulations, adaptations of our COVID-19 vaccine and increased internal manufacturing capacities.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118</w:t>
            </w:r>
          </w:p>
        </w:tc>
      </w:tr>
    </w:tbl>
    <w:p>
      <w:pPr>
        <w:sectPr>
          <w:pgSz w:w="11900" w:h="16838" w:orient="portrait"/>
          <w:cols w:equalWidth="0" w:num="1">
            <w:col w:w="11240"/>
          </w:cols>
          <w:pgMar w:left="320" w:top="166" w:right="339" w:bottom="1440" w:gutter="0" w:footer="0" w:header="0"/>
        </w:sectPr>
      </w:pPr>
    </w:p>
    <w:bookmarkStart w:id="126" w:name="page127"/>
    <w:bookmarkEnd w:id="12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Significant inventory write-downs or redundant manufacturing expenses would negatively impact our results of operations.</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facilities are subject to various regulatory requirements and may be subject to announced or unannounced inspections by the FDA or other regulatory authorities at any time during the development or commercialization phase. If we or our external CMOs cannot successfully manufacture material that conforms to our specifications and the strict regulatory requirements of the FDA, the EMA or comparable regulatory authorities in other jurisdictions, we may not be able to rely on our or our external CMOs’ manufacturing facilities for the manufacture of our product candidates. If the FDA, the EMA or another comparable regulatory authority finds our or our external CMOs’ facilities inadequate for the manufacture of our COVID-19 vaccine or our product candidates or otherwise deficient, including as a result of a site inspection, such facilities may be the subject of adverse regulatory action, including the issuance of untitled or warning letters. If such facilities are subject to enforcement action in the future or are otherwise inadequate, we may need to find alternative manufacturing facilities, which would significantly delay or otherwise impact our ability to develop, obtain regulatory approval for or market our COVID-19 vaccine or our product candidates.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Additionally, we may experience manufacturing difficulties due to resource constraints, labor disputes or unstable political environments. If we were to encounter any of these difficulties, our ability to provide our product candidates to patients in clinical trials, or to provide approved products for the treatment of patients, would be jeopardized.</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regulatory and operational risks associated with the physical and digital infrastructure at both our internal manufacturing facilities and at those of our external service providers.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designs of our facilities are based on current standards for biotechnology facilities. They have been reviewed and approved by local authorities and have also received GMP manufacturing licenses. We have designed our facilities to incorporate a significant level of automation of equipment with integration of several digital systems to improve efficiency of operations. We have attempted to achieve a high level of digitization for clinical and commercial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a delay in supply or shutdown of our facilities. Any disruption in our manufacturing capabilities could cause delays in our production capacity for our drug substances or drug products, impose additional costs, or require us to identify, qualify and establish an alternative manufacturing site, the occurrence of which could have a material adverse effect on our business, financial condition, results of operations and prospects.</w:t>
      </w:r>
    </w:p>
    <w:p>
      <w:pPr>
        <w:spacing w:after="0" w:line="200" w:lineRule="exact"/>
        <w:rPr>
          <w:sz w:val="20"/>
          <w:szCs w:val="20"/>
          <w:color w:val="auto"/>
        </w:rPr>
      </w:pPr>
    </w:p>
    <w:p>
      <w:pPr>
        <w:spacing w:after="0" w:line="30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we expand our development and commercial capacity, we may continue to establish additional manufacturing capabilities in different jurisdictions, which may lead to regulatory delays or prove costly. If we fail to select the correct location, complete the construction in an efficient manner, recruit required personnel, and/or generally manage our growth effectively, the development and production of our products or product candidates could be delayed or curtailed. Additional investments may be needed if changes in our manufacturing process lead to required changes in our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119</w:t>
            </w:r>
          </w:p>
        </w:tc>
      </w:tr>
    </w:tbl>
    <w:p>
      <w:pPr>
        <w:sectPr>
          <w:pgSz w:w="11900" w:h="16838" w:orient="portrait"/>
          <w:cols w:equalWidth="0" w:num="1">
            <w:col w:w="11240"/>
          </w:cols>
          <w:pgMar w:left="320" w:top="166" w:right="339" w:bottom="1440" w:gutter="0" w:footer="0" w:header="0"/>
        </w:sectPr>
      </w:pPr>
    </w:p>
    <w:bookmarkStart w:id="127" w:name="page128"/>
    <w:bookmarkEnd w:id="12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COVID-19 vaccine and certain of our product candidates rely on the availability of specialty raw materials, which may not be available to us on acceptable terms or at all.</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product candidates require many specialty raw materials, some of which are manufactured by small companies with limited resources and experience to support a commercial product, and suppliers may not be able to deliver raw materials to our specifications. In addition, some such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24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or at all, which could have a material adverse impact on our business.</w:t>
      </w:r>
    </w:p>
    <w:p>
      <w:pPr>
        <w:spacing w:after="0" w:line="200" w:lineRule="exact"/>
        <w:rPr>
          <w:sz w:val="20"/>
          <w:szCs w:val="20"/>
          <w:color w:val="auto"/>
        </w:rPr>
      </w:pPr>
    </w:p>
    <w:p>
      <w:pPr>
        <w:spacing w:after="0" w:line="2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are subject to significant regulatory oversight with respect to manufacturing our products and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18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our products and product candidates. Poor control of the GMP production processes can lead to product quality failures that can impact our ability to supply product, resulting in loss of potential product sales revenue, cost overruns and delays to clinical timelines for our clinical programs, which could be extensive. Such production process issues include but are not limited to:</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critical deviations in the manufacturing process;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facility and equipment failures;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contamination of the product due to an ineffective quality control strategy;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facility contamination as assessed by the facility and utility environmental monitoring program;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process, equipment or analytical change management, resulting in failed lot release criteria;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120</w:t>
            </w:r>
          </w:p>
        </w:tc>
      </w:tr>
    </w:tbl>
    <w:p>
      <w:pPr>
        <w:sectPr>
          <w:pgSz w:w="11900" w:h="16838" w:orient="portrait"/>
          <w:cols w:equalWidth="0" w:num="1">
            <w:col w:w="11240"/>
          </w:cols>
          <w:pgMar w:left="320" w:top="166" w:right="339" w:bottom="1440" w:gutter="0" w:footer="0" w:header="0"/>
        </w:sectPr>
      </w:pPr>
    </w:p>
    <w:bookmarkStart w:id="128" w:name="page129"/>
    <w:bookmarkEnd w:id="12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raw material failures due to ineffective supplier qualification or regulatory compliance issues at critical suppliers;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product stability;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failed lot release or facility and utility quality control testing;</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corrective actions or preventative actions taken to correct or avoid critical deviations due to our developing understanding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manufacturing process as we scale;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failed or defective components or consumables.</w:t>
      </w:r>
    </w:p>
    <w:p>
      <w:pPr>
        <w:spacing w:after="0" w:line="333"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200" w:lineRule="exact"/>
        <w:rPr>
          <w:sz w:val="20"/>
          <w:szCs w:val="20"/>
          <w:color w:val="auto"/>
        </w:rPr>
      </w:pPr>
    </w:p>
    <w:p>
      <w:pPr>
        <w:spacing w:after="0" w:line="262"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Regulatory authorities typically require representative manufacturing site inspections to assess adequate compliance with GMPs and manufacturing controls as described in the filing. If either we or one of our third-party manufacturing sites fail to provide sufficient quality assurance or control, approval to continue delivery of our commercial product or to commercialize our product candidates may not be granted. Inspections by regulatory authorities may be announced or unannounced and may occur at any time during the development or commercialization phase. The inspections may be product-specific or facility-specific for broader GMP inspections, or as a follow up to market or development issues that the regulatory agency may identify. Deficient inspection outcomes may result in adverse regulatory action, including the issuance of untitled or warning letters, which could influence our ability, or the ability of our third-party manufacturers or suppliers, to fulfill supply obligations, impacting or delaying supply or delaying programs. Our failure, or the failure of our third-party manufacturers, to comply with applicable regulations could result in sanctions being imposed on us, including, but not limited to,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w:t>
      </w:r>
    </w:p>
    <w:p>
      <w:pPr>
        <w:spacing w:after="0" w:line="200" w:lineRule="exact"/>
        <w:rPr>
          <w:sz w:val="20"/>
          <w:szCs w:val="20"/>
          <w:color w:val="auto"/>
        </w:rPr>
      </w:pPr>
    </w:p>
    <w:p>
      <w:pPr>
        <w:spacing w:after="0" w:line="31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manufacturing process for any product is subject to the FDA’s, the EMA’s and other regulatory authorities’ approval processes, and we may need to contract with manufacturers whom we believe can meet applicable regulatory authority requirements on an ongoing basis. If we or our third-party manufacturers are unable to reliably manufacture to specifications acceptable to the FDA, the EMA or other regulatory authorities, we or our collaborators may not obtain or maintain the approvals we or they need to release and deliver such products. Even if we or our collaborators obtain regulatory approval for any of our immunotherapies, there is no assurance that either we or our CMOs will be able to manufacture our product candidates to specifications acceptable to the FDA, the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121</w:t>
            </w:r>
          </w:p>
        </w:tc>
      </w:tr>
    </w:tbl>
    <w:p>
      <w:pPr>
        <w:sectPr>
          <w:pgSz w:w="11900" w:h="16838" w:orient="portrait"/>
          <w:cols w:equalWidth="0" w:num="1">
            <w:col w:w="11240"/>
          </w:cols>
          <w:pgMar w:left="320" w:top="166" w:right="339" w:bottom="1440" w:gutter="0" w:footer="0" w:header="0"/>
        </w:sectPr>
      </w:pPr>
    </w:p>
    <w:bookmarkStart w:id="129" w:name="page130"/>
    <w:bookmarkEnd w:id="12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efforts or increase our cost of goods. The occurrence of any of the foregoing could have an adverse effect on our business, financial condition, results of operations and growth prospects.</w:t>
      </w:r>
    </w:p>
    <w:p>
      <w:pPr>
        <w:spacing w:after="0" w:line="217"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In addition, we may not have direct control over the ability of our CMOs to maintain adequate quality control, quality assurance and qualified personnel. Furthermore, all of our CMOs are engaged with other companies to supply or manufacture materials or products for such companies, which exposes our CMOs to regulatory risks for the production of such materials and products. As a result, failure to meet the regulatory requirements for the production of those materials and products may generally affect the regulatory status of our CMOs’ facilities, and could result in the sanctions and other adverse outcomes described above. Our potential future dependence upon others for the manufacture of our products, product candidates and raw materials may adversely affect our future operating results and our ability to commercialize any products that receive regulatory approval on a timely and competitive basis.</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 FDA, the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product launches or product supply, which could be costly to us and otherwise harm our business, financial condition, results of operations and prospects.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train and qualify all personnel around the appropriate handling of our products and materials, we may not be able to control for or ultimately detect intentional sabotage or negligence by any employee or contractor.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Reliance on Third Parties</w:t>
      </w:r>
    </w:p>
    <w:p>
      <w:pPr>
        <w:spacing w:after="0" w:line="17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39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We currently rely, and expect to continue to rely, on third parties, such as CROs, clinical data management organizations, collaborators, medical institutions and clinical investigators, to conduct various and significant elements of our clinical trials. Furthermore,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122</w:t>
            </w:r>
          </w:p>
        </w:tc>
      </w:tr>
    </w:tbl>
    <w:p>
      <w:pPr>
        <w:sectPr>
          <w:pgSz w:w="11900" w:h="16838" w:orient="portrait"/>
          <w:cols w:equalWidth="0" w:num="1">
            <w:col w:w="11240"/>
          </w:cols>
          <w:pgMar w:left="320" w:top="166" w:right="339" w:bottom="1440" w:gutter="0" w:footer="0" w:header="0"/>
        </w:sectPr>
      </w:pPr>
    </w:p>
    <w:bookmarkStart w:id="130" w:name="page131"/>
    <w:bookmarkEnd w:id="13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U.S.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23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the FDA, the regulatory authorities of the EU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200" w:lineRule="exact"/>
        <w:rPr>
          <w:sz w:val="20"/>
          <w:szCs w:val="20"/>
          <w:color w:val="auto"/>
        </w:rPr>
      </w:pPr>
    </w:p>
    <w:p>
      <w:pPr>
        <w:spacing w:after="0" w:line="31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staffing difficulties;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 to comply with contractual obligations;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123</w:t>
            </w:r>
          </w:p>
        </w:tc>
      </w:tr>
    </w:tbl>
    <w:p>
      <w:pPr>
        <w:sectPr>
          <w:pgSz w:w="11900" w:h="16838" w:orient="portrait"/>
          <w:cols w:equalWidth="0" w:num="1">
            <w:col w:w="11240"/>
          </w:cols>
          <w:pgMar w:left="320" w:top="166" w:right="339" w:bottom="1440" w:gutter="0" w:footer="0" w:header="0"/>
        </w:sectPr>
      </w:pPr>
    </w:p>
    <w:bookmarkStart w:id="131" w:name="page132"/>
    <w:bookmarkEnd w:id="13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regulatory compliance issues;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undergo changes in priorities or become financially distressed;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form relationships with other entities, some of which may be our competitors;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human errors; 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 subject to cyberattacks.</w:t>
      </w:r>
    </w:p>
    <w:p>
      <w:pPr>
        <w:spacing w:after="0" w:line="3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products and product candidates.</w:t>
      </w:r>
    </w:p>
    <w:p>
      <w:pPr>
        <w:spacing w:after="0" w:line="17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have entered into collaborations under which our collaborators have provided, and may in the future provide, funding and other resources for developing and commercializing our products and product candidates. We expect to enter into additional collaborations to access additional funding, capabilities and/or expertise in the future. Our existing collaborations, and any future collaborations we enter into, may pose a number of risks, including the following: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perform or prioritize their obligations as expected;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trials conducted as part of such collaborations may not be successful;</w:t>
      </w:r>
    </w:p>
    <w:p>
      <w:pPr>
        <w:spacing w:after="0" w:line="333"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pursue development and commercialization of any product candidates and products that achieve regulatory approval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may elect not to continue or renew development or commercialization of programs based on clinical trial results, changes in the collaborators’ focus or available funding (for example, we are aware that there have been allegations that Fosun</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124</w:t>
            </w:r>
          </w:p>
        </w:tc>
      </w:tr>
    </w:tbl>
    <w:p>
      <w:pPr>
        <w:sectPr>
          <w:pgSz w:w="11900" w:h="16838" w:orient="portrait"/>
          <w:cols w:equalWidth="0" w:num="1">
            <w:col w:w="11240"/>
          </w:cols>
          <w:pgMar w:left="320" w:top="166" w:right="339" w:bottom="1440" w:gutter="0" w:footer="0" w:header="0"/>
        </w:sectPr>
      </w:pPr>
    </w:p>
    <w:bookmarkStart w:id="132" w:name="page133"/>
    <w:bookmarkEnd w:id="13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spacing w:after="0" w:line="344" w:lineRule="auto"/>
        <w:rPr>
          <w:sz w:val="20"/>
          <w:szCs w:val="20"/>
          <w:color w:val="auto"/>
        </w:rPr>
      </w:pPr>
      <w:r>
        <w:rPr>
          <w:rFonts w:ascii="Times New Roman" w:cs="Times New Roman" w:eastAsia="Times New Roman" w:hAnsi="Times New Roman"/>
          <w:sz w:val="18"/>
          <w:szCs w:val="18"/>
          <w:color w:val="080509"/>
        </w:rPr>
        <w:t>International Ltd., an affiliate of our collaboration partner Fosun Pharma, is facing liquidity risks), or external factors, such as an acquisition, that divert resources or create competing priorities;</w:t>
      </w:r>
    </w:p>
    <w:p>
      <w:pPr>
        <w:spacing w:after="0" w:line="217"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delay clinical trials, provide insufficient funding for clinical trials, stop a clinical trial, abandon a product candidate,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repeat or conduct new clinical trials, or require a new formulation of a product candidate for clinical testing;</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could independently develop, or develop with third parties, products that compete directly or indirectly with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if the collaborators believe that competitive products are more likely to be successfully developed or can be commercialized under terms that are more economically attractive than ours;</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developed in collaborations with us may be viewed by our collaborators as competitive with their own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or products, which may cause collaborators to cease to devote resources to the development or commercialization of our product candidates;</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collaborator with marketing and distribution rights to one or more of our product candidates that achieve regulatory approval may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commit sufficient resources to the marketing and distribution of any such product;</w:t>
      </w:r>
    </w:p>
    <w:p>
      <w:pPr>
        <w:spacing w:after="0" w:line="216"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disagreements with collaborators, including disagreements over proprietary rights, contract interpretation or the preferred course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235"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properly maintain, protect, defend or enforce our intellectual property rights or may use our proprietary information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such a way as to invite litigation that could jeopardize or invalidate our intellectual property or proprietary information or expose us to potential litigation;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disputes may arise with respect to the ownership of intellectual property developed pursuant to our collaborations;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infringe, misappropriate or otherwise violate the intellectual property rights of third parties, which may expose us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litigation and potential liability;</w:t>
      </w:r>
    </w:p>
    <w:p>
      <w:pPr>
        <w:spacing w:after="0" w:line="216"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collaborations may be terminated for the convenience of the collaborator and, if terminated, the development of our product candidates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may be delayed, and we could be required to raise additional capital to pursue further development or commercialization of the applicable product candidates;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future relationships may require us to incur non-recurring and other charges, increase our near- and long-term expenditures, issue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securities that dilute our existing shareholders, or disrupt our management and business;</w:t>
      </w:r>
    </w:p>
    <w:p>
      <w:pPr>
        <w:spacing w:after="0" w:line="216"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face significant competition in seeking appropriate collaborators, and the negotiation process is time-consuming and complex;</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125</w:t>
            </w:r>
          </w:p>
        </w:tc>
      </w:tr>
    </w:tbl>
    <w:p>
      <w:pPr>
        <w:sectPr>
          <w:pgSz w:w="11900" w:h="16838" w:orient="portrait"/>
          <w:cols w:equalWidth="0" w:num="1">
            <w:col w:w="11240"/>
          </w:cols>
          <w:pgMar w:left="320" w:top="166" w:right="339" w:bottom="1440" w:gutter="0" w:footer="0" w:header="0"/>
        </w:sectPr>
      </w:pPr>
    </w:p>
    <w:bookmarkStart w:id="133" w:name="page134"/>
    <w:bookmarkEnd w:id="13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international operations through any future collaborations, acquisitions or joint ventures may expose us to certain operating, legal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risks not encountered in Germany or the United States.</w:t>
      </w:r>
    </w:p>
    <w:p>
      <w:pPr>
        <w:spacing w:after="0" w:line="21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If our collaborations do not result in the successful development and commercialization of programs, or if one of our collaborators terminates its agreement with us, we may not receive any future research funding or milestone, earn-out, royalty or other contingent payments, or otherwise yield the expected benefits under the collaborations. As a result, our development of product candidates and commercialization efforts could be delayed and we may need additional resources to develop and commercialize our product candidates.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are not able to establish collaborations on commercially reasonable terms, we may have to alter our research, development and commercialization plans.</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or not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comparable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200" w:lineRule="exact"/>
        <w:rPr>
          <w:sz w:val="20"/>
          <w:szCs w:val="20"/>
          <w:color w:val="auto"/>
        </w:rPr>
      </w:pPr>
    </w:p>
    <w:p>
      <w:pPr>
        <w:spacing w:after="0" w:line="31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126</w:t>
            </w:r>
          </w:p>
        </w:tc>
      </w:tr>
    </w:tbl>
    <w:p>
      <w:pPr>
        <w:sectPr>
          <w:pgSz w:w="11900" w:h="16838" w:orient="portrait"/>
          <w:cols w:equalWidth="0" w:num="1">
            <w:col w:w="11240"/>
          </w:cols>
          <w:pgMar w:left="320" w:top="166" w:right="339" w:bottom="1440" w:gutter="0" w:footer="0" w:header="0"/>
        </w:sectPr>
      </w:pPr>
    </w:p>
    <w:bookmarkStart w:id="134" w:name="page135"/>
    <w:bookmarkEnd w:id="13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have entered into in-licensing arrangements and may form or seek to enter into additional licensing arrangements in the future, and we may not realize the benefits of such licensing arrangements.</w:t>
      </w:r>
    </w:p>
    <w:p>
      <w:pPr>
        <w:spacing w:after="0" w:line="158"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We are a party to licenses that give us rights to third-party intellectual property, including patents and patent applications, that are necessary or useful for our business. For example, we have obtained licenses from Acuitas Therapeutics Inc., or Acuitas, CellScript LLC, or CellScript,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200" w:lineRule="exact"/>
        <w:rPr>
          <w:sz w:val="20"/>
          <w:szCs w:val="20"/>
          <w:color w:val="auto"/>
        </w:rPr>
      </w:pPr>
    </w:p>
    <w:p>
      <w:pPr>
        <w:spacing w:after="0" w:line="29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Disputes may also arise between us and our licensors regarding intellectual property subject to a license agreement, including: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scope of rights granted under the license agreement and other interpretation-related issues;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whether and the extent to which our technology and processes infringe, misappropriate or otherwise violate the intellectual property of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licensor that is not subject to the licensing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right to sublicense patent and other intellectual property rights to third parties under collaborative relationships;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127</w:t>
            </w:r>
          </w:p>
        </w:tc>
      </w:tr>
    </w:tbl>
    <w:p>
      <w:pPr>
        <w:sectPr>
          <w:pgSz w:w="11900" w:h="16838" w:orient="portrait"/>
          <w:cols w:equalWidth="0" w:num="1">
            <w:col w:w="11240"/>
          </w:cols>
          <w:pgMar w:left="320" w:top="166" w:right="339" w:bottom="1440" w:gutter="0" w:footer="0" w:header="0"/>
        </w:sectPr>
      </w:pPr>
    </w:p>
    <w:bookmarkStart w:id="135" w:name="page136"/>
    <w:bookmarkEnd w:id="13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diligence obligations with respect to the use of the licensed intellectual property and technology in relation to our development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commercialization of our product candidates, and what activities satisfy those diligence obligations;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ownership of inventions, trade secrets, know-how and other intellectual property resulting from the joint creation or use of intellectual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property by our licensors and us and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priority of invention of patented technology;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amounts to be paid pursuant to certain program milestones being achieved or to royalty obligations, including the triggering of royalty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obligations and amounts to be paid pursuant thereto.</w:t>
      </w:r>
    </w:p>
    <w:p>
      <w:pPr>
        <w:spacing w:after="0" w:line="217"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200" w:lineRule="exact"/>
        <w:rPr>
          <w:sz w:val="20"/>
          <w:szCs w:val="20"/>
          <w:color w:val="auto"/>
        </w:rPr>
      </w:pPr>
    </w:p>
    <w:p>
      <w:pPr>
        <w:spacing w:after="0" w:line="262"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and our collaborators rely on third parties to manufacture certain of our clinical product supplies, and we may have to rely on third parties to produce and process our product candidates, if approved.</w:t>
      </w:r>
    </w:p>
    <w:p>
      <w:pPr>
        <w:spacing w:after="0" w:line="15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Although we expect to continue using our own clinical manufacturing facilities where available, we also rely on outside vendors to manufacture supplies and process our product candidates. We only manufacture our COVID-19 vaccine on a commercial scale and may not be able to achieve commercial-scale manufacturing and processing for our other product candidates, if approved, and may be unable to create an inventory of mass-produced, off-the-shelf product to satisfy demands for our product candidates, if approved.</w:t>
      </w:r>
    </w:p>
    <w:p>
      <w:pPr>
        <w:spacing w:after="0" w:line="23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not be able to develop commercially viable products other than our COVID-19 vaccine.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addition, our reliance on a limited number of CMOs exposes us to the following risks:</w:t>
      </w:r>
    </w:p>
    <w:p>
      <w:pPr>
        <w:spacing w:after="0" w:line="333"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identify manufacturers on acceptable terms or at all because the number of potential manufacturers is limited and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23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might be unable to timely formulate and manufacture our product or produce the quantity and quality required to meet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and commercial needs, if any;</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128</w:t>
            </w:r>
          </w:p>
        </w:tc>
      </w:tr>
    </w:tbl>
    <w:p>
      <w:pPr>
        <w:sectPr>
          <w:pgSz w:w="11900" w:h="16838" w:orient="portrait"/>
          <w:cols w:equalWidth="0" w:num="1">
            <w:col w:w="11240"/>
          </w:cols>
          <w:pgMar w:left="320" w:top="166" w:right="339" w:bottom="1440" w:gutter="0" w:footer="0" w:header="0"/>
        </w:sectPr>
      </w:pPr>
    </w:p>
    <w:bookmarkStart w:id="136" w:name="page137"/>
    <w:bookmarkEnd w:id="13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CMOs may not be able to execute our manufacturing procedures appropriately;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future CMOs may not perform as agreed or may not remain in the contract manufacturing business for the time required to supply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or to successfully produce, store and distribute our products;</w:t>
      </w:r>
    </w:p>
    <w:p>
      <w:pPr>
        <w:spacing w:after="0" w:line="21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manufacturers are subject to ongoing periodic unannounced inspection by the FDA, the U.S. Drug Enforcement Administration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corresponding state agencies and by regulatory authorities in other jurisdictions to ensure strict compliance with GMP and other government regulations and corresponding standards in other jurisdictions. We do not have control over CMOs’ compliance with these regulations and standards;</w:t>
      </w:r>
    </w:p>
    <w:p>
      <w:pPr>
        <w:spacing w:after="0" w:line="200" w:lineRule="exact"/>
        <w:rPr>
          <w:sz w:val="20"/>
          <w:szCs w:val="20"/>
          <w:color w:val="auto"/>
        </w:rPr>
      </w:pPr>
    </w:p>
    <w:p>
      <w:pPr>
        <w:spacing w:after="0" w:line="285"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not own, or may have to share, the intellectual property rights to any improvements made in the manufacturing process for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could breach or terminate their agreement with us;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would also be subject to the same risks we face in developing our own manufacturing capabilities, as described above.</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Each of these risks could delay our clinical trials, the approval, if any, of our COVID-19 vaccine or product candidates by the FDA or regulatory authorities in other jurisdictions or the commercialization of our COVID-19 vaccine or product candidates, or result in higher costs or deprive us of potential product sales revenue. In addition, we will rely on third parties to perform release tests on our COVID-19 or our product candidates prior to delivery to patients. If these tests are not appropriately done and test data are not reliable, patients could be put at risk of serious harm.</w:t>
      </w:r>
    </w:p>
    <w:p>
      <w:pPr>
        <w:spacing w:after="0" w:line="200" w:lineRule="exact"/>
        <w:rPr>
          <w:sz w:val="20"/>
          <w:szCs w:val="20"/>
          <w:color w:val="auto"/>
        </w:rPr>
      </w:pPr>
    </w:p>
    <w:p>
      <w:pPr>
        <w:spacing w:after="0" w:line="29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and certain of our collaborators currently rely on CMOs located outside of the United States to manufacture their clinical materials. Such ex-U.S. CMOs may be subject to or affected by U.S. legislation, executive orders, regulations, or investigations, including but not limited to the proposed BIOSECURE Act, the Department of Justice’s Final Rule issued on December 27, 2024 implementing the Executive Order on Preventing Access to Americans’ Bulk Sensitive Personal Data and United States Government-Related Data by Countries of Concern, sanctions, trade restrictions and other U.S. and other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potential therapies and adversely affect our financial condition and business prospects.</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dependent on single source suppliers for some of the components and materials used in, and the processes required to develop, our COVID-19 vaccine and our product candidates.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currently depend on single source suppliers for some of the components and materials used in, and manufacturing processes required to develop, our COVID-19 vaccine and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129</w:t>
            </w:r>
          </w:p>
        </w:tc>
      </w:tr>
    </w:tbl>
    <w:p>
      <w:pPr>
        <w:sectPr>
          <w:pgSz w:w="11900" w:h="16838" w:orient="portrait"/>
          <w:cols w:equalWidth="0" w:num="1">
            <w:col w:w="11240"/>
          </w:cols>
          <w:pgMar w:left="320" w:top="166" w:right="339" w:bottom="1440" w:gutter="0" w:footer="0" w:header="0"/>
        </w:sectPr>
      </w:pPr>
    </w:p>
    <w:bookmarkStart w:id="137" w:name="page138"/>
    <w:bookmarkEnd w:id="13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COVID-19 vaccine and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COVID-19 vaccine and our product candidates, any interruption or delay in the supply of components or materials, or our inability to obtain components or materials from alternate sources at acceptable prices in a timely manner, could impair our ability to meet the demand for our COVID-19 vaccine and product candidates.</w:t>
      </w:r>
    </w:p>
    <w:p>
      <w:pPr>
        <w:spacing w:after="0" w:line="200" w:lineRule="exact"/>
        <w:rPr>
          <w:sz w:val="20"/>
          <w:szCs w:val="20"/>
          <w:color w:val="auto"/>
        </w:rPr>
      </w:pPr>
    </w:p>
    <w:p>
      <w:pPr>
        <w:spacing w:after="0" w:line="30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In addition, as part of the FDA’s approval of our product candidates, we will also require FDA review of the individual components of our process, which include the manufacturing processes and facilities of our single source suppliers.</w:t>
      </w:r>
    </w:p>
    <w:p>
      <w:pPr>
        <w:spacing w:after="0" w:line="217"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reliance on these suppliers, service providers and manufacturers subjects us to a number of risks that could harm our reputation, business and financial condition, including, among other things: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to the development timelines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interruption of supply resulting from modifications to or discontinuation of a supplier’s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in product shipments resulting from uncorrected defects, reliability issues, or a supplier’s variation in a component;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lack of long-term supply arrangements for key components with our suppliers;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inability to obtain adequate supply in a timely manner, or to obtain adequate supply on commercially reasonable terms;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difficulty and cost associated with locating and qualifying alternative suppliers for our components in a timely manner;</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delays related to the evaluation and testing of components from alternative suppliers, and corresponding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qualifications;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 in delivery due to our suppliers’ prioritizing other customer orders over ours;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130</w:t>
            </w:r>
          </w:p>
        </w:tc>
      </w:tr>
    </w:tbl>
    <w:p>
      <w:pPr>
        <w:sectPr>
          <w:pgSz w:w="11900" w:h="16838" w:orient="portrait"/>
          <w:cols w:equalWidth="0" w:num="1">
            <w:col w:w="11240"/>
          </w:cols>
          <w:pgMar w:left="320" w:top="166" w:right="339" w:bottom="1440" w:gutter="0" w:footer="0" w:header="0"/>
        </w:sectPr>
      </w:pPr>
    </w:p>
    <w:bookmarkStart w:id="138" w:name="page139"/>
    <w:bookmarkEnd w:id="13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damage to our reputation caused by defective components produced by our suppliers;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fluctuation in delivery by our suppliers due to changes in demand from us or their other customers.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any of these risks materialize, costs could significantly increase and our ability to meet demand for our products could be impacted.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Intellectual Property</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15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Our commercial success depends in part on our ability to obtain, maintain, protect, defend and enforce patent and other intellectual property, including trade secret and know-how, protection for our COVID-19 vaccine and for our product candidates, proprietary technologies and their uses, as well as our ability to operate, develop, manufacture and commercialize our COVID-19 vaccine or one or more of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European Union, the United States and elsewhere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any claim in our issued patents will not be found invalid or unenforceable if challenged. Accordingly, there can be no assurance that our patent applications or those of our licensors will result in additional patents being issued or that issued patents will adequately cover our COVID-19 vaccine or our product candidates, or otherwise afford sufficient protection against competitors with similar technology, nor can there be any assurance that issued patents will not be infringed, designed around, invalidated or held unenforceable. Furthermore, we may not be able to apply for patents on certain aspects of our current or future products or product candidates, proprietary technologies and their uses in a timely fashion, at a reasonable cost, in all jurisdictions, or at all, and any potential patent protection we obtain may not be sufficient to prevent substantial competition.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Even claims of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products, product candidates and proprietary technologies and erode or negate any competitive advantage we may have, which could have a material adverse effect on our financial condition and results of operations.</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131</w:t>
            </w:r>
          </w:p>
        </w:tc>
      </w:tr>
    </w:tbl>
    <w:p>
      <w:pPr>
        <w:sectPr>
          <w:pgSz w:w="11900" w:h="16838" w:orient="portrait"/>
          <w:cols w:equalWidth="0" w:num="1">
            <w:col w:w="11240"/>
          </w:cols>
          <w:pgMar w:left="320" w:top="166" w:right="339" w:bottom="1440" w:gutter="0" w:footer="0" w:header="0"/>
        </w:sectPr>
      </w:pPr>
    </w:p>
    <w:bookmarkStart w:id="139" w:name="page140"/>
    <w:bookmarkEnd w:id="13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products or product candidates, proprietary technologies (including methods of manufacture) and their uses. These risks and uncertainties include, from time to time, the following:</w:t>
      </w:r>
    </w:p>
    <w:p>
      <w:pPr>
        <w:spacing w:after="0" w:line="23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USPTO and various other governmental patent agencies require compliance with a number of procedural, documentary, fee payment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other provisions during the patenting process, the noncompliance with which can result in abandonment or lapse of a patent or patent application or a finding that a patent is unenforceable, and partial or complete loss of patent rights in the relevant jurisdiction;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patent applications may not result in any patents being issued;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claims of issued patents that we own (solely or jointly) or have in-licensed may be challenged, invalidated, modified, revoked,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circumvented, found to be unenforceable or otherwise may not provide any competitive advantage;</w:t>
      </w:r>
    </w:p>
    <w:p>
      <w:pPr>
        <w:spacing w:after="0" w:line="216"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parties may have designed around our patent claims or developed technologies that may be related or competitive to our COVID-19</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vaccine or to our product candidates or other technologies, may have filed or may file patent applications and may have received or may receive patents that overlap or conflict with our patent filings, either by claiming the same or overlapping methods, products, reagents, tools or devices or by claiming subject matter that could dominate one or more of our patent claims;</w:t>
      </w:r>
    </w:p>
    <w:p>
      <w:pPr>
        <w:spacing w:after="0" w:line="235"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successful opposition to claims of any patents owned by or in-licensed to us could deprive us of rights necessary for the development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exploitation of our COVID-19 vaccine or our product candidates and other technologies, or the successful commercialization of any product candidates and other technologies that we may develop;</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because patent applications in the United States and most other jurisdictions are confidential for a period of time after filing, we cannot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certain that we, our co-owners or our licensors were the first to file any patent application related to our product candidates, proprietary technologies and their uses;</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court or patent office proceeding, such as a derivative action or interference, can be provoked or instituted by a third party or a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office, and might determine that one or more of the inventions described in our patent filings, or in those we licensed, was first invented by someone else, so that we may lose rights to such invention(s);</w:t>
      </w:r>
    </w:p>
    <w:p>
      <w:pPr>
        <w:spacing w:after="0" w:line="23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court or other patent proceeding, such as an inter partes review, post grant review or opposition, can be instituted by a third party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 the inventorship, scope, validity and/or enforceability of our patent claims and might result in invalidation or revision of one or more of our patent claims, or in a determination that such claims are unenforceable;</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132</w:t>
            </w:r>
          </w:p>
        </w:tc>
      </w:tr>
    </w:tbl>
    <w:p>
      <w:pPr>
        <w:sectPr>
          <w:pgSz w:w="11900" w:h="16838" w:orient="portrait"/>
          <w:cols w:equalWidth="0" w:num="1">
            <w:col w:w="11240"/>
          </w:cols>
          <w:pgMar w:left="320" w:top="166" w:right="339" w:bottom="1440" w:gutter="0" w:footer="0" w:header="0"/>
        </w:sectPr>
      </w:pPr>
    </w:p>
    <w:bookmarkStart w:id="140" w:name="page141"/>
    <w:bookmarkEnd w:id="14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there may be significant pressure on the U.S. government and international governmental bodies to limit the scope of patent protection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both inside and outside the United States for disease treatments that prove successful, as a matter of public policy regarding worldwide health concerns; existing legislation (for example, in the United States, the Public Readiness and Emergency Preparedness Act, etc.) may be interpreted, and new legislation may be passed, to permit third-party use of patented technologies relating to a public health concern, with little or no compensation to the patent holder(s); and</w:t>
      </w:r>
    </w:p>
    <w:p>
      <w:pPr>
        <w:spacing w:after="0" w:line="240"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countries other than the United States may have patent laws less favorable to patentees than those upheld by U.S. courts, allowing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competitors a better opportunity to create, develop and market competing product candidates.</w:t>
      </w:r>
    </w:p>
    <w:p>
      <w:pPr>
        <w:spacing w:after="0" w:line="21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other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or EU laws, and those countries may lack adequate rules and procedures for granting, maintaining, protecting, defending and enforcing our intellectual property rights.</w:t>
      </w:r>
    </w:p>
    <w:p>
      <w:pPr>
        <w:spacing w:after="0" w:line="200" w:lineRule="exact"/>
        <w:rPr>
          <w:sz w:val="20"/>
          <w:szCs w:val="20"/>
          <w:color w:val="auto"/>
        </w:rPr>
      </w:pPr>
    </w:p>
    <w:p>
      <w:pPr>
        <w:spacing w:after="0" w:line="30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Furthermore, the patent prosecution process is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if any of these parties were to breach such agreements and improperly disclose such output before a patent application is filed, this could jeopardize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133</w:t>
            </w:r>
          </w:p>
        </w:tc>
      </w:tr>
    </w:tbl>
    <w:p>
      <w:pPr>
        <w:sectPr>
          <w:pgSz w:w="11900" w:h="16838" w:orient="portrait"/>
          <w:cols w:equalWidth="0" w:num="1">
            <w:col w:w="11240"/>
          </w:cols>
          <w:pgMar w:left="320" w:top="166" w:right="339" w:bottom="1440" w:gutter="0" w:footer="0" w:header="0"/>
        </w:sectPr>
      </w:pPr>
    </w:p>
    <w:bookmarkStart w:id="141" w:name="page142"/>
    <w:bookmarkEnd w:id="14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our product(s) or product candidates, or which effectively prevent others from commercializing competitive technologies and products. As a result, our intellectual property may not provide us with sufficient rights to exclude others from commercializing products similar or identical to ours.</w:t>
      </w:r>
    </w:p>
    <w:p>
      <w:pPr>
        <w:spacing w:after="0" w:line="200" w:lineRule="exact"/>
        <w:rPr>
          <w:sz w:val="20"/>
          <w:szCs w:val="20"/>
          <w:color w:val="auto"/>
        </w:rPr>
      </w:pPr>
    </w:p>
    <w:p>
      <w:pPr>
        <w:spacing w:after="0" w:line="30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Furthermore, patents or other intellectual property rights that we may be able to secure for our COVID-19 vaccine or our other COVID-19 vaccine candidates could be restricted or preempted if governments determine that they will not enforce, or will require compulsory licensing of, technologies useful to address the spread of COVID-19.</w:t>
      </w:r>
    </w:p>
    <w:p>
      <w:pPr>
        <w:spacing w:after="0" w:line="23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technical personnel, and other employees even if the eventual outcome is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134</w:t>
            </w:r>
          </w:p>
        </w:tc>
      </w:tr>
    </w:tbl>
    <w:p>
      <w:pPr>
        <w:sectPr>
          <w:pgSz w:w="11900" w:h="16838" w:orient="portrait"/>
          <w:cols w:equalWidth="0" w:num="1">
            <w:col w:w="11240"/>
          </w:cols>
          <w:pgMar w:left="320" w:top="166" w:right="339" w:bottom="1440" w:gutter="0" w:footer="0" w:header="0"/>
        </w:sectPr>
      </w:pPr>
    </w:p>
    <w:bookmarkStart w:id="142" w:name="page143"/>
    <w:bookmarkEnd w:id="14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degree of future protection for our intellectual property and other proprietary rights is uncertain, and we cannot ensure that:</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our patents, or any of our pending patent applications, if issued, or those of our licensors, will include claims having a scope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sufficient to protect our product(s), our product candidates and other technologies;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our pending patent applications or those of our licensors may issue as patents;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will not or may not be able to make, use, offer to sell or sell products that are the same as or similar to our own but that are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covered by the claims of the patents that we own or license;</w:t>
      </w:r>
    </w:p>
    <w:p>
      <w:pPr>
        <w:spacing w:after="0" w:line="216"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will be able to successfully commercialize our products on a substantial scale, if approved, before the relevant patents that we own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license expire;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were the first to make the inventions covered by each of the patents and pending patent applications that we own or license;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were the first to file patent applications for these inventions;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will not develop similar or alternative products or technologies that do not infringe the patents we own or license;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the claims of patents we own or license will be found to ultimately be valid and enforceable;</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patents issued to us or our licensors will provide a basis for an exclusive market for our commercially viable product candidates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technologies or will provide us with any competitive advantages;</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third party may not challenge the claims of patents we own or license and, if challenged, a court would hold that such patent claims are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valid, enforceable and infringed;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develop or in-license additional proprietary technologies that are patentable;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patents of others will not have an adverse effect on our ability to issue patents, or otherwise on our business;</w:t>
      </w:r>
    </w:p>
    <w:p>
      <w:pPr>
        <w:spacing w:after="0" w:line="333"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competitors do not conduct research, development, testing or commercialization activities in countries where we do not have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enforceable patent rights and then use the information learned from such activities to develop competitive products for sale in our major commercial markets;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will develop additional proprietary technologies, product(s) or product candidates that are separately patentable; and</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or our collaborators’, development and commercialization activities, including our manufacturing processes, or products will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infringe patents of our competitors or any other third parties, including any non-practicing entities or patent assertion entities.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135</w:t>
            </w:r>
          </w:p>
        </w:tc>
      </w:tr>
    </w:tbl>
    <w:p>
      <w:pPr>
        <w:sectPr>
          <w:pgSz w:w="11900" w:h="16838" w:orient="portrait"/>
          <w:cols w:equalWidth="0" w:num="1">
            <w:col w:w="11220"/>
          </w:cols>
          <w:pgMar w:left="320" w:top="166" w:right="359" w:bottom="1440" w:gutter="0" w:footer="0" w:header="0"/>
        </w:sectPr>
      </w:pPr>
    </w:p>
    <w:bookmarkStart w:id="143" w:name="page144"/>
    <w:bookmarkEnd w:id="14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Other companies or organizations may challenge our intellectual property rights or the intellectual property rights of our partners or may assert intellectual property rights that prevent us or our partners from developing and commercializing our COVID-19 vaccine or our product candidates and other technologies.</w:t>
      </w:r>
    </w:p>
    <w:p>
      <w:pPr>
        <w:spacing w:after="0" w:line="17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tools and methods including uses and manufacturing methods, or features or aspects of any of these. These issued patents and pending patent applications claim certain compositions of matter and methods relating to the discovery, development, testing, manufacture and commercialization of therapeutic modalities and our delivery technologies, including lipid nanoparticles, or LNPs. If we, our co-owners or our licensors are unable to obtain, maintain, protect, defend or enforce patent protection with respect to our products, product candidates and other technology and any other products, product candidates and technology that we may develop, our business, financial condition, results of operations and prospects could be materially harmed.</w:t>
      </w:r>
    </w:p>
    <w:p>
      <w:pPr>
        <w:spacing w:after="0" w:line="200" w:lineRule="exact"/>
        <w:rPr>
          <w:sz w:val="20"/>
          <w:szCs w:val="20"/>
          <w:color w:val="auto"/>
        </w:rPr>
      </w:pPr>
    </w:p>
    <w:p>
      <w:pPr>
        <w:spacing w:after="0" w:line="3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As the scientific fields mature, our known competitors and other third parties, many of whom have substantially greater resources than we do and many of whom have made significant investments in competing technologies, may seek or may have already obtained patents, and they have filed and will continue to file patent applications claiming inventions in the fields in the United States and elsewhere. This may limit, interfere with or eliminate our and our partners’ ability to make, use, sell, import or otherwise exploit our COVID-19 vaccine or our product candidates or other technologies.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200" w:lineRule="exact"/>
        <w:rPr>
          <w:sz w:val="20"/>
          <w:szCs w:val="20"/>
          <w:color w:val="auto"/>
        </w:rPr>
      </w:pPr>
    </w:p>
    <w:p>
      <w:pPr>
        <w:spacing w:after="0" w:line="30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our co-owners, our partners or our licensors may in the future become a party to patent proceedings or priority disputes in the United States, Europe or other jurisdictions. In the United States, the Leahy-Smith America Invents Act, or the America Invents Act,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w:t>
      </w:r>
    </w:p>
    <w:p>
      <w:pPr>
        <w:spacing w:after="0" w:line="200" w:lineRule="exact"/>
        <w:rPr>
          <w:sz w:val="20"/>
          <w:szCs w:val="20"/>
          <w:color w:val="auto"/>
        </w:rPr>
      </w:pPr>
    </w:p>
    <w:p>
      <w:pPr>
        <w:spacing w:after="0" w:line="304"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Additionally, we face ongoing COVID-19 vaccine-related patent litigation. Alnylam Pharmaceuticals Inc., or Alnylam, has brought litigation against us and Pfizer regarding U.S. Patent Nos. 11,245,933; 11,382,979; 11,633,479; 11,633,480; 11,612,657; and 11,590,229, the latter five of which are continuations of the ‘933 Patent. In addition, CureVac SE, or CureVac, has brought litigation against us in Germany regarding three European patents, 1857122B1, or EP’122, 3708668B1, or EP’668, and 4023755B1, or EP’755, and three German utility models, DE202015009961, DE202015009974, and DE202021004130, or the CureVac IP. BioNTech filed a nullity action in the Federal Patent Court of</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136</w:t>
            </w:r>
          </w:p>
        </w:tc>
      </w:tr>
    </w:tbl>
    <w:p>
      <w:pPr>
        <w:sectPr>
          <w:pgSz w:w="11900" w:h="16838" w:orient="portrait"/>
          <w:cols w:equalWidth="0" w:num="1">
            <w:col w:w="11240"/>
          </w:cols>
          <w:pgMar w:left="320" w:top="166" w:right="339" w:bottom="1440" w:gutter="0" w:footer="0" w:header="0"/>
        </w:sectPr>
      </w:pPr>
    </w:p>
    <w:bookmarkStart w:id="144" w:name="page145"/>
    <w:bookmarkEnd w:id="14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8"/>
          <w:szCs w:val="18"/>
          <w:color w:val="080509"/>
        </w:rPr>
        <w:t>Germany seeking a declaration that EP’122 is invalid, initiated cancellation actions against the CureVac IP in the German Patent and Trademark Office, and filed opposition proceedings in the European Patent Office, or EPO, seeking the revocation of EP’668 and EP’755. In the United States, CureVac asserts seven U.S. patents against us and Pfizer: U.S. Patent Nos. 11,135,312; 11,149,278; 10,760,070; 11,286,492; 11,345,920; 11,596,686, and 11,667,910. BioNTech and Pfizer also initiated proceedings seeking the revocation of EP’122, EP’668, and EP’755 in the Business and Property Courts of England and Wales; the U.K. designations of all three of these European patents have now been finally and unappealably revoked. ModernaTX, Inc., or Moderna, has brought litigation against us and Pfizer regarding European patents 3590949B1, or EP’949, and 3718565B1, or EP’565, in Germany, England and Wales, the Netherlands, Ireland, and Belgium, and regarding U.S. Patent Nos. 10,898,574, 10,702,600, and 10,933,127 in the United States. BioNTech and Pfizer also initiated proceedings seeking the revocation of EP’949 and EP’565 in the Business and Property Courts of England and Wales and have filed opposition proceedings in the EPO seeking the revocation of EP’949 and EP’565; the U.K. designation of EP’565 has been finally and unappealably revoked, BioNTech and Pfizer have filed petitions for inter partes review before the Patent Trial and Appeal Board in the United States with respect to U.S. Patent Nos. 10,702,600 and 10,933,127. Arbutus Biopharma Corp., or Arbutus, and Genevant Sciences GmbH, or Genevant, have brought litigation against us and Pfizer in the United States regarding U.S. Patent Nos. 9,504,651; 8,492,359; 11,141,378; 11,298,320; and 11,318,098. Promosome LLC, or Promosome, initiated litigation against us and Pfizer in the United States regarding U.S. Patent No. 8,853,179; it has since been dismissed with prejudice. Promosome has initiated litigation against us and Pfizer in the Unified Patent Court (Munich Division) regarding one European patent, EP 2 401 365. GlaxoSmithKline Biologicals SA and GlaxoSmithKline LLC, or collectively, GSK, have brought litigation against us and Pfizer in the United States regarding U.S. Patent Nos. 11,638,693, 11,638,694, 11,666,534, 11,766,401, 11,786,467, 11,759,422, 11,655,475, and 11,851,660, and in the High Court of Ireland, as well as the United Patent Court, regarding European Patent Nos. 2,590,626, 4,066,856, and 4,226,941. We cannot guarantee that we will not become subject to additional COVID-19 vaccine patent infringement lawsuits in the future. In addition, should Pfizer not prevail in any of the ongoing COVID-19 vaccine patent infringement lawsuits to which it is a party, Pfizer may seek to require us to indemnify Pfizer for losses suffered therefrom as well as any losses from future COVID-19 vaccine patent infringement lawsuits in which it does not prevail. We believe we have strong defenses against each of these claims and intend to vigorously defend ourselves in each proceeding, but we can make no assurances regarding the ultimate outcome of any of these matters. Additionally, as we continually evaluate these various proceedings, we may from time to time make strategic decisions to settle or otherwise resolve certain proceedings despite our continued belief in the strengths of our defenses.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080509"/>
        </w:rPr>
        <w:t>We expect that we will continue to be subject to similar proceedings or priority disputes, including oppositions, in Europe or other jurisdictions relating to patents and patent applications in our portfolio.</w:t>
      </w:r>
    </w:p>
    <w:p>
      <w:pPr>
        <w:jc w:val="both"/>
        <w:spacing w:after="0" w:line="320" w:lineRule="auto"/>
        <w:rPr>
          <w:sz w:val="20"/>
          <w:szCs w:val="20"/>
          <w:color w:val="auto"/>
        </w:rPr>
      </w:pPr>
      <w:r>
        <w:rPr>
          <w:rFonts w:ascii="Times New Roman" w:cs="Times New Roman" w:eastAsia="Times New Roman" w:hAnsi="Times New Roman"/>
          <w:sz w:val="18"/>
          <w:szCs w:val="18"/>
          <w:color w:val="080509"/>
        </w:rPr>
        <w:t>If we, our co-owners, our partners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Even if our rights are not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137</w:t>
            </w:r>
          </w:p>
        </w:tc>
      </w:tr>
    </w:tbl>
    <w:p>
      <w:pPr>
        <w:sectPr>
          <w:pgSz w:w="11900" w:h="16838" w:orient="portrait"/>
          <w:cols w:equalWidth="0" w:num="1">
            <w:col w:w="11240"/>
          </w:cols>
          <w:pgMar w:left="320" w:top="166" w:right="339" w:bottom="1440" w:gutter="0" w:footer="0" w:header="0"/>
        </w:sectPr>
      </w:pPr>
    </w:p>
    <w:bookmarkStart w:id="145" w:name="page146"/>
    <w:bookmarkEnd w:id="14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challenged, disputes could lead to the weakening of our intellectual property rights. Our defense against any attempt by third parties to circumvent or invalidate our intellectual property rights could be costly to us, could require significant time and attention of our management, technical personnel and other employees and could have a material adverse impact on our business and our ability to successfully compete against our current and future competitors.</w:t>
      </w:r>
    </w:p>
    <w:p>
      <w:pPr>
        <w:spacing w:after="0" w:line="23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There are many issued and pending patent filings that claim aspects of technologies that we may need for our mRNA products or product candidates, or other product candidates, including patent filings that relate to relevant delivery technologies. There are also many issued patents that claim targeting genes or portions of genes that may be relevant for immunotherapies we wish to develop. In addition, as evidenced by the lawsuits brought against Moderna, Pfizer and us, there may be additional issued and pending patent applications that may be asserted against us in a court proceeding or otherwise based upon the asserting party’s belief that we may need such patents for the development, manufacturing, testing and commercialization of our COVID-19 vaccine or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if we fail to invalidate relevant patents, or if a court or other governing body determines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testing and commercialization of one or more of the product candidates we may develop. Any of the foregoing could result in a material adverse effect on our business, financial condition, results of operations or prospects.</w:t>
      </w:r>
    </w:p>
    <w:p>
      <w:pPr>
        <w:spacing w:after="0" w:line="200" w:lineRule="exact"/>
        <w:rPr>
          <w:sz w:val="20"/>
          <w:szCs w:val="20"/>
          <w:color w:val="auto"/>
        </w:rPr>
      </w:pPr>
    </w:p>
    <w:p>
      <w:pPr>
        <w:spacing w:after="0" w:line="27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may not be successful in obtaining, maintaining, protecting or defending the necessary intellectual property rights to allow us to identify and develop product candidates, and test product components and manufacturing processes for our development pipeline.</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currently have rights to certain intellectual property through our owned and in-licensed patents and other intellectual property rights relating to identification, development and testing of our product candidates or other technologies. As our activities may involve additional product candidates or services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138</w:t>
            </w:r>
          </w:p>
        </w:tc>
      </w:tr>
    </w:tbl>
    <w:p>
      <w:pPr>
        <w:sectPr>
          <w:pgSz w:w="11900" w:h="16838" w:orient="portrait"/>
          <w:cols w:equalWidth="0" w:num="1">
            <w:col w:w="11240"/>
          </w:cols>
          <w:pgMar w:left="320" w:top="166" w:right="339" w:bottom="1440" w:gutter="0" w:footer="0" w:header="0"/>
        </w:sectPr>
      </w:pPr>
    </w:p>
    <w:bookmarkStart w:id="146" w:name="page147"/>
    <w:bookmarkEnd w:id="14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advantage over us due to their size, cash resources, and greater clinical development and commercialization capabilities.</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sometimes collaborate with academic institutions and/or utilize services of CROs and CMOs in certain aspects of our research or development under written agreements with these parties. These agreements may not ensure protection of intellectual property rights in developed technology, or may fail to provide us with sufficient control of or access to such intellectual property rights. For example, agreements with these academic institutions typically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 CROs and/or CMOs may control certain technologies that were utilized in and/or developed through work on our behalf, and may not pursue protection of such technologies, or may provide us with only non-exclusive rights in such technologies, so that relevant technologies may be shared with other parties including our competitors. In any relationship with a third party, there is a risk of disagreement over intellectual property rights (including inventorship or ownership of, rights to protect and/or enforce, and/or rights to use) in utilized or developed technologies.</w:t>
      </w:r>
    </w:p>
    <w:p>
      <w:pPr>
        <w:spacing w:after="0" w:line="200" w:lineRule="exact"/>
        <w:rPr>
          <w:sz w:val="20"/>
          <w:szCs w:val="20"/>
          <w:color w:val="auto"/>
        </w:rPr>
      </w:pPr>
    </w:p>
    <w:p>
      <w:pPr>
        <w:spacing w:after="0" w:line="312"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3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The lifespans of our patents may not be sufficient to effectively protect our products or product candidates, technologies and business.</w:t>
      </w:r>
    </w:p>
    <w:p>
      <w:pPr>
        <w:spacing w:after="0" w:line="21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Patents have a limited lifespan. In the United States, the natural expiration of a patent is generally 20 years after its first effective non-provisional filing date, assuming maintenance fees are timely paid after the patent has issued. Most other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139</w:t>
            </w:r>
          </w:p>
        </w:tc>
      </w:tr>
    </w:tbl>
    <w:p>
      <w:pPr>
        <w:sectPr>
          <w:pgSz w:w="11900" w:h="16838" w:orient="portrait"/>
          <w:cols w:equalWidth="0" w:num="1">
            <w:col w:w="11240"/>
          </w:cols>
          <w:pgMar w:left="320" w:top="166" w:right="339" w:bottom="1440" w:gutter="0" w:footer="0" w:header="0"/>
        </w:sectPr>
      </w:pPr>
    </w:p>
    <w:bookmarkStart w:id="147" w:name="page148"/>
    <w:bookmarkEnd w:id="14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The USPTO can also require, in certain circumstances, that the expiration date of a subject patent be shortened by the filing of a terminal disclaimer over one or more patents that may expire sooner than the subject patent.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do not obtain patent term extension and data exclusivity for any product candidates we may develop, our business may be materially harmed.</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for a drug product subject to the provisions of the Hatch-Waxman Act.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did not extend any patent for our COVID-19 vaccine.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If we fail to comply, or are viewed to have failed to comply, with our obligations in the agreements under which we license intellectual property rights from third parties or otherwise experience disruptions to our business relationships with our licensors or other third parties, we could lose license rights that are important to our business or suffer monetary losses.</w:t>
      </w:r>
    </w:p>
    <w:p>
      <w:pPr>
        <w:spacing w:after="0" w:line="180"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We are heavily reliant upon licenses to certain intellectual property and other proprietary rights from third parties that are important or necessary to the development and commercialization of our technology and product(s) or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test, or commercialize our technology and products in the future. As a result, we may not be</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140</w:t>
            </w:r>
          </w:p>
        </w:tc>
      </w:tr>
    </w:tbl>
    <w:p>
      <w:pPr>
        <w:sectPr>
          <w:pgSz w:w="11900" w:h="16838" w:orient="portrait"/>
          <w:cols w:equalWidth="0" w:num="1">
            <w:col w:w="11240"/>
          </w:cols>
          <w:pgMar w:left="320" w:top="166" w:right="339" w:bottom="1440" w:gutter="0" w:footer="0" w:header="0"/>
        </w:sectPr>
      </w:pPr>
    </w:p>
    <w:bookmarkStart w:id="148" w:name="page149"/>
    <w:bookmarkEnd w:id="14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able to prevent competitors from developing and commercializing competitive products in territories included in any or all of our licenses.</w:t>
      </w:r>
    </w:p>
    <w:p>
      <w:pPr>
        <w:spacing w:after="0" w:line="33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or that arises through collaboration with, such third parties, or such activities, if controlled by us, may require the input of such third parties. In some cases, patent prosecution (including preparation and filing) of our in-licensed intellectual property or of intellectual property developed through collaboration, is controlled solely by the licensor or collaborator. We may also require the agreement and/or cooperation of our licensors and collaborators to protect, enforce, utilize, or defend any in-licensed patent rights, and such agreement and/or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If we and our licensors or collaborators disagree over IP protection strategies for relevant technologies, disputes may arise, and we could lose access to or control over protection of technologies important to our business. If so, we may not be able to adequately protect our product(s) or product candidates, including not being able to prevent a competitor or other third party from developing the same product(s) or product candidates for the same or a different use.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Moreover, we may disagree from time to time with licensors or collaborators regarding, among other things, the interpretation of each party’s obligations or the amounts payable under our agreements. For example, we were in discussions with the University of Pennsylvania, or UPenn, and the National Institutes of Health, or the NIH, concerning royalties and other related amounts allegedly owed on sales of our COVID-19 vaccine since commercialization. UPenn subsequently filed suit against us in the U.S. District Court for the Eastern District of Pennsylvania in connection with this dispute. On December 20, 2024, we entered into a Settlement Agreement with the NIH pursuant to which we agreed, among other things, to pay $791.5 million to the NIH. On March 27, 2025, we entered into a Settlement Agreement with UPenn pursuant to which we agreed, among other things, to pay up to $467.0 million to UPenn, consisting of $400.0 million as royalties for calendar years 2020-2023, up to $15.0 million in funding for a three-year extension of the research term of our and UPenn’s vaccine alliance, and $52.0 million as a contribution to a research and development investment fund to be jointly managed by us and UPenn.</w:t>
      </w:r>
    </w:p>
    <w:p>
      <w:pPr>
        <w:spacing w:after="0" w:line="23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 we are found to have failed to satisfy obligations or materially breached any of our agreements, such as licenses to third-party intellectual or any disagreements between us and our licensors, a licensor could potentially have the right or reason to terminate the license, to exercise the option of a non-exclusive license, which would allow our competitors to have access to the same intellectual property</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141</w:t>
            </w:r>
          </w:p>
        </w:tc>
      </w:tr>
    </w:tbl>
    <w:p>
      <w:pPr>
        <w:sectPr>
          <w:pgSz w:w="11900" w:h="16838" w:orient="portrait"/>
          <w:cols w:equalWidth="0" w:num="1">
            <w:col w:w="11240"/>
          </w:cols>
          <w:pgMar w:left="320" w:top="166" w:right="339" w:bottom="1440" w:gutter="0" w:footer="0" w:header="0"/>
        </w:sectPr>
      </w:pPr>
    </w:p>
    <w:bookmarkStart w:id="149" w:name="page150"/>
    <w:bookmarkEnd w:id="14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and technology licensed to us. Our existing license agreements impose, and we expect that future license agreements will impose, various diligence, milestone and royalty payment, exclusivity and other obligations on us. If we fail to comply with our obligations under these agreements, including royalty payments, or we are subject to a bankruptcy, the licensor may have the right to terminate the license agreement, in which event we would not be able to develop, market and commercialize product(s) or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test and commercialize the product(s) or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rightfully terminated, or if the underlying patents or other intellectual property fail to provide the intended exclusivity, competitors would have the freedom to seek regulatory approval of, and to market and commercialize, products similar or identical to ours, and our licensors may be able to seek additional judicial remedies.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 Failure to prevail with respect to any contractual disagreements could result in a material adverse effect on our competitive position, business, financial conditions, results of operations or prospects, particularly if discussions result in legal or other dispute resolution proceedings.</w:t>
      </w:r>
    </w:p>
    <w:p>
      <w:pPr>
        <w:spacing w:after="0" w:line="200" w:lineRule="exact"/>
        <w:rPr>
          <w:sz w:val="20"/>
          <w:szCs w:val="20"/>
          <w:color w:val="auto"/>
        </w:rPr>
      </w:pPr>
    </w:p>
    <w:p>
      <w:pPr>
        <w:spacing w:after="0" w:line="31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test, market and commercialize our product(s) or product candidates could suffer. Moreover, if disputes over intellectual property that we have in-licensed prevent or impair our ability to maintain our current licensing arrangements on commercially acceptable terms, we may be unable to successfully develop, test, market and commercialize the affected product(s) or product candidates, which could have a material adverse effect on our business, financial condition, results of operations and prospects.</w:t>
      </w:r>
    </w:p>
    <w:p>
      <w:pPr>
        <w:spacing w:after="0" w:line="19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17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Certain intellectual property rights that have been in-licensed, including patent applications and patents that we in-license from the University of Pennsylvania, the Louisiana State University, the Broad Institute, the NIH, Genevant, and CellScript, have been generated through the use of U.S. government funding and are therefore subject to certain federal regulations. The U.S. government may have certain rights to intellectual property embodied in our current or future product candidates pursuant to the Bayh-Dole Act of 1980, or the Bayh-Dole Act. These U.S. government rights may include a non-exclusive, non-transferable, irrevocable worldwide license to use inventions covered by that Act for any governmental purpose. In addition, the U.S. government may have the right, under certain limited circumstances, to require the licensor to grant exclusive, partially exclusive or non-exclusive licenses to any of these inventions to a third party if it determines that (i) adequate steps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142</w:t>
            </w:r>
          </w:p>
        </w:tc>
      </w:tr>
    </w:tbl>
    <w:p>
      <w:pPr>
        <w:sectPr>
          <w:pgSz w:w="11900" w:h="16838" w:orient="portrait"/>
          <w:cols w:equalWidth="0" w:num="1">
            <w:col w:w="11240"/>
          </w:cols>
          <w:pgMar w:left="320" w:top="166" w:right="339" w:bottom="1440" w:gutter="0" w:footer="0" w:header="0"/>
        </w:sectPr>
      </w:pPr>
    </w:p>
    <w:bookmarkStart w:id="150" w:name="page151"/>
    <w:bookmarkEnd w:id="15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may also have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the U.S. government requires that any products embodying any such inventions or produced through the use of any such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or our licensors are unable to secure an exemption to these manufacturing requirements, if we comply with them, or if we are unable to comply with them, we may experience a material adverse effect on our competitive position, business, financial conditions, results of operations and prospects.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Our current proprietary position for certain products and product candidates depends upon our owned or in-licensed patent filings covering components, manufacturing-related methods, formulations and/or methods of use, which may not adequately prevent a competitor or other third party from using the same product candidate for the same or a different use.</w:t>
      </w:r>
    </w:p>
    <w:p>
      <w:pPr>
        <w:spacing w:after="0" w:line="17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Composition of matter patent protection is generally considered to be desirable because it provides protection without regard to any particular method of use or manufacture or formulation. While we have pursued or obtained patent protection covering components of certain product candidates and tests, manufacturing-related methods, formulations and/or methods of use, we have not yet obtained patent protection for all components of certain product candidates and tests, manufacturing-related methods, formulations and/or methods of use. For instance, we do not currently have any claims in our owned or in-licensed issued U.S. patents that cover the overall construct used in our iNeST product candidates. We also cannot be certain that claims in any future patents issuing from our pending owned or in-licensed patent applications or our future owned or in-licensed patent applications will cover the composition of matter, tests, manufacturing-related methods, formulations and/or methods of use of our current or future product candidates. Method of use patents protect the use of a product for the specified method and formulation patents cover formulations to deliver therapeutics. These types of patents do not prevent a competitor or other third party from developing, testing,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143</w:t>
            </w:r>
          </w:p>
        </w:tc>
      </w:tr>
    </w:tbl>
    <w:p>
      <w:pPr>
        <w:sectPr>
          <w:pgSz w:w="11900" w:h="16838" w:orient="portrait"/>
          <w:cols w:equalWidth="0" w:num="1">
            <w:col w:w="11240"/>
          </w:cols>
          <w:pgMar w:left="320" w:top="166" w:right="339" w:bottom="1440" w:gutter="0" w:footer="0" w:header="0"/>
        </w:sectPr>
      </w:pPr>
    </w:p>
    <w:bookmarkStart w:id="151" w:name="page152"/>
    <w:bookmarkEnd w:id="15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of method of use patents, the practice is common and this type of infringement is difficult to prevent or enforce. Consequently, we may not be able to prevent third parties from practicing our inventions in the United States or abroad.</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Intellectual property rights of third parties could adversely affect our ability to commercialize our product(s) and product candidates, and we might be required to litigate or obtain licenses from third parties in order to develop, test or market our product(s) and product candidates.</w:t>
      </w:r>
    </w:p>
    <w:p>
      <w:pPr>
        <w:spacing w:after="0" w:line="38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8"/>
          <w:szCs w:val="18"/>
          <w:color w:val="080509"/>
        </w:rPr>
        <w:t>Because our products and product candidates are still in early stages of development, testing or commercialization, and one or more features of the products or product candidates, or related technologies such as their manufacture, formulation, testing or use, may still change, we cannot be confident that we are aware of all third-party intellectual property that might be relevant to products that we eventually hope to commercialize. Furthermore, even if all aspects of our product(s) or product candidates, or of other technology, were known, it is possible that third-party intellectual property, which may or may not currently be public, could develop in a manner (for example, through issuance of additional patents) that could impede our ability to make or use relevant products or product candidates, or other technology.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or BLA is submitted. Accordingly, after such submission (including for certain formulations of our COVID-19 vaccine), the 271(e)(1) safe harbor may no longer provide the same level of protection from third party patent infringement claims for that product. We may become exposed to lawsuits from third parties who consider our COVID-19 vaccine to infringe their patents. More generally, given the uncertainty of clinical trials, we cannot be certain of the timing of their completion and it is possible that we might want to submit an NDA or BLA at a time when one or more relevant third-party patents is in force. Thus, it is possible that at the time that we commercialize our product candidates, one or more third parties may have issued patent claims that cover such products or critical features of their production, testing or use. We may not be able to commercialize our products if patents issued to third parties or other third-party intellectual property rights cover, or may be alleged to cover, our products or elements thereof, or their methods of manufacture, testing or use at the time that we seek to commercialize them. In such cases, we may not be in a position to develop, test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licenses could not be available on commercially reasonable terms or at all, and design-around could be prohibitively expensive or impossible.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Additionally, with respect to our products, product candidates and related technologies that may play a role in addressing a pandemic or other public health emergency, it is unclear whether governments around the world will protect vaccine manufacturers for liability from infringement of third party intellectual property, at least during the period of such public health emergency. Thus, it is possible that third parties may assert intellectual property rights against us relating to our COVID-19 vaccine, and that we will not be successful in arguing that commercialization of our COVID-19 vaccine is exempted from infringement and/or liability for infringement (for example, under 35 U.S.C. § 271(e)(1), discussed above, or under the Public Readiness and Emergency Preparedness Act, or the PREP Act, etc.). Furthermore, even if such commercialization was deemed protected from infringement during the period of the pandemic crisis, now that various global and U.S. agencies have declared an end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144</w:t>
            </w:r>
          </w:p>
        </w:tc>
      </w:tr>
    </w:tbl>
    <w:p>
      <w:pPr>
        <w:sectPr>
          <w:pgSz w:w="11900" w:h="16838" w:orient="portrait"/>
          <w:cols w:equalWidth="0" w:num="1">
            <w:col w:w="11240"/>
          </w:cols>
          <w:pgMar w:left="320" w:top="166" w:right="339" w:bottom="1440" w:gutter="0" w:footer="0" w:header="0"/>
        </w:sectPr>
      </w:pPr>
    </w:p>
    <w:bookmarkStart w:id="152" w:name="page153"/>
    <w:bookmarkEnd w:id="15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 global COVID-19 public health emergency, any such exemption may be terminated so that continuing commercialization could expose us to liability, and might even be precluded if third party(ies) who hold relevant intellectual property rights are able to secure injunction(s) or are unwilling to license to us on commercially feasible terms.</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It is also possible that we have failed to identify relevant third-party patents that cover, or applications that will mature into patents that cover, one or more aspects of our platform or product(s) and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may be involved in lawsuits or other legal proceedings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17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There is a substantial amount of litigation, both within and outside the United States, involving patent and other intellectual property rights in the biotechnology and pharmaceutical industries, including patent infringement lawsuits, interferences, oppositions, ex parte reexaminations, post-grant review, and inter partes review proceedings before the USPTO and corresponding European and other non-U.S. patent offices.</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inter partes review proceedings against issued U.S. patents and opposition proceedings against European patents owned by third parties. We have a number of opposition proceedings ongoing at the EPO against third-party patents related to mRNA technologies. As the biotechnology and pharmaceutical industries expand and more patents are issued, the risk increases that our products, product candidates and services may be subject to claims of infringement of the patent rights of third parties.</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 enforce a patent directed at one of our product(s) and/or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novelty, non-obviousness, enablement or written description.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145</w:t>
            </w:r>
          </w:p>
        </w:tc>
      </w:tr>
    </w:tbl>
    <w:p>
      <w:pPr>
        <w:sectPr>
          <w:pgSz w:w="11900" w:h="16838" w:orient="portrait"/>
          <w:cols w:equalWidth="0" w:num="1">
            <w:col w:w="11240"/>
          </w:cols>
          <w:pgMar w:left="320" w:top="167" w:right="339" w:bottom="1440" w:gutter="0" w:footer="0" w:header="0"/>
        </w:sectPr>
      </w:pPr>
    </w:p>
    <w:bookmarkStart w:id="153" w:name="page154"/>
    <w:bookmarkEnd w:id="15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 product and/or product candidate. Such a loss of patent protection would have a material adverse impact on our competitive position, business, financial conditions, results of operations and prospects.</w:t>
      </w:r>
    </w:p>
    <w:p>
      <w:pPr>
        <w:spacing w:after="0" w:line="200" w:lineRule="exact"/>
        <w:rPr>
          <w:sz w:val="20"/>
          <w:szCs w:val="20"/>
          <w:color w:val="auto"/>
        </w:rPr>
      </w:pPr>
    </w:p>
    <w:p>
      <w:pPr>
        <w:spacing w:after="0" w:line="29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Third parties, including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testing, methods of manufacture or methods for treatment related to the use, development, testing, manufacture or commercialization of our COVID-19 vaccine or product candidates. For example, BioNTech SE and certain of our wholly owned subsidiaries are defendants in litigations initiated by CureVac, Alnylam, Moderna, Arbutus, Genevant, GSK, and Promosome regarding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See “Legal Proceedings.” As patent applications can take many years to issue, there may be currently pending patent applications which may later result in issued patents that our product(s) and/or product candidates may infringe. In addition, third parties may obtain patents in the future and claim that our technologies infringe upon these patents. If any third-party patents were held by a court of competent jurisdiction to cover the testing or manufacturing processes of any of our product(s) and/or product candidates, any molecules formed during the testing and manufacturing processes or any final product itself, the holders of any such patents may obtain injunctive or other equitable relief, which could effectively block our ability to develop, test and commercialize such product and/or product candidate unless we obtained a license under the applicable patents, or until such patents expire. Similarly, if any third-party patents were held by a court of competent jurisdiction to cover aspects of our formulations, processes for testing or manufacture or methods of use, including combination therapy, the holders of any such patents may be able to block our ability to develop, test and commercialize the applicable product and/or product candidate unless we obtained a license or until such patent expires. In either case, such a license may not be available on commercially reasonable terms, or at all, or may be non-exclusive.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technical personnel and other employees. In addition, the uncertainties associated with litigation could have a material adverse effect on our ability to raise the funds we need to continue our clinical trials and research programs, to license necessary technology from third parties or to enter into development or manufacturing collaborations that would help us bring our product(s) and/or product candidates to market.</w:t>
      </w:r>
    </w:p>
    <w:p>
      <w:pPr>
        <w:spacing w:after="0" w:line="200" w:lineRule="exact"/>
        <w:rPr>
          <w:sz w:val="20"/>
          <w:szCs w:val="20"/>
          <w:color w:val="auto"/>
        </w:rPr>
      </w:pPr>
    </w:p>
    <w:p>
      <w:pPr>
        <w:spacing w:after="0" w:line="30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Even if resolved in our favor, litigation or other legal proceedings relating to our intellectual property rights may cause us to incur significant expenses, and could distract our management, technical personnel and other employees from their normal responsibilities. Such proceedings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146</w:t>
            </w:r>
          </w:p>
        </w:tc>
      </w:tr>
    </w:tbl>
    <w:p>
      <w:pPr>
        <w:sectPr>
          <w:pgSz w:w="11900" w:h="16838" w:orient="portrait"/>
          <w:cols w:equalWidth="0" w:num="1">
            <w:col w:w="11240"/>
          </w:cols>
          <w:pgMar w:left="320" w:top="167" w:right="339" w:bottom="1440" w:gutter="0" w:footer="0" w:header="0"/>
        </w:sectPr>
      </w:pPr>
    </w:p>
    <w:bookmarkStart w:id="154" w:name="page155"/>
    <w:bookmarkEnd w:id="15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such proceedings more effectively than we can because of their greater resources in one or more aspects, or for other reasons. Uncertainties resulting from the initiation and continuation of patent litigation or other proceedings could compromise our ability to compete in the marketplace.</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product(s) and/or product candidates, which could limit our ability to generate revenues or achieve or maintain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24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the price of the ADSs representing our ordinary shares could decline.</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Obtaining and maintaining our patent protection depends on compliance with various procedural, document submission, fee payment and other requirements imposed by governmental patent agencies, and our patent protection could be reduced or eliminated for non- compliance with these requirements.</w:t>
      </w:r>
    </w:p>
    <w:p>
      <w:pPr>
        <w:spacing w:after="0" w:line="23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147</w:t>
            </w:r>
          </w:p>
        </w:tc>
      </w:tr>
    </w:tbl>
    <w:p>
      <w:pPr>
        <w:sectPr>
          <w:pgSz w:w="11900" w:h="16838" w:orient="portrait"/>
          <w:cols w:equalWidth="0" w:num="1">
            <w:col w:w="11240"/>
          </w:cols>
          <w:pgMar w:left="320" w:top="167" w:right="339" w:bottom="1440" w:gutter="0" w:footer="0" w:header="0"/>
        </w:sectPr>
      </w:pPr>
    </w:p>
    <w:bookmarkStart w:id="155" w:name="page156"/>
    <w:bookmarkEnd w:id="15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200" w:lineRule="exact"/>
        <w:rPr>
          <w:sz w:val="20"/>
          <w:szCs w:val="20"/>
          <w:color w:val="auto"/>
        </w:rPr>
      </w:pPr>
    </w:p>
    <w:p>
      <w:pPr>
        <w:spacing w:after="0" w:line="26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Changes in patent law in the United States or in other countries could diminish the value of patents in general, thereby impairing our ability to protect our products.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have affected the way patent applications are prosecuted and also affect patent litigation. Such legislation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30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addition, decisions by courts and governmental bodies in the United States and other jurisdictions may affect the value of patent applications, issued patents or other intellectual property that we own or in-license. For example,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the USPTO and other administrative agencies,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we are unable to protect the confidentiality of our trade secrets, our business and competitive position would be harmed.</w:t>
      </w:r>
    </w:p>
    <w:p>
      <w:pPr>
        <w:spacing w:after="0" w:line="21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In addition to seeking patent protection for some of our technology, product(s) and product candidates, we also seek to rely on trade secret protection and confidentiality agreements to maintain our competitive position and protect proprietary know-how that is not patentable, processes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148</w:t>
            </w:r>
          </w:p>
        </w:tc>
      </w:tr>
    </w:tbl>
    <w:p>
      <w:pPr>
        <w:sectPr>
          <w:pgSz w:w="11900" w:h="16838" w:orient="portrait"/>
          <w:cols w:equalWidth="0" w:num="1">
            <w:col w:w="11240"/>
          </w:cols>
          <w:pgMar w:left="320" w:top="167" w:right="339" w:bottom="1440" w:gutter="0" w:footer="0" w:header="0"/>
        </w:sectPr>
      </w:pPr>
    </w:p>
    <w:bookmarkStart w:id="156" w:name="page157"/>
    <w:bookmarkEnd w:id="15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which patents are difficult to enforce and any other elements of our product discovery development, testing, manufacturing and commercialization processes that involve proprietary know-how, information or technology that is not covered by patents. However, trade secrets and know-how may be difficult to protect.</w:t>
      </w:r>
    </w:p>
    <w:p>
      <w:pPr>
        <w:spacing w:after="0" w:line="231"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8"/>
          <w:szCs w:val="18"/>
          <w:color w:val="080509"/>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To the extent we become involved in litigation that may require discovery of our trade secrets, know-how and other proprietary technology, we seek to secure protective orders from the court that bind the parties with access to the discovered information. Despite our best efforts, we cannot be certain that our trade secrets and other confidential proprietary information will not be disclosed or that competitors will not otherwise gain access to our trade secrets or independently develop substantially equivalent information and techniques. Any of these parties who may have access to our trade secrets, know-how and other proprietary technology may breach such agreements or orders. For example, a former employee of our COVID-19 vaccine collaborator, Pfizer, has reportedly misappropriated trade secrets on our COVID-19 vaccine.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In addition, we cannot be certain that our proprietary technical information and related confidential documents that we have shared with our collaborators and/or have submitted to governmental agencies including regulatory agencies for evaluation and supervision of pharmaceutical products will be kept confidential. For example, certain documents relating to our COVID-19 vaccine were unlawfully accessed after a cyberattack on the EMA in December 2020.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may not be able to establish or maintain a competitive advantage in our market, which could materially adversely affect our business, operating results,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We may be subject to claims that we have wrongfully hired an employee from a competitor, or that our employees, consultants or independent contractors have wrongfully used or disclosed confidential information of third parties, including alleged trade secrets of their former employers.</w:t>
      </w:r>
    </w:p>
    <w:p>
      <w:pPr>
        <w:spacing w:after="0" w:line="384"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149</w:t>
            </w:r>
          </w:p>
        </w:tc>
      </w:tr>
    </w:tbl>
    <w:p>
      <w:pPr>
        <w:sectPr>
          <w:pgSz w:w="11900" w:h="16838" w:orient="portrait"/>
          <w:cols w:equalWidth="0" w:num="1">
            <w:col w:w="11240"/>
          </w:cols>
          <w:pgMar w:left="320" w:top="167" w:right="339" w:bottom="1440" w:gutter="0" w:footer="0" w:header="0"/>
        </w:sectPr>
      </w:pPr>
    </w:p>
    <w:bookmarkStart w:id="157" w:name="page158"/>
    <w:bookmarkEnd w:id="15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technical personnel and other employees. Claims that we or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subject to claims challenging the inventorship or ownership of our patents and other intellectual property.</w:t>
      </w:r>
    </w:p>
    <w:p>
      <w:pPr>
        <w:spacing w:after="0" w:line="21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the future, we may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In addition, certain such agreements, even if successfully executed may distribute ownership or control of intellectual property rights between or among parties, for example based on subject matter, relationship to other intellectual property, and/or one or more aspects of development of the intellectual property; after the agreements are in place disputes may arise over such distribution principles or over proper treatment of particular developed intellectual property in accordance with them. Disagreements may be difficult or impossible to resolve, may be expensive to address, and may result in our failing to secure or maintain ownership in or control of intellectual property necessary or important to our business.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The assignment of intellectual property rights may not be self-executing, or the assignment agreements may be breached. For example, we may have inventorship or ownership disputes arise from conflicting obligations of employees, consultants, independent contractors, collaborators or other third parties who are involved in developing and commercializing our product(s) and/or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technical personnel and other employees.</w:t>
      </w:r>
    </w:p>
    <w:p>
      <w:pPr>
        <w:spacing w:after="0" w:line="200" w:lineRule="exact"/>
        <w:rPr>
          <w:sz w:val="20"/>
          <w:szCs w:val="20"/>
          <w:color w:val="auto"/>
        </w:rPr>
      </w:pPr>
    </w:p>
    <w:p>
      <w:pPr>
        <w:spacing w:after="0" w:line="30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Furthermore, the laws of some other countries do not protect intellectual property and other proprietary rights or establish ownership of inventions to the same extent or in the same manner as the U.S. laws. A majority of our employees work in Germany and are subject to German employment law. Ideas, developments, discoveries and inventions made by such employees are subject to the provisions of the German Act on Employees’ Inventions, which regulates the ownership of, and compensation for, inventions made by employees. We face the risk that disputes can occur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150</w:t>
            </w:r>
          </w:p>
        </w:tc>
      </w:tr>
    </w:tbl>
    <w:p>
      <w:pPr>
        <w:sectPr>
          <w:pgSz w:w="11900" w:h="16838" w:orient="portrait"/>
          <w:cols w:equalWidth="0" w:num="1">
            <w:col w:w="11240"/>
          </w:cols>
          <w:pgMar w:left="320" w:top="167" w:right="339" w:bottom="1440" w:gutter="0" w:footer="0" w:header="0"/>
        </w:sectPr>
      </w:pPr>
    </w:p>
    <w:bookmarkStart w:id="158" w:name="page159"/>
    <w:bookmarkEnd w:id="15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us and our employees or former employees pertaining to alleged non-adherence to the provisions of this act that may be costly to defend and take up our management’s, technical personnel’s and other employees’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Filing, prosecuting and defending patents on product(s) and/or product candidates in all countries throughout the world would be prohibitively expensive, and our intellectual property rights in some countries outside the United States, particularly those in Asia, including China,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to the same extent as within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product(s) and/or product candidates, and our patents or other intellectual property rights may not be effective or sufficient to prevent them from competing.</w:t>
      </w:r>
    </w:p>
    <w:p>
      <w:pPr>
        <w:spacing w:after="0" w:line="200" w:lineRule="exact"/>
        <w:rPr>
          <w:sz w:val="20"/>
          <w:szCs w:val="20"/>
          <w:color w:val="auto"/>
        </w:rPr>
      </w:pPr>
    </w:p>
    <w:p>
      <w:pPr>
        <w:spacing w:after="0" w:line="30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Many companies have encountered significant problems in protecting and defending intellectual property rights in certain jurisdictions, particularly outside of Europe and the United States.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testing, marketing and commercialization of competing products in violation of our owned or in-licensed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 In particular, the validity, enforceability and scope of protection of intellectual property in China, where we derive net sales and maintain collaboration partnerships including licensing, are still evolving and historically, have not protected and may not protect in the future, intellectual property rights to the same extent as laws developed in Europe, including Germany, and the United States. Consequently, the time required to enforce our intellectual property rights in the legal regime of China may be lengthy and delay our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151</w:t>
            </w:r>
          </w:p>
        </w:tc>
      </w:tr>
    </w:tbl>
    <w:p>
      <w:pPr>
        <w:sectPr>
          <w:pgSz w:w="11900" w:h="16838" w:orient="portrait"/>
          <w:cols w:equalWidth="0" w:num="1">
            <w:col w:w="11240"/>
          </w:cols>
          <w:pgMar w:left="320" w:top="167" w:right="339" w:bottom="1440" w:gutter="0" w:footer="0" w:header="0"/>
        </w:sectPr>
      </w:pPr>
    </w:p>
    <w:bookmarkStart w:id="159" w:name="page160"/>
    <w:bookmarkEnd w:id="15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our trademarks and trade names are not adequately protected, we may not be able to build name recognition in our markets of interest and our business may be adversely affected.</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or collaborators may fail to use our trade names or trademarks appropriately or at all,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adversely affected. We may license our trademarks and trade names to third parties, such as distributors and collaborators. Though these license agreements may provide guidelines for how our trademarks and trade names may be used, a breach of these agreements or misuse or failure to 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Intellectual property rights do not necessarily address all potential threats to our competitive advantage.</w:t>
      </w:r>
    </w:p>
    <w:p>
      <w:pPr>
        <w:spacing w:after="0" w:line="21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17"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may be able to make COVID-19 vaccines or therapies, and/or individualized cancer immunotherapies that are similar to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COVID-19 vaccine and/or any product candidates we may develop and commercialize or utilize similar technologies that are not covered by the claims of the patents that we now or may in the future own or have exclusively in-licensed;</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or future collaborators might not have been the first to make the inventions covered by the issued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patents or pending patent applications that we own or have exclusively in-licensed;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or future collaborators might not have been the first to file patent applications covering certain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their inventions;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152</w:t>
            </w:r>
          </w:p>
        </w:tc>
      </w:tr>
    </w:tbl>
    <w:p>
      <w:pPr>
        <w:sectPr>
          <w:pgSz w:w="11900" w:h="16838" w:orient="portrait"/>
          <w:cols w:equalWidth="0" w:num="1">
            <w:col w:w="11240"/>
          </w:cols>
          <w:pgMar w:left="320" w:top="167" w:right="339" w:bottom="1440" w:gutter="0" w:footer="0" w:header="0"/>
        </w:sectPr>
      </w:pPr>
    </w:p>
    <w:bookmarkStart w:id="160" w:name="page161"/>
    <w:bookmarkEnd w:id="16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may independently develop similar or alternative technologies or duplicate any of our technologies without infringing our owned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in-licensed intellectual property rights;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it is possible that our pending patent applications or those that we may own or in-license in the future will not lead to issued patents;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claims of issued patents that we own or have exclusively in-licensed may be held invalid or unenforceable, including as a result of legal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challenges by our competitors;</w:t>
      </w:r>
    </w:p>
    <w:p>
      <w:pPr>
        <w:spacing w:after="0" w:line="216" w:lineRule="exact"/>
        <w:rPr>
          <w:sz w:val="20"/>
          <w:szCs w:val="20"/>
          <w:color w:val="auto"/>
        </w:rPr>
      </w:pPr>
    </w:p>
    <w:p>
      <w:pPr>
        <w:jc w:val="right"/>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competitors might conduct research, development, testing or commercialization activities in countries where we do not have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rights and then use the information learned from such activities to develop competitive products for sale in our major commercial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not develop additional proprietary technologies that are patentable;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patents of others may have an adverse effect on our business;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choose not to file a patent in order to maintain certain trade secrets or know-how, and a third party may subsequently file a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covering such intellectual property.</w:t>
      </w:r>
    </w:p>
    <w:p>
      <w:pPr>
        <w:spacing w:after="0" w:line="21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Government Regulation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005A64"/>
        </w:rPr>
        <w:t>We may not be able to develop or obtain approval for companion diagnostics required for commercialization of some of our product candidates.</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Administration of some of our product candidates may require the use of immuno-assays and bioinformatic tools in which patients are screened for optimal target antigens of our product candidates. If safe and effective use of a biologic product depends on an in vitro diagnostic, then the FDA generally requires approval or clearance of the diagnostic, known as a companion diagnostic, concurrently with approval of the therapeutic product. To date, the FDA has generally required in vitro companion diagnostics intended to select the patients who will respond to cancer treatment to obtain a pre-market approval, or PMA, for that diagnostic, which can take up to several years, simultaneously with approval of the biologic product. Similarly, in the European Union, an in vitro companion diagnostic may be placed on the market only if it conforms to certain “essential requirements” and bears the Conformité Européene Mark, or CE Mark. The conformity assessment process to obtain the CE Mark can be lengthy and we may fail to demonstrate such conformity. Further, the applicable regulatory framework for in vitro diagnostics in the EU changed in May 2022 when a new EU regulation with stricter regulatory requirements for in vitro diagnostics became applicable.</w:t>
      </w:r>
    </w:p>
    <w:p>
      <w:pPr>
        <w:spacing w:after="0" w:line="200" w:lineRule="exact"/>
        <w:rPr>
          <w:sz w:val="20"/>
          <w:szCs w:val="20"/>
          <w:color w:val="auto"/>
        </w:rPr>
      </w:pPr>
    </w:p>
    <w:p>
      <w:pPr>
        <w:spacing w:after="0" w:line="30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For our individualized immunotherapy candidates, the FDA and comparable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 Companion diagnostic assays are subject to regulation by the FDA and other comparable regulatory</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0860" w:val="left"/>
        </w:tabs>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r>
        <w:rPr>
          <w:sz w:val="20"/>
          <w:szCs w:val="20"/>
          <w:color w:val="auto"/>
        </w:rPr>
        <w:tab/>
      </w:r>
      <w:r>
        <w:rPr>
          <w:rFonts w:ascii="Times New Roman" w:cs="Times New Roman" w:eastAsia="Times New Roman" w:hAnsi="Times New Roman"/>
          <w:sz w:val="21"/>
          <w:szCs w:val="21"/>
          <w:b w:val="1"/>
          <w:bCs w:val="1"/>
          <w:color w:val="C3C3C3"/>
        </w:rPr>
        <w:t>153</w:t>
      </w:r>
    </w:p>
    <w:p>
      <w:pPr>
        <w:sectPr>
          <w:pgSz w:w="11900" w:h="16838" w:orient="portrait"/>
          <w:cols w:equalWidth="0" w:num="1">
            <w:col w:w="11240"/>
          </w:cols>
          <w:pgMar w:left="320" w:top="167" w:right="339" w:bottom="1440" w:gutter="0" w:footer="0" w:header="0"/>
          <w:type w:val="continuous"/>
        </w:sectPr>
      </w:pPr>
    </w:p>
    <w:bookmarkStart w:id="161" w:name="page162"/>
    <w:bookmarkEnd w:id="16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200" w:lineRule="exact"/>
        <w:rPr>
          <w:sz w:val="20"/>
          <w:szCs w:val="20"/>
          <w:color w:val="auto"/>
        </w:rPr>
      </w:pP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Because we are developing some of our product candidates for the treatment of diseases in which there is little clinical experience and, in some cases, using new endpoints or methodologies, the FDA, the EMA or other regulatory authorities may not consider the endpoints of our clinical trials to provide clinically meaningful results.</w:t>
      </w:r>
    </w:p>
    <w:p>
      <w:pPr>
        <w:spacing w:after="0" w:line="17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jurisdictions may make similar findings with respect to these endpoints.</w:t>
      </w:r>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005A64"/>
        </w:rPr>
        <w:t>The FDA, the EMA or other comparable regulatory authorities may disagree with our regulatory plan and we may fail to obtain regulatory approval of our product candidates.</w:t>
      </w:r>
    </w:p>
    <w:p>
      <w:pPr>
        <w:spacing w:after="0" w:line="17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If the results of our clinical trials are sufficiently compelling, we or our collaborators intend to discuss with the FDA and regulatory authorities in other countries the submission of a BLA or respective applications in other countries for our product candidates. However, we do not have any agreement or guidance from the FDA that our regulatory development plans will be sufficient for submission of a BLA for any of our product candidates. The FDA, the EMA or other regulatory agencies may grant accelerated approval for our product candidates and, as a condition for accelerated approval, the FDA, the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the EMA or other regulatory agencies that are more accelerated than those available for regular approvals. In addition, the standard of care may change with the approval of new products in the same indications that we are studying. This may result in the FDA, the EMA or other regulatory agencies requesting additional studies to show that our product candidate is superior to the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154</w:t>
            </w:r>
          </w:p>
        </w:tc>
      </w:tr>
    </w:tbl>
    <w:p>
      <w:pPr>
        <w:sectPr>
          <w:pgSz w:w="11900" w:h="16838" w:orient="portrait"/>
          <w:cols w:equalWidth="0" w:num="1">
            <w:col w:w="11240"/>
          </w:cols>
          <w:pgMar w:left="320" w:top="167" w:right="339" w:bottom="1440" w:gutter="0" w:footer="0" w:header="0"/>
        </w:sectPr>
      </w:pPr>
    </w:p>
    <w:bookmarkStart w:id="162" w:name="page163"/>
    <w:bookmarkEnd w:id="16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Our clinical trial results may also not support approval. In addition, our product candidates could fail to receive regulatory approval for many reasons, including the following: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may disagree with the design or implementation of our clinical trials;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demonstrate to the satisfaction of the FDA, the EMA or comparable regulatory authorities that our product candidates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are safe and effective for any of their proposed indications;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clinical trials may not meet the level of statistical significance required by the FDA, the EMA or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 for approval, including due to the heterogeneity of patient populations;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demonstrate that our product candidates’ clinical and other benefits outweigh their safety risks;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may disagree with our interpretation of data from preclinical studies or clinical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trials;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data collected from clinical trials of our product candidates may not be sufficient to the satisfaction of the FDA, the EMA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comparable regulatory authorities to support the submission of a BLA or other comparable submissions or to obtain regulatory approval in the United States or elsewhere;</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will inspect our manufacturing facilities and may not approve our facilities or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manufacturing processes and controls;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approval policies or regulations of the FDA, the EMA or comparable regulatory authorities may significantly change in a manner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rendering our clinical data insufficient for approval; and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appointees of the new presidential administration in the United States may seek to change regulatory requirements for the approval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or the approach to the review of product applications.</w:t>
      </w:r>
    </w:p>
    <w:p>
      <w:pPr>
        <w:spacing w:after="0" w:line="17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may not be able to file INDs with the FDA, clinical trial applications with the competent authorities of the member states of the European Union or similar applications with other comparable regulatory authorities to commence additional clinical trials on the timelines we expect, and even if we are able to, one or more of these regulatory authorities may not permit us to proceed.</w:t>
      </w:r>
    </w:p>
    <w:p>
      <w:pPr>
        <w:spacing w:after="0" w:line="175"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The timing of filing on our product candidates is dependent on further preclinical, clinical and manufacturing success. We cannot be sure that submission of an IND or IND amendment with the FDA, a clinical trial application with the regulatory authorities of the EU member states or similar application with other comparable regulatory authorities will result in the FDA, the regulatory authorities of the EU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155</w:t>
            </w:r>
          </w:p>
        </w:tc>
      </w:tr>
    </w:tbl>
    <w:p>
      <w:pPr>
        <w:sectPr>
          <w:pgSz w:w="11900" w:h="16838" w:orient="portrait"/>
          <w:cols w:equalWidth="0" w:num="1">
            <w:col w:w="11240"/>
          </w:cols>
          <w:pgMar w:left="320" w:top="167" w:right="339" w:bottom="1440" w:gutter="0" w:footer="0" w:header="0"/>
        </w:sectPr>
      </w:pPr>
    </w:p>
    <w:bookmarkStart w:id="163" w:name="page164"/>
    <w:bookmarkEnd w:id="16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applications, we cannot guarantee that such regulatory authorities will not change their requirements in the future.</w:t>
      </w:r>
    </w:p>
    <w:p>
      <w:pPr>
        <w:spacing w:after="0" w:line="2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7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strategy includes filing for Orphan Drug Designation where available for our product candidates. Under the U.S.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200" w:lineRule="exact"/>
        <w:rPr>
          <w:sz w:val="20"/>
          <w:szCs w:val="20"/>
          <w:color w:val="auto"/>
        </w:rPr>
      </w:pPr>
    </w:p>
    <w:p>
      <w:pPr>
        <w:spacing w:after="0" w:line="30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protect the product effectively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200" w:lineRule="exact"/>
        <w:rPr>
          <w:sz w:val="20"/>
          <w:szCs w:val="20"/>
          <w:color w:val="auto"/>
        </w:rPr>
      </w:pPr>
    </w:p>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We may seek Breakthrough Therapy or Fast 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180"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156</w:t>
            </w:r>
          </w:p>
        </w:tc>
      </w:tr>
    </w:tbl>
    <w:p>
      <w:pPr>
        <w:sectPr>
          <w:pgSz w:w="11900" w:h="16838" w:orient="portrait"/>
          <w:cols w:equalWidth="0" w:num="1">
            <w:col w:w="11240"/>
          </w:cols>
          <w:pgMar w:left="320" w:top="167" w:right="339" w:bottom="1440" w:gutter="0" w:footer="0" w:header="0"/>
        </w:sectPr>
      </w:pPr>
    </w:p>
    <w:bookmarkStart w:id="164" w:name="page165"/>
    <w:bookmarkEnd w:id="16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00" w:lineRule="exact"/>
        <w:rPr>
          <w:sz w:val="20"/>
          <w:szCs w:val="20"/>
          <w:color w:val="auto"/>
        </w:rPr>
      </w:pPr>
    </w:p>
    <w:p>
      <w:pPr>
        <w:spacing w:after="0" w:line="30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expect some of the product candidates we develop will be regulated as biologics in the United States and therefore they may be subject to competition from biosimilars approved through an abbreviated regulatory pathway.</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23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157</w:t>
            </w:r>
          </w:p>
        </w:tc>
      </w:tr>
    </w:tbl>
    <w:p>
      <w:pPr>
        <w:sectPr>
          <w:pgSz w:w="11900" w:h="16838" w:orient="portrait"/>
          <w:cols w:equalWidth="0" w:num="1">
            <w:col w:w="11240"/>
          </w:cols>
          <w:pgMar w:left="320" w:top="167" w:right="339" w:bottom="1440" w:gutter="0" w:footer="0" w:header="0"/>
        </w:sectPr>
      </w:pPr>
    </w:p>
    <w:bookmarkStart w:id="165" w:name="page166"/>
    <w:bookmarkEnd w:id="16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39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be reverse transcribed or integrated into the genome. Consequently, we expect that our products or product candidates will have a different potential side effect profile from gene therapies because they lack risks associated with altering cell DNA irreversibly. Further, we may avail ourselves of ways of mitigating side effects in developing our products and product candidates to address safety concerns that are not available to other products or product candidates classified as gene therapies, such as lowering the dose of our products or product candidates during repeat dosing or stopping treatment to potentially ameliorate undesirable side effects.</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potential future clinical hold on gene therapy products across the field due to risks associated with altering cell DNA irreversibly could apply to our mRNA product candidates irrespective of the mechanistic differences between gene therapies and mRNA.</w:t>
      </w:r>
    </w:p>
    <w:p>
      <w:pPr>
        <w:spacing w:after="0" w:line="200" w:lineRule="exact"/>
        <w:rPr>
          <w:sz w:val="20"/>
          <w:szCs w:val="20"/>
          <w:color w:val="auto"/>
        </w:rPr>
      </w:pPr>
    </w:p>
    <w:p>
      <w:pPr>
        <w:spacing w:after="0" w:line="30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approved mRNA products or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158</w:t>
            </w:r>
          </w:p>
        </w:tc>
      </w:tr>
    </w:tbl>
    <w:p>
      <w:pPr>
        <w:sectPr>
          <w:pgSz w:w="11900" w:h="16838" w:orient="portrait"/>
          <w:cols w:equalWidth="0" w:num="1">
            <w:col w:w="11240"/>
          </w:cols>
          <w:pgMar w:left="320" w:top="167" w:right="339" w:bottom="1440" w:gutter="0" w:footer="0" w:header="0"/>
        </w:sectPr>
      </w:pPr>
    </w:p>
    <w:bookmarkStart w:id="166" w:name="page167"/>
    <w:bookmarkEnd w:id="16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200" w:lineRule="exact"/>
        <w:rPr>
          <w:sz w:val="20"/>
          <w:szCs w:val="20"/>
          <w:color w:val="auto"/>
        </w:rPr>
      </w:pP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17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200" w:lineRule="exact"/>
        <w:rPr>
          <w:sz w:val="20"/>
          <w:szCs w:val="20"/>
          <w:color w:val="auto"/>
        </w:rPr>
      </w:pPr>
    </w:p>
    <w:p>
      <w:pPr>
        <w:spacing w:after="0" w:line="30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24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Delay or failure to obtain, or unexpected costs in obtaining, the regulatory approval necessary to bring a potential product to market could decrease our ability to generate sufficient product sales revenue to maintain our business.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159</w:t>
            </w:r>
          </w:p>
        </w:tc>
      </w:tr>
    </w:tbl>
    <w:p>
      <w:pPr>
        <w:sectPr>
          <w:pgSz w:w="11900" w:h="16838" w:orient="portrait"/>
          <w:cols w:equalWidth="0" w:num="1">
            <w:col w:w="11240"/>
          </w:cols>
          <w:pgMar w:left="320" w:top="167" w:right="339" w:bottom="1440" w:gutter="0" w:footer="0" w:header="0"/>
        </w:sectPr>
      </w:pPr>
    </w:p>
    <w:bookmarkStart w:id="167" w:name="page168"/>
    <w:bookmarkEnd w:id="16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unable to obtain regulatory approval for our product candidates under applicable international regulatory requirements.</w:t>
      </w:r>
    </w:p>
    <w:p>
      <w:pPr>
        <w:spacing w:after="0" w:line="21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denial or delay of such approval would delay commercialization of our product candidates and adversely impact our potential to generate revenue, our business and our results of operations.</w:t>
      </w:r>
    </w:p>
    <w:p>
      <w:pPr>
        <w:spacing w:after="0" w:line="217"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Approval by the FDA in the United States, if obtained, does not ensure approval by regulatory authorities in other countries or jurisdictions. In order to market our products or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the FDA approval. If we fail to comply with regulatory requirements in certain markets or to obtain and maintain required approvals, or if regulatory approvals in certain markets are delayed, our target market will be reduced and our ability to realize the full market potential of our products will be unrealized.</w:t>
      </w:r>
    </w:p>
    <w:p>
      <w:pPr>
        <w:spacing w:after="0" w:line="200" w:lineRule="exact"/>
        <w:rPr>
          <w:sz w:val="20"/>
          <w:szCs w:val="20"/>
          <w:color w:val="auto"/>
        </w:rPr>
      </w:pPr>
    </w:p>
    <w:p>
      <w:pPr>
        <w:spacing w:after="0" w:line="301"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Certain jurisdictions may have submission requirements for drug clinical trial and marketing applications that require us or our partners to submit substantial detailed materials related to non-clinical and clinical development and manufacturing and quality control to drug regulators or testing laboratories. This can include confidential standard operating procedures or executed batch records for the production of biological products or other records or documents that set forth detailed information about the manufacturing process. If these materials are disclosed, lost, or diverted to third parties or competitors during the application preparation process, this could negatively affect our ability to protect our intellectual property.</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Our partners in different countries are subject to local regulatory requirements on the manufacturing and distribution of drugs and the implementation of clinical and non-clinical research. These include but are not limited to good manufacturing, distribution, laboratory, clinical practice, and pharmacovigilance rules. If these companies do not comply with applicable standards, they could become the subjects of investigations and enforcement, including orders to cease the activities pending remediation that is acceptable to the government. Such an order or other similar enforcement could interfere with our clinical development activities both in that jurisdiction and others, if it impacts supply or the quality and transfer of data.</w:t>
      </w:r>
    </w:p>
    <w:p>
      <w:pPr>
        <w:spacing w:after="0" w:line="200" w:lineRule="exact"/>
        <w:rPr>
          <w:sz w:val="20"/>
          <w:szCs w:val="20"/>
          <w:color w:val="auto"/>
        </w:rPr>
      </w:pPr>
    </w:p>
    <w:p>
      <w:pPr>
        <w:spacing w:after="0" w:line="2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A third-party investigational product candidate used in combination with our product candidates may be unable to obtain regulatory approval, which may delay commercialization of our product candidates.</w:t>
      </w:r>
    </w:p>
    <w:p>
      <w:pPr>
        <w:spacing w:after="0" w:line="158"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are developing several of our product candidates to be used in combination with our and third-party product candidates. Even if any product candidate we develop were to receive marketing approval or be commercialized for use in combination with other existing products, we would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160</w:t>
            </w:r>
          </w:p>
        </w:tc>
      </w:tr>
    </w:tbl>
    <w:p>
      <w:pPr>
        <w:sectPr>
          <w:pgSz w:w="11900" w:h="16838" w:orient="portrait"/>
          <w:cols w:equalWidth="0" w:num="1">
            <w:col w:w="11240"/>
          </w:cols>
          <w:pgMar w:left="320" w:top="167" w:right="339" w:bottom="1440" w:gutter="0" w:footer="0" w:header="0"/>
        </w:sectPr>
      </w:pPr>
    </w:p>
    <w:bookmarkStart w:id="168" w:name="page169"/>
    <w:bookmarkEnd w:id="16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to be subject to the risks that the FDA, the EMA or comparable regulatory authorities in other jurisdictions could revoke approval of the product used in combination with our product or that safety, efficacy, manufacturing or supply issues could arise with any of those existing products. If the products or product candidates we use in combination with our product candidates are replaced as the standard of care for the indications we choose for any of our product candidates, the FDA, the EMA or comparable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product candidates that have not yet been approved for marketing by the FDA, the EMA or comparable regulatory authorities in other jurisdictions. We will not be able to market any product candidate we develop in combination with an unapproved product candidate if that unapproved product candidate does not ultimately obtain marketing approval. In addition, unapproved product candidates face the same risks described with respect to our product candidates currently in development and clinical trials, including the potential for serious adverse effects, delay in their clinical trials and lack of FDA, EMA or comparable regulatory authority approval.</w:t>
      </w:r>
    </w:p>
    <w:p>
      <w:pPr>
        <w:spacing w:after="0" w:line="200" w:lineRule="exact"/>
        <w:rPr>
          <w:sz w:val="20"/>
          <w:szCs w:val="20"/>
          <w:color w:val="auto"/>
        </w:rPr>
      </w:pPr>
    </w:p>
    <w:p>
      <w:pPr>
        <w:spacing w:after="0" w:line="30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 the FDA, the EMA or comparable regulatory authorities in other jurisdictions do not approve these other product candidates or revoke their approval of, or if safety, efficacy, manufacturing or supply issues arise with, the products or product candidates we choose to evaluate in combination with any product candidate we develop, we may be unable to obtain approval of or market any product candidate we develop.</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Our COVID-19 vaccine and any other product candidates for which we receive approval or emergency use authorization are subject to continuing regulatory oversight, and we will be subject to ongoing regulatory obligations and continued regulatory review, which may result in significant additional expense. We may be subject to penalties if we fail to comply with regulatory requirements or experience unanticipated problems with our products or product candidates.</w:t>
      </w:r>
    </w:p>
    <w:p>
      <w:pPr>
        <w:spacing w:after="0" w:line="18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COVID-19 vaccine and any other product candidates for which we receive approval or emergency use authorization are subject to continuing regulatory oversight, including the review of additional safety information, and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Similar requirements apply to holders of (conditional) approvals in other countries. Advertising and promotional materials must comply with FDA rules and are subject to FDA review, in addition to other potentially applicable federal and state laws. In other countries, advertising and promotional material may be subject to similar rules.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we fail to comply with applicable regulatory requirements following approval of any of our product candidates, a regulatory agency may: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issue adverse public statements about our business or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issue a warning letter asserting that we are in violation of the law;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161</w:t>
            </w:r>
          </w:p>
        </w:tc>
      </w:tr>
    </w:tbl>
    <w:p>
      <w:pPr>
        <w:sectPr>
          <w:pgSz w:w="11900" w:h="16838" w:orient="portrait"/>
          <w:cols w:equalWidth="0" w:num="1">
            <w:col w:w="11240"/>
          </w:cols>
          <w:pgMar w:left="320" w:top="167" w:right="339" w:bottom="1440" w:gutter="0" w:footer="0" w:header="0"/>
        </w:sectPr>
      </w:pPr>
    </w:p>
    <w:bookmarkStart w:id="169" w:name="page170"/>
    <w:bookmarkEnd w:id="16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an injunction or impose civil or criminal penalties or monetary fines;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suspend or withdraw regulatory approval or revoke a license;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suspend any ongoing clinical studies;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refuse to approve a pending BLA (or comparable approval) or supplements to a BLA (or comparable approval) submitted by 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seize product; 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refuse to allow us to enter into supply contracts, including government contracts.</w:t>
      </w:r>
    </w:p>
    <w:p>
      <w:pPr>
        <w:spacing w:after="0" w:line="33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231"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If any of our products or product candidates cause undesirable side effects, it could delay or prevent their regulatory approval, limit their commercial potential, or result in significant negative consequences following any potential marketing approval. Products or product candidates we may develop may be associated with an adverse immune response or other serious adverse events, undesirable side effects or unexpected characteristics. In addition to serious adverse events or side effects caused by any of our products or product candidates, the administration process or related procedures also can cause undesirable side effects. If any such events occur, the clinical trials of any of our product candidates could be suspended or terminated.</w:t>
      </w:r>
    </w:p>
    <w:p>
      <w:pPr>
        <w:spacing w:after="0" w:line="200" w:lineRule="exact"/>
        <w:rPr>
          <w:sz w:val="20"/>
          <w:szCs w:val="20"/>
          <w:color w:val="auto"/>
        </w:rPr>
      </w:pPr>
    </w:p>
    <w:p>
      <w:pPr>
        <w:spacing w:after="0" w:line="30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if approved,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Additionally, following regulatory approval of a product candidate, the FDA or other regulatory authority could require us to adopt a REMS or a risk management plan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162</w:t>
            </w:r>
          </w:p>
        </w:tc>
      </w:tr>
    </w:tbl>
    <w:p>
      <w:pPr>
        <w:sectPr>
          <w:pgSz w:w="11900" w:h="16838" w:orient="portrait"/>
          <w:cols w:equalWidth="0" w:num="1">
            <w:col w:w="11240"/>
          </w:cols>
          <w:pgMar w:left="320" w:top="167" w:right="339" w:bottom="1440" w:gutter="0" w:footer="0" w:header="0"/>
        </w:sectPr>
      </w:pPr>
    </w:p>
    <w:bookmarkStart w:id="170" w:name="page171"/>
    <w:bookmarkEnd w:id="17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Furthermore, if we or others later identify undesirable side effects caused by any product that we develop, several potentially significant negative consequences could result,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suspend or withdraw approvals or revoke licenses of such product;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require additional warnings on the label;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make unfavorable statements about the safety of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change the way a product is administered or conduct additional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be sued and held liable for harm caused to patients and their children;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reputation may suffer.</w:t>
      </w:r>
    </w:p>
    <w:p>
      <w:pPr>
        <w:spacing w:after="0" w:line="33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Any of these events could prevent us from achieving or maintaining market acceptance of any products we may identify and develop and could have a material adverse effect on our business, financial condition, results of operations and prospects.</w:t>
      </w:r>
    </w:p>
    <w:p>
      <w:pPr>
        <w:spacing w:after="0" w:line="21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Upon the successful approval of a product candidate, we will continue to face significant regulatory oversight of its manufacturing and distribution. Product manufacturers and their facilities are subject to payment of user fees and continual review and periodic inspections by the FDA and other regulatory authorities for compliance with GMP and adherence to commitments made in the BLA or comparable approval.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Governmental investigations and inquiries with respect to our COVID-19 vaccine and any other product candidates for which we receive approval or emergency use authorization may adversely affect our business, financial condition and results of operations.</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 xml:space="preserve">In April 2025, we, along with several other pharmaceutical companies, received a letter from the Chairman of the Permanent Subcommittee on Investigations of the U.S. Senate Homeland Security and Governmental Affairs Committee, or the Subcommittee, that requested certain information and documents relating to the respective COVID-19 vaccines we developed (in our case,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).This and other governmental investigations or inquiries in which we may become involved may result in additional claims and lawsuits being brought against us by governmental agencies or private parties. It is not possible at this time to predict either the outcome or the potential financial impact of the congressional investigation mentioned above or any further investigations or inquiries of us that may result from such investigation. It is also not possible at this time to predict the additional expenses related to such investigation, which may be significant. The initiation of any additional investigation relating to us, the costs and expenses associated therewith, or any assertion, claim or finding of wrongdoing by us, could: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163</w:t>
            </w:r>
          </w:p>
        </w:tc>
      </w:tr>
    </w:tbl>
    <w:p>
      <w:pPr>
        <w:sectPr>
          <w:pgSz w:w="11900" w:h="16838" w:orient="portrait"/>
          <w:cols w:equalWidth="0" w:num="1">
            <w:col w:w="11240"/>
          </w:cols>
          <w:pgMar w:left="320" w:top="167" w:right="339" w:bottom="1440" w:gutter="0" w:footer="0" w:header="0"/>
        </w:sectPr>
      </w:pPr>
    </w:p>
    <w:bookmarkStart w:id="171" w:name="page172"/>
    <w:bookmarkEnd w:id="17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result in reputational harm and reduced market acceptance and demand for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harm our ability and our commercial partners’ ability to market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harm our ability to develop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cause us to incur significant liabilities, costs and expenses;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cause our senior management to be distracted from execution of our business strategy.</w:t>
      </w:r>
    </w:p>
    <w:p>
      <w:pPr>
        <w:spacing w:after="0" w:line="33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Furthermore, the pending congressional investigation could negatively affect our ability to raise capital and impair our ability to engage in strategic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subject, directly or indirectly, to federal and state healthcare fraud and abuse laws, false claims laws, and other healthcare laws.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we are unable to comply, or have not fully complied, with such laws, we could face substantial penalties.</w:t>
      </w:r>
    </w:p>
    <w:p>
      <w:pPr>
        <w:spacing w:after="0" w:line="192"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may be subject to additional healthcare regulation and enforcement by the U.S. federal government and by authorities in the United States, the European Union and other jurisdictions in which we conduct our business. Our operations may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200" w:lineRule="exact"/>
        <w:rPr>
          <w:sz w:val="20"/>
          <w:szCs w:val="20"/>
          <w:color w:val="auto"/>
        </w:rPr>
      </w:pPr>
    </w:p>
    <w:p>
      <w:pPr>
        <w:spacing w:after="0" w:line="304" w:lineRule="exact"/>
        <w:rPr>
          <w:sz w:val="20"/>
          <w:szCs w:val="20"/>
          <w:color w:val="auto"/>
        </w:rPr>
      </w:pPr>
    </w:p>
    <w:p>
      <w:pPr>
        <w:ind w:left="220" w:right="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Anti-Kickback Statute, which prohibits, among other things, persons or entities from knowingly and willfully soliciting,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200" w:lineRule="exact"/>
        <w:rPr>
          <w:sz w:val="20"/>
          <w:szCs w:val="20"/>
          <w:color w:val="auto"/>
        </w:rPr>
      </w:pPr>
    </w:p>
    <w:p>
      <w:pPr>
        <w:spacing w:after="0" w:line="304"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civil and criminal false claims laws and civil monetary penalty laws, which prohibit, among other things, individuals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Health Insurance Portability and Accountability Act of 1996, or HIPAA, which created new federal criminal statutes that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prohibit a person from knowingly and willfully executing a</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164</w:t>
            </w:r>
          </w:p>
        </w:tc>
      </w:tr>
    </w:tbl>
    <w:p>
      <w:pPr>
        <w:sectPr>
          <w:pgSz w:w="11900" w:h="16838" w:orient="portrait"/>
          <w:cols w:equalWidth="0" w:num="1">
            <w:col w:w="11240"/>
          </w:cols>
          <w:pgMar w:left="320" w:top="167" w:right="339" w:bottom="1440" w:gutter="0" w:footer="0" w:header="0"/>
        </w:sectPr>
      </w:pPr>
    </w:p>
    <w:bookmarkStart w:id="172" w:name="page173"/>
    <w:bookmarkEnd w:id="17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spacing w:after="0" w:line="292" w:lineRule="auto"/>
        <w:rPr>
          <w:sz w:val="20"/>
          <w:szCs w:val="20"/>
          <w:color w:val="auto"/>
        </w:rPr>
      </w:pPr>
      <w:r>
        <w:rPr>
          <w:rFonts w:ascii="Times New Roman" w:cs="Times New Roman" w:eastAsia="Times New Roman" w:hAnsi="Times New Roman"/>
          <w:sz w:val="18"/>
          <w:szCs w:val="18"/>
          <w:color w:val="080509"/>
        </w:rPr>
        <w:t>scheme or making false or fraudulent statements to defraud any healthcare benefit program, regardless of the payor (e.g., public or private);</w:t>
      </w:r>
    </w:p>
    <w:p>
      <w:pPr>
        <w:spacing w:after="0" w:line="200" w:lineRule="exact"/>
        <w:rPr>
          <w:sz w:val="20"/>
          <w:szCs w:val="20"/>
          <w:color w:val="auto"/>
        </w:rPr>
      </w:pPr>
    </w:p>
    <w:p>
      <w:pPr>
        <w:spacing w:after="0" w:line="358" w:lineRule="exact"/>
        <w:rPr>
          <w:sz w:val="20"/>
          <w:szCs w:val="20"/>
          <w:color w:val="auto"/>
        </w:rPr>
      </w:pPr>
    </w:p>
    <w:p>
      <w:pPr>
        <w:jc w:val="right"/>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HIPAA, as amended by the Health Information Technology for Economic and Clinical Health Act and their implementing regulations,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231"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Food, Drug, and Cosmetic Act, which prohibits, among other things, the adulteration or misbranding of drugs, biologics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medical devices;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Public Health Service Act, which prohibits, among other things, the introduction into interstate commerce of a biological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unless a biologics license is in effect for that product;</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Federal transparency laws, including the federal Physician Payment Sunshine Act, which require disclosure of payments and other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transfers of value provided to physicians and teaching hospitals, and ownership and investment interests held by physicians and other healthcare providers and their immediate family members and applicable group purchasing organizations;</w:t>
      </w:r>
    </w:p>
    <w:p>
      <w:pPr>
        <w:spacing w:after="0" w:line="231"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U.S. state law equivalents of each of the above federal laws, state laws that require drug manufacturers to report information related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235"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Foreign Corrupt Practices Act of 1977, as amended, which prohibits, among other things, U.S. companies and their employees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agents, as well as non-U.S. companies that are registered with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Similar statutes, healthcare laws and regulations in the European Union and other jurisdictions, including reporting requirements detailing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interactions with and payments to healthcare providers.</w:t>
      </w:r>
    </w:p>
    <w:p>
      <w:pPr>
        <w:spacing w:after="0" w:line="217"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provision of benefits or advantages to physicians to induce or encourage the prescription, recommendation, endorsement, purchase, supply, order or use of medicinal products is prohibited in</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165</w:t>
            </w:r>
          </w:p>
        </w:tc>
      </w:tr>
    </w:tbl>
    <w:p>
      <w:pPr>
        <w:sectPr>
          <w:pgSz w:w="11900" w:h="16838" w:orient="portrait"/>
          <w:cols w:equalWidth="0" w:num="1">
            <w:col w:w="11240"/>
          </w:cols>
          <w:pgMar w:left="320" w:top="167" w:right="339" w:bottom="1440" w:gutter="0" w:footer="0" w:header="0"/>
        </w:sectPr>
      </w:pPr>
    </w:p>
    <w:bookmarkStart w:id="173" w:name="page174"/>
    <w:bookmarkEnd w:id="17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the European Union. The provision of benefits or advantages to physicians is also governed by the national anti-bribery laws of European Union member states and other jurisdictions, such as the U.K. Bribery Act 2010. Infringement of these laws could result in substantial fines and imprisonment.</w:t>
      </w:r>
    </w:p>
    <w:p>
      <w:pPr>
        <w:spacing w:after="0" w:line="200" w:lineRule="exact"/>
        <w:rPr>
          <w:sz w:val="20"/>
          <w:szCs w:val="20"/>
          <w:color w:val="auto"/>
        </w:rPr>
      </w:pPr>
    </w:p>
    <w:p>
      <w:pPr>
        <w:spacing w:after="0" w:line="26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Payments made to physicians in certain EU member states must be publicly disclosed. Moreover, agreements with physicians often must be the subject of prior notification and approval by the physician’s employer, his or her competent professional organization 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certain anti-corruption, anti-money laundering, export control, sanctions, and other trade laws and regulations. We can face serious consequences for violations.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stringent privacy laws, information security policies and contractual obligations governing the use, processing, and cross-border transfer of personal information and our data privacy and security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receive, generate and store significant and increasing volumes of sensitive information, such as employee, personal and patient data.</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200" w:lineRule="exact"/>
        <w:rPr>
          <w:sz w:val="20"/>
          <w:szCs w:val="20"/>
          <w:color w:val="auto"/>
        </w:rPr>
      </w:pPr>
    </w:p>
    <w:p>
      <w:pPr>
        <w:spacing w:after="0" w:line="29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166</w:t>
            </w:r>
          </w:p>
        </w:tc>
      </w:tr>
    </w:tbl>
    <w:p>
      <w:pPr>
        <w:sectPr>
          <w:pgSz w:w="11900" w:h="16838" w:orient="portrait"/>
          <w:cols w:equalWidth="0" w:num="1">
            <w:col w:w="11240"/>
          </w:cols>
          <w:pgMar w:left="320" w:top="167" w:right="339" w:bottom="1440" w:gutter="0" w:footer="0" w:header="0"/>
        </w:sectPr>
      </w:pPr>
    </w:p>
    <w:bookmarkStart w:id="174" w:name="page175"/>
    <w:bookmarkEnd w:id="17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23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The collection and use of personal data in the European Union had previously been governed by the provisions of the EU Data Protection Directive, which EU member states were required to implement. While the Data Protection Directive did not apply to organizations based outside the European Union, the GDPR has expanded its reach to include any business, regardless of its location, that targets goods or services to residents in the European Union or that “monitors” their behavior in the European Union. The GDPR imposes strict requirements on controllers and processors of personal data, including special protections for “sensitive information” which includes health and genetic information of patients residing in the European Union. The GDPR also imposes strict rules on the transfer of personal data out of the European Union to the United States and other countries. In addition, the GDPR provides that EU member states may make their own further laws and regulations limiting the processing of personal data, including genetic, biometric or health data.</w:t>
      </w:r>
    </w:p>
    <w:p>
      <w:pPr>
        <w:spacing w:after="0" w:line="200" w:lineRule="exact"/>
        <w:rPr>
          <w:sz w:val="20"/>
          <w:szCs w:val="20"/>
          <w:color w:val="auto"/>
        </w:rPr>
      </w:pPr>
    </w:p>
    <w:p>
      <w:pPr>
        <w:spacing w:after="0" w:line="30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and the above-mentioned applicable law triggers apply.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23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Other jurisdictions outside the European Union are similarly introducing or enhancing privacy and data security laws, rules and regulations, which could increase our compliance costs and the risks associated with non-compliance. In particular, in China, where some of our clinical data are originated, the cybersecurity, data privacy, data protection, or other data-related laws and regulations, including the Human Genetic Resources Regulation (which regulates transfer human genetic data generated in clinical research to foreign or foreign controlled parties), may require approvals or filings prior to transferring those data to foreign-owned entities or overseas, and these regimes are continually evolving, meaning their interpretation and application may be uncertain. In the United States, we may be subject to restrictions and requirements under the Department of Justice’s Final Rule issued on December 27, 2024 implementing the Executive Order on Preventing Access to Americans’ Bulk Sensitive Personal Data and United States Government-Related Data by Countries of Concern, signed on February 28, 2024. Practices regarding the collection, use, storage, transmission and security of personal information by companies have also been subject to increasing regulatory focus. As such,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In addition, the uncertainties regarding further interpretation and implementation of these laws and regulations may adversely affect the secure storage of documented work as well as the cross-border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167</w:t>
            </w:r>
          </w:p>
        </w:tc>
      </w:tr>
    </w:tbl>
    <w:p>
      <w:pPr>
        <w:sectPr>
          <w:pgSz w:w="11900" w:h="16838" w:orient="portrait"/>
          <w:cols w:equalWidth="0" w:num="1">
            <w:col w:w="11240"/>
          </w:cols>
          <w:pgMar w:left="320" w:top="167" w:right="339" w:bottom="1440" w:gutter="0" w:footer="0" w:header="0"/>
        </w:sectPr>
      </w:pPr>
    </w:p>
    <w:bookmarkStart w:id="175" w:name="page176"/>
    <w:bookmarkEnd w:id="17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important data and personal information originated from our clinical trial activities, which are critical to the development of our pipelines.</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and other international data protection regulations, especially with regard to clinical trial activities. For example, it is not clear if the authorities will conduct random audits of companies doing business in the European Union, or if the authorities will wait for complaints to be filed by individuals who claim their rights have been violated, as enforcement practices vary from country to country. Enforcement uncertainty and the costs associated with ensuring GDPR compliance may be onerous and adversely affect our business, financial condition, results of operations and prospects. If we fail to comply with the GDPR and the applicable national data protection laws of the EU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200" w:lineRule="exact"/>
        <w:rPr>
          <w:sz w:val="20"/>
          <w:szCs w:val="20"/>
          <w:color w:val="auto"/>
        </w:rPr>
      </w:pPr>
    </w:p>
    <w:p>
      <w:pPr>
        <w:spacing w:after="0" w:line="31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many jurisdictions, there are legal requirements to provide notice of breaches to affected individuals and/or regulators in certain circumstances. Such a notice could harm our reputation and our ability to compete. Regulators may also have the discretion to impose penalties without attempting to resolve violations through informal means.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or our third-party suppliers fail to comply with environmental, health and safety laws and regulations, we could become subject to fines or penalties or incur costs that could harm our business.</w:t>
      </w:r>
    </w:p>
    <w:p>
      <w:pPr>
        <w:spacing w:after="0" w:line="15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168</w:t>
            </w:r>
          </w:p>
        </w:tc>
      </w:tr>
    </w:tbl>
    <w:p>
      <w:pPr>
        <w:sectPr>
          <w:pgSz w:w="11900" w:h="16838" w:orient="portrait"/>
          <w:cols w:equalWidth="0" w:num="1">
            <w:col w:w="11240"/>
          </w:cols>
          <w:pgMar w:left="320" w:top="167" w:right="339" w:bottom="1440" w:gutter="0" w:footer="0" w:header="0"/>
        </w:sectPr>
      </w:pPr>
    </w:p>
    <w:bookmarkStart w:id="176" w:name="page177"/>
    <w:bookmarkEnd w:id="17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3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21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5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236"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00" w:lineRule="exact"/>
        <w:rPr>
          <w:sz w:val="20"/>
          <w:szCs w:val="20"/>
          <w:color w:val="auto"/>
        </w:rPr>
      </w:pPr>
    </w:p>
    <w:p>
      <w:pPr>
        <w:spacing w:after="0" w:line="28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Ownership of the ADSs</w:t>
      </w:r>
    </w:p>
    <w:p>
      <w:pPr>
        <w:spacing w:after="0" w:line="17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b w:val="1"/>
          <w:bCs w:val="1"/>
          <w:color w:val="005A64"/>
        </w:rPr>
        <w:t>We have experienced and may continue to experience significant volatility in the market price of the ADSs representing our ordinary shares.</w:t>
      </w:r>
    </w:p>
    <w:p>
      <w:pPr>
        <w:spacing w:after="0" w:line="39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Biopharmaceutical companies such as BioNTech SE that are developing potential therapeutics and vaccines to combat COVID-19, as well as conducting mRNA-based research in oncology and infectious disease more generally, have experienced significant volatility in the price of their securities upon publication of preclinical and clinical data as well as news about their development programs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169</w:t>
            </w:r>
          </w:p>
        </w:tc>
      </w:tr>
    </w:tbl>
    <w:p>
      <w:pPr>
        <w:sectPr>
          <w:pgSz w:w="11900" w:h="16838" w:orient="portrait"/>
          <w:cols w:equalWidth="0" w:num="1">
            <w:col w:w="11240"/>
          </w:cols>
          <w:pgMar w:left="320" w:top="167" w:right="339" w:bottom="1440" w:gutter="0" w:footer="0" w:header="0"/>
        </w:sectPr>
      </w:pPr>
    </w:p>
    <w:bookmarkStart w:id="177" w:name="page178"/>
    <w:bookmarkEnd w:id="17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and commercialization activities. For example, during 2024, the closing sales price of the ADSs representing our ordinary shares on the Nasdaq Global Select Market ranged from $78.36 to $124.71, with significant volatility occurring, for example, shortly after announcements by us or others related to regulatory matters, to our COVID-19 vaccine, to other COVID-19 vaccines, to development and commercialization pipelines in oncology and infectious disease, and to our transactions with third parties. Additionally, we have observed the trading price of the ADSs respond significantly to news and statements by us, government agencies, other vaccine developers, financial analysts or others relating to our business as well as to other COVID-19 vaccines and COVID-19 therapeutics and the spread of COVID-19 generally, even in cases in which we believe the news does not affect our business or vaccine specifically. Given the attention being paid to COVID-19 worldwide and the public scrutiny of COVID-19 development and commercialization announcements, and given that our COVID-19 vaccine is currently among the primary vaccines being used worldwide, any news regarding manufacturing, supply and distribution of our COVID-19 vaccine or unanticipated side effects of our COVID-19 vaccine, whether or not accurate, will attract significant attention and scrutiny and, as a result, the price of the ADSs representing our ordinary shares likely will continue to be volatile. In addition, volatility in the overall market and in the market price of a particular company’s securities can result in securities litigation, including shareholder class action lawsuits. Any securities litigation can result in substantial costs and a diversion of our management’s attention and resources.</w:t>
      </w:r>
    </w:p>
    <w:p>
      <w:pPr>
        <w:spacing w:after="0" w:line="200" w:lineRule="exact"/>
        <w:rPr>
          <w:sz w:val="20"/>
          <w:szCs w:val="20"/>
          <w:color w:val="auto"/>
        </w:rPr>
      </w:pPr>
    </w:p>
    <w:p>
      <w:pPr>
        <w:spacing w:after="0" w:line="2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Acquisitions, joint ventures and collaborations may increase our capital requirements, dilute our shareholders, cause us to incur debt or assume contingent liabilities, and subject us to other risks. We may not realize the benefits of these acquisitions, joint ventures or collaborations.</w:t>
      </w:r>
    </w:p>
    <w:p>
      <w:pPr>
        <w:spacing w:after="0" w:line="38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operating expenses and cash requirements;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assumption of additional indebtedness or contingent liabilities;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assimilation of operations, intellectual property and products of an acquired company, including difficulties associated with integrating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new personnel;</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diversion of our management’s attention from our existing product programs and initiatives in pursuing such a strategic merger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acquisition;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retention of key employees, the loss of key personnel, and uncertainties in our ability to maintain key business relationships;</w:t>
      </w:r>
    </w:p>
    <w:p>
      <w:pPr>
        <w:spacing w:after="0" w:line="333"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and uncertainties associated with the other party to such a transaction, including the prospects of that party and their existing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or product candidates and regulatory approvals, their quality control, quality assurance, internal controls, legal and compliance procedures; and</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inability to generate revenue from acquired technology or products sufficient to meet our objectives in undertaking the acquisition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even to offset the associated acquisition and maintenance costs.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170</w:t>
            </w:r>
          </w:p>
        </w:tc>
      </w:tr>
    </w:tbl>
    <w:p>
      <w:pPr>
        <w:sectPr>
          <w:pgSz w:w="11900" w:h="16838" w:orient="portrait"/>
          <w:cols w:equalWidth="0" w:num="1">
            <w:col w:w="11240"/>
          </w:cols>
          <w:pgMar w:left="320" w:top="167" w:right="339" w:bottom="1440" w:gutter="0" w:footer="0" w:header="0"/>
        </w:sectPr>
      </w:pPr>
    </w:p>
    <w:bookmarkStart w:id="178" w:name="page179"/>
    <w:bookmarkEnd w:id="17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In addition, if we undertake acquisitions, we may utilize our cash, issue dilutive securities, assume or incur debt obligations, incur large one-time expenses and acquire intangible assets that could result in significant future amortization expense. For example, in July 2023, we acquired InstaDeep, a leading global technology company in the field of AI and machine learning, for upfront consideration of cash and BioNTech shares, and potential future milestone payments. Although we believe that AI and machine learning technology has the potential to accelerate the development of therapeutic programs and further optimize manufacturing and supply chain processes, it is possible that our use of the acquired technology will not achieve the desired results, and that we will not be able to retain and grow InstaDeep’s business around the world. If demand for the services developed by InstaDeep does not continue, or if we are unable to improve our AI and machine learning technology in a timely, effective and competitive manner, we may not be able realize the expected outcomes from the InstaDeep acquisition. In January 2025, we acquired Biotheus, a clinical-stage biotechnology company, for upfront consideration predominantly of cash, with a small portion in our ADSs, and potential future milestone payments. Although the Biotheus acquisition expands our operations in China, our expectations regarding the creation of long-term value for shareholders and potential future commercialization in oncology may not be realized. In June 2025, we entered into a purchase agreement with CureVac N.V., a biotechnology company focused on the development of mRNA therapeutics, to acquire CureVac through a public exchange offer. While we believe the proposed acquisition has the potential to enhance our capabilities in mRNA research, development, manufacturing and commercialization, there can be no assurance that the transaction will be completed on the expected timeline or at all, or that we will realize the anticipated benefits from the transaction, if completed. There is no guarantee that we will realize any anticipated benefits of these or future acquisitions, or that the diversification of our business through acquired technology or products will be successful.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spacing w:after="0" w:line="15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Articles of Association provide that the United States District Court for the Southern District of New York shall be the competent court of jurisdiction for the resolution of any litigation on the grounds of or in connection with U.S. federal or state capital market laws. In the absence of these provisions, under the Securities Act of 1933, as amended, or the Securities Act, U.S. federal and state courts have been found to have concurrent jurisdiction over suits brought to enforce duties or liabilities created by the Securities Act.</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choice of forum provision contained in our Articles of Association may limit a shareholder’s ability to bring a claim in a judicial forum that it finds favorable for disputes with us or our executive officers, directors, or other employees, or impose additional litigation costs on shareholders in pursuing any such claims, particularly if the shareholders do not reside in or near the state of New York, which may discourage such lawsuits. In addition, while the Delaware Supreme Court ruled in March 2020 that federal forum selection provisions purporting to require claims under the Securities Act be brought in federal court are “facially valid” under Delaware law, there is uncertainty as to whether other U.S. or German courts will enforce our choice of forum provision. The enforceability of similar choice of forum provisions in other companies’ governing documents has been challenged in recent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171</w:t>
            </w:r>
          </w:p>
        </w:tc>
      </w:tr>
    </w:tbl>
    <w:p>
      <w:pPr>
        <w:sectPr>
          <w:pgSz w:w="11900" w:h="16838" w:orient="portrait"/>
          <w:cols w:equalWidth="0" w:num="1">
            <w:col w:w="11240"/>
          </w:cols>
          <w:pgMar w:left="320" w:top="167" w:right="339" w:bottom="1440" w:gutter="0" w:footer="0" w:header="0"/>
        </w:sectPr>
      </w:pPr>
    </w:p>
    <w:bookmarkStart w:id="179" w:name="page180"/>
    <w:bookmarkEnd w:id="17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proceedings, and it is possible that a court in the relevant jurisdictions with respect to us could find the choice of forum provision contained our Articles of Association to be inapplicable or unenforceable. If the relevant court were to find the choice of forum provision contained in our articles of association to be inapplicable or unenforceable, we may incur additional costs associated with resolving such matters in other jurisdictions, which could adversely affect our business, financial condition and operating results. The choice of forum provision may also impose additional litigation costs on shareholders who assert that the provision is not enforceable or invalid. The United States District Court for the Southern District of New York may also reach different judgments or results than would other courts, including courts where a shareholder considering a U.S.-based action may be located or would otherwise choose to bring the action, and such judgments may be more or less favorable to us than our shareholders.</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Holders of the ADSs may not be able to participate in any future preemptive subscription rights issues or elect to receive dividends in shares, which may cause additional dilution to their holdings.</w:t>
      </w:r>
    </w:p>
    <w:p>
      <w:pPr>
        <w:spacing w:after="0" w:line="158"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200" w:lineRule="exact"/>
        <w:rPr>
          <w:sz w:val="20"/>
          <w:szCs w:val="20"/>
          <w:color w:val="auto"/>
        </w:rPr>
      </w:pPr>
    </w:p>
    <w:p>
      <w:pPr>
        <w:spacing w:after="0" w:line="29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For example, ADS holders were unable to participate in our summer 2020 rights offering.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The amount and frequency of our dividends and ADS repurchases may fluctuate.</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amount, timing and execution of any ADS repurchase program we conduct in the future and the amount and timing of any dividends we pay may fluctuate based on our priorities for the use of cash for other purposes, and any ADS repurchases would be subject to the parameters contained in the applicable repurchase plan. These purposes may include operational spending, capital spending, acquisitions and repayment of debt. Additionally, we may choose to repurchase ADSs so that such ADSs may be used to settle outstanding and future equity awards granted to our employees. Changes in cash flows, tax laws and the price of the ADSs could also impact any ADS repurchase program. Additionally, we may enter into a Rule 10b5-1 trading plan governing the repurchases, and if we do, we would have no discretion over the particular purchases made and would only be able to set minimum price floors and maximum ADS count ceilings.</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172</w:t>
            </w:r>
          </w:p>
        </w:tc>
      </w:tr>
    </w:tbl>
    <w:p>
      <w:pPr>
        <w:sectPr>
          <w:pgSz w:w="11900" w:h="16838" w:orient="portrait"/>
          <w:cols w:equalWidth="0" w:num="1">
            <w:col w:w="11240"/>
          </w:cols>
          <w:pgMar w:left="320" w:top="167" w:right="339" w:bottom="1440" w:gutter="0" w:footer="0" w:header="0"/>
        </w:sectPr>
      </w:pPr>
    </w:p>
    <w:bookmarkStart w:id="180" w:name="page181"/>
    <w:bookmarkEnd w:id="18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principal shareholders and management own a significant percentage of our ordinary shares and will be able to exert significant control over matters subject to shareholder approval.</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executive officers, directors, five percent shareholders, and their affiliates beneficially own a majority of our ordinary shares (including ordinary shares represented by ADSs) as of December 31, 2024, and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shareholders may believe are in their best interest. Such insiders may also act in concert to waive rights to participate in rights offerings, as was done in our summer 2020 rights offering, which would have the effect of permitting the ADSs or shares underlying such waived rights to be offered to the public in an underwritten offering without contravening German law pricing requirements.</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The large number of shares eligible for sale or subject to rights requiring us to register them for sale could cause the market price of the ADSs to drop significantly, even if our business is performing well.</w:t>
      </w:r>
    </w:p>
    <w:p>
      <w:pPr>
        <w:spacing w:after="0" w:line="15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filed registration statements on Form S-8 under the Securities Act to register all ordinary shares issued or issuable under our equity plans. Such Form S-8 registration statements have become, and any other registration statements on Form S-8 we file in the future will become, effective upon filing, upon which shares registered under such registration statements become available for sale in the open market.</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Additionally, certain sales of ADSs or our ordinary shares that we have made have included, and we may in the future make sales including, holding period restrictions or registration rights. 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to sell the ADSs on favorable terms.</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005A64"/>
        </w:rPr>
        <w:t>If we are a “passive foreign investment company” for U.S. federal income tax purposes, there may be adverse U.S. federal income tax consequences to U.S. investors.</w:t>
      </w:r>
    </w:p>
    <w:p>
      <w:pPr>
        <w:spacing w:after="0" w:line="17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Based on our income and assets, we believe that we should be treated as a “passive foreign investment company,” or PFIC, for the preceding taxable year. However, the determination of our PFIC status is made annually based on the factual tests described below. Consequently, while we may be a PFIC in future years, we cannot estimate with certainty at this stage whether or not we are likely to be treated as a PFIC in the current taxable year or any future taxable years. Generally, if, for any taxable year, at least 75 percent of our gross income is “passive income” or at least 50 percent of our gross assets during the taxable year (based on the average of the fair market values of the assets determined at the end of each quarterly period) are assets that produce or are held for the production of passive income, we will be characterized as a PFIC for U.S. federal income tax purposes.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should not be considered passive income for purposes of the PFIC test. For example, if we were to be characterized as a PFIC for U.S. federal income tax purposes in any taxable year during which a U.S. Holder (as defined in “Taxation —Material United States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173</w:t>
            </w:r>
          </w:p>
        </w:tc>
      </w:tr>
    </w:tbl>
    <w:p>
      <w:pPr>
        <w:sectPr>
          <w:pgSz w:w="11900" w:h="16838" w:orient="portrait"/>
          <w:cols w:equalWidth="0" w:num="1">
            <w:col w:w="11240"/>
          </w:cols>
          <w:pgMar w:left="320" w:top="167" w:right="339" w:bottom="1440" w:gutter="0" w:footer="0" w:header="0"/>
        </w:sectPr>
      </w:pPr>
    </w:p>
    <w:bookmarkStart w:id="181" w:name="page182"/>
    <w:bookmarkEnd w:id="18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income tax considerations” in our Annual Report on Form 20-F as of and for the year ended December 31, 2024) holds ordinary shares or ADSs, such U.S. Holder could be subject to additional taxes and interest charges upon certain distributions by us and any gain recognized on a sale, exchange or other disposition of our shares, whether or not we continue to be characterized as a PFIC. Certain adverse consequences of PFIC status can be mitigated if a U.S. Holder makes a “mark to market” election or a “Qualified Electing Fund” (QEF) election. We have made available to U.S. Holders the information necessary to make and maintain a QEF election for the year ended December 31, 2024, and intend to provide U.S. holders with the necessary information for any taxable year in which we are treated as a PFIC. See “Taxation — Material United States federal income tax considerations —Passive foreign investment company considerations” in our Annual Report on Form 20-F as of and for the year ended December 31, 2024.</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Whether we are a PFIC for any taxable year will depend on the composition of our income and the composition and value of our assets from time to time. Each U.S. Holder is strongly urged to consult their tax advisor regarding these issues and any available elections to mitigate such tax consequences.</w:t>
      </w:r>
    </w:p>
    <w:p>
      <w:pPr>
        <w:spacing w:after="0" w:line="200" w:lineRule="exact"/>
        <w:rPr>
          <w:sz w:val="20"/>
          <w:szCs w:val="20"/>
          <w:color w:val="auto"/>
        </w:rPr>
      </w:pP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The acquisition of a substantial interest in the Company by non-EU/non-EFTA investors requires government approval, which may restrict certain investments and limit demand for the BioNTech ADSs.</w:t>
      </w:r>
    </w:p>
    <w:p>
      <w:pPr>
        <w:spacing w:after="0" w:line="15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As the Company is considered an operator of “critical infrastructure” within the meaning of the Ordinance on the Designation of Critical Infrastructure pursuant to the BSI Act (Verordnung zur Bestimmung Kritischer Infrastrukturen nach dem BSI-Gesetz), it falls within the scope of the cross-sector review of the German foreign investment screening regime under the German Foreign Trade and Payments Ordinance (Außenwirtschaftsverordnung). As a result, non-EU/non-EFTA investors intending to acquire, directly or indirectly, at least 10% of the voting rights in the Company or who already hold voting rights in the Company and will acquire further voting rights reaching or exceeding 20%, 25%, 40%, 50% or 75% of the voting rights in the Company must notify the planned acquisition to the German Federal Ministry for Economic Affairs and Energy (Bundesministerium für Wirtschaft und Energie, or the BMWE). The BMWE will then assess whether the acquisition likely adversely affects the public order or security of Germany or other EU member states or projects or programs of Union interest within the meaning of Article 8 of Regulation (EU) 2019/452 of the European Parliament and of the Council of 19 March 2019 establishing a framework for the screening of foreign direct investments into the Union. Clearance by the BMWE qualifies as a closing condition for all over-the-counter transactions. If the acquisition has been made via the stock exchange, the acquirer is prohibited from exercising its voting rights until the transaction has been cleared or is deemed cleared. If the BMWE identifies likely adverse effects, the acquisition of voting rights in the Company could be restricted or prohibited or, if the acquisition has been made via the stock exchange, the BMWE may order a sell-down of the voting rights in the Company acquired via the stock exchange or a transfer to a trustee within a certain period of time and/or prohibit the exercise of voting rights until such time as the acquisition is finally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174</w:t>
            </w:r>
          </w:p>
        </w:tc>
      </w:tr>
    </w:tbl>
    <w:p>
      <w:pPr>
        <w:sectPr>
          <w:pgSz w:w="11900" w:h="16838" w:orient="portrait"/>
          <w:cols w:equalWidth="0" w:num="1">
            <w:col w:w="11240"/>
          </w:cols>
          <w:pgMar w:left="320" w:top="167" w:right="339" w:bottom="1440" w:gutter="0" w:footer="0" w:header="0"/>
        </w:sectPr>
      </w:pPr>
    </w:p>
    <w:bookmarkStart w:id="182" w:name="page183"/>
    <w:bookmarkEnd w:id="18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Disclaimer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Forward-Looking Statements</w:t>
      </w:r>
    </w:p>
    <w:p>
      <w:pPr>
        <w:spacing w:after="0" w:line="17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This quarterly report contains forward-looking statements within the meaning of the Private Securities Litigation Reform Act of 1995, as amended, including, but not limited to, statements concerning: our expected revenues and net profit/(loss) related to sales of our COVID-19 vaccine, referred to as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where approved for use under full or conditional marketing authorization, in territories controlled by our collaboration partners, particularly for those figures that are derived from preliminary estimates provided by our partners; the rate and degree of market acceptance of our COVID-19 vaccine and, if approved, our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our research and development programs, including our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our expectations regarding potential future commercialization in oncology, including goals regarding timing and indications; the targeted timing and number of potentially registrational trials, and the registrational potential of any trial we may initiate; discussions with regulatory agencies; our expectations with respect to intellectual property; the impact of our planned acquisition of CureVac N.V.; the impact of our collaboration and licensing agreements; the development, nature and feasibility of sustainable vaccine production and supply solutions; the deployment of AI across our preclinical and clinical operations; our expectations with respect to tariff policy; our expectations with respect to government investigations; and our expectations with respect to legal claims and proceedings.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00" w:lineRule="exact"/>
        <w:rPr>
          <w:sz w:val="20"/>
          <w:szCs w:val="20"/>
          <w:color w:val="auto"/>
        </w:rPr>
      </w:pPr>
    </w:p>
    <w:p>
      <w:pPr>
        <w:spacing w:after="0" w:line="312"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The forward-looking statements in this quarterly report are based on our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report, and including the possibility of unfavorable new preclinical, clinical or safety data and further analyses of existing preclinical, clinical or safety data; the nature of the clinical data, which is subject to ongoing peer review, regulatory review and market interpretation; our pricing and coverage negotiations regarding our COVID-19 vaccines with governmental authorities, private health insurers and other third-party payors; the future commercial demand and medical need for initial or booster doses of a COVID-19 vaccine; the impact of tariffs and escalations in trade policy; competition from other COVID-19 vaccines or related to our other product candidates, including those with different mechanisms of action and different manufacturing and distribution constraints, on the basis of,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175</w:t>
            </w:r>
          </w:p>
        </w:tc>
      </w:tr>
    </w:tbl>
    <w:p>
      <w:pPr>
        <w:sectPr>
          <w:pgSz w:w="11900" w:h="16838" w:orient="portrait"/>
          <w:cols w:equalWidth="0" w:num="1">
            <w:col w:w="11240"/>
          </w:cols>
          <w:pgMar w:left="320" w:top="167" w:right="339" w:bottom="1440" w:gutter="0" w:footer="0" w:header="0"/>
        </w:sectPr>
      </w:pPr>
    </w:p>
    <w:bookmarkStart w:id="183" w:name="page184"/>
    <w:bookmarkEnd w:id="18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efficacy, cost, convenience of storage and distribution, breadth of approved use, side-effect profile and durability of immune response; the timing of and our ability to obtain and maintain regulatory approval for our product candidates; the ability of our COVID-19 vaccine to prevent COVID-19 caused by emerging virus variants; our and our counterparties’ ability to manage and source necessary energy resources; our ability to identify research opportunities and discover and develop investigational medicines; the ability and willingness of our third-party collaborators to continue research and development activities relating to our development candidates and investigational medicines; the impact of COVID-19 on our development programs, supply chain, collaborators and financial performance; unforeseen safety issues and claims for personal injury or death arising from the use of our COVID-19 vaccine and other products and product candidates developed or manufactured by us; our ability and that of our collaborators to commercialize and market our COVID-19 vaccine and, if approved, our product candidates; our ability to manage our development and related expenses; regulatory developments in the United States and other countries; our ability to effectively scale our production capabilities and manufacture our products, including our target COVID-19 vaccine production levels, and our product candidates; risks relating to the global financial system and markets; and other factors not known to us at this time. You should review the risks and uncertainties described under the heading “Risk Factors” in this quarterly report for the three and six months ended June 30, 2025 and in subsequent filings made by BioNTech with the SEC, which are available on the SEC’s website at https://www.sec.gov/. These forward-looking statements speak only as of the date hereof. Except as required by law, BioNTech disclaims any intention or responsibility for updating or revising any forward-looking statements contained in this quarterly report in the event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General Information</w:t>
      </w:r>
    </w:p>
    <w:p>
      <w:pPr>
        <w:spacing w:after="0" w:line="17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This quarterly report contains references to our trademarks and to trademarks belong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 xml:space="preserve">The BioNTech name, and certain other names used or intended to be used by our business, are protected by trademarks. Our trademark portfolio includes, but is not limited to, </w:t>
      </w:r>
      <w:r>
        <w:rPr>
          <w:rFonts w:ascii="Times New Roman" w:cs="Times New Roman" w:eastAsia="Times New Roman" w:hAnsi="Times New Roman"/>
          <w:sz w:val="18"/>
          <w:szCs w:val="18"/>
          <w:i w:val="1"/>
          <w:iCs w:val="1"/>
          <w:color w:val="080509"/>
        </w:rPr>
        <w:t>BioNTech</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RiboCytokine, RiboMab</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Recon</w:t>
      </w:r>
      <w:r>
        <w:rPr>
          <w:rFonts w:ascii="Times New Roman" w:cs="Times New Roman" w:eastAsia="Times New Roman" w:hAnsi="Times New Roman"/>
          <w:sz w:val="18"/>
          <w:szCs w:val="18"/>
          <w:color w:val="080509"/>
        </w:rPr>
        <w:t xml:space="preserve">, and </w:t>
      </w:r>
      <w:r>
        <w:rPr>
          <w:rFonts w:ascii="Times New Roman" w:cs="Times New Roman" w:eastAsia="Times New Roman" w:hAnsi="Times New Roman"/>
          <w:sz w:val="18"/>
          <w:szCs w:val="18"/>
          <w:i w:val="1"/>
          <w:iCs w:val="1"/>
          <w:color w:val="080509"/>
        </w:rPr>
        <w:t>Neo-Stim</w:t>
      </w:r>
      <w:r>
        <w:rPr>
          <w:rFonts w:ascii="Times New Roman" w:cs="Times New Roman" w:eastAsia="Times New Roman" w:hAnsi="Times New Roman"/>
          <w:sz w:val="18"/>
          <w:szCs w:val="18"/>
          <w:color w:val="080509"/>
        </w:rPr>
        <w:t>, including logo versions of some of these trademarks. Brand names appearing in italics throughout this report, and the BioNTech name, are trademarks owned by BioNTech. All other trademarks are the property of their respective owners.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six months ended June 30, 2025</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176</w:t>
            </w:r>
          </w:p>
        </w:tc>
      </w:tr>
    </w:tbl>
    <w:p>
      <w:pPr>
        <w:spacing w:after="0" w:line="1" w:lineRule="exact"/>
        <w:rPr>
          <w:sz w:val="20"/>
          <w:szCs w:val="20"/>
          <w:color w:val="auto"/>
        </w:rPr>
      </w:pPr>
    </w:p>
    <w:sectPr>
      <w:pgSz w:w="11900" w:h="16838" w:orient="portrait"/>
      <w:cols w:equalWidth="0" w:num="1">
        <w:col w:w="11240"/>
      </w:cols>
      <w:pgMar w:left="320" w:top="1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1)"/>
      <w:numFmt w:val="decimal"/>
      <w:start w:val="1"/>
    </w:lvl>
  </w:abstractNum>
  <w:abstractNum w:abstractNumId="2">
    <w:nsid w:val="61574095"/>
    <w:multiLevelType w:val="hybridMultilevel"/>
    <w:lvl w:ilvl="0">
      <w:lvlJc w:val="left"/>
      <w:lvlText w:val="(%1)"/>
      <w:numFmt w:val="decimal"/>
      <w:start w:val="1"/>
    </w:lvl>
  </w:abstractNum>
  <w:abstractNum w:abstractNumId="3">
    <w:nsid w:val="7E0C57B1"/>
    <w:multiLevelType w:val="hybridMultilevel"/>
    <w:lvl w:ilvl="0">
      <w:lvlJc w:val="left"/>
      <w:lvlText w:val="\endash "/>
      <w:numFmt w:val="bullet"/>
      <w:start w:val="1"/>
    </w:lvl>
  </w:abstractNum>
  <w:abstractNum w:abstractNumId="4">
    <w:nsid w:val="77AE35EB"/>
    <w:multiLevelType w:val="hybridMultilevel"/>
    <w:lvl w:ilvl="0">
      <w:lvlJc w:val="left"/>
      <w:lvlText w:val="\endash "/>
      <w:numFmt w:val="bullet"/>
      <w:start w:val="1"/>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1)"/>
      <w:numFmt w:val="decimal"/>
      <w:start w:val="1"/>
    </w:lvl>
  </w:abstractNum>
  <w:abstractNum w:abstractNumId="7">
    <w:nsid w:val="5FF87E05"/>
    <w:multiLevelType w:val="hybridMultilevel"/>
    <w:lvl w:ilvl="0">
      <w:lvlJc w:val="left"/>
      <w:lvlText w:val="\endash "/>
      <w:numFmt w:val="bullet"/>
      <w:start w:val="1"/>
    </w:lvl>
  </w:abstractNum>
  <w:abstractNum w:abstractNumId="8">
    <w:nsid w:val="2F305DEF"/>
    <w:multiLevelType w:val="hybridMultilevel"/>
    <w:lvl w:ilvl="0">
      <w:lvlJc w:val="left"/>
      <w:lvlText w:val="\endash "/>
      <w:numFmt w:val="bullet"/>
      <w:start w:val="1"/>
    </w:lvl>
  </w:abstractNum>
  <w:abstractNum w:abstractNumId="9">
    <w:nsid w:val="25A70BF7"/>
    <w:multiLevelType w:val="hybridMultilevel"/>
    <w:lvl w:ilvl="0">
      <w:lvlJc w:val="left"/>
      <w:lvlText w:val="\endash "/>
      <w:numFmt w:val="bullet"/>
      <w:start w:val="1"/>
    </w:lvl>
  </w:abstractNum>
  <w:abstractNum w:abstractNumId="10">
    <w:nsid w:val="1DBABF00"/>
    <w:multiLevelType w:val="hybridMultilevel"/>
    <w:lvl w:ilvl="0">
      <w:lvlJc w:val="left"/>
      <w:lvlText w:val="\endash "/>
      <w:numFmt w:val="bullet"/>
      <w:start w:val="1"/>
    </w:lvl>
  </w:abstractNum>
  <w:abstractNum w:abstractNumId="11">
    <w:nsid w:val="4AD084E9"/>
    <w:multiLevelType w:val="hybridMultilevel"/>
    <w:lvl w:ilvl="0">
      <w:lvlJc w:val="left"/>
      <w:lvlText w:val="\endash "/>
      <w:numFmt w:val="bullet"/>
      <w:start w:val="1"/>
    </w:lvl>
  </w:abstractNum>
  <w:abstractNum w:abstractNumId="12">
    <w:nsid w:val="1F48EAA1"/>
    <w:multiLevelType w:val="hybridMultilevel"/>
    <w:lvl w:ilvl="0">
      <w:lvlJc w:val="left"/>
      <w:lvlText w:val="\endash "/>
      <w:numFmt w:val="bullet"/>
      <w:start w:val="1"/>
    </w:lvl>
  </w:abstractNum>
  <w:abstractNum w:abstractNumId="13">
    <w:nsid w:val="1381823A"/>
    <w:multiLevelType w:val="hybridMultilevel"/>
    <w:lvl w:ilvl="0">
      <w:lvlJc w:val="left"/>
      <w:lvlText w:val="\endash "/>
      <w:numFmt w:val="bullet"/>
      <w:start w:val="1"/>
    </w:lvl>
  </w:abstractNum>
  <w:abstractNum w:abstractNumId="14">
    <w:nsid w:val="5DB70AE5"/>
    <w:multiLevelType w:val="hybridMultilevel"/>
    <w:lvl w:ilvl="0">
      <w:lvlJc w:val="left"/>
      <w:lvlText w:val="\endash "/>
      <w:numFmt w:val="bullet"/>
      <w:start w:val="1"/>
    </w:lvl>
  </w:abstractNum>
  <w:abstractNum w:abstractNumId="15">
    <w:nsid w:val="100F8FCA"/>
    <w:multiLevelType w:val="hybridMultilevel"/>
    <w:lvl w:ilvl="0">
      <w:lvlJc w:val="left"/>
      <w:lvlText w:val="\endash "/>
      <w:numFmt w:val="bullet"/>
      <w:start w:val="1"/>
    </w:lvl>
  </w:abstractNum>
  <w:abstractNum w:abstractNumId="16">
    <w:nsid w:val="6590700B"/>
    <w:multiLevelType w:val="hybridMultilevel"/>
    <w:lvl w:ilvl="0">
      <w:lvlJc w:val="left"/>
      <w:lvlText w:val="\endash "/>
      <w:numFmt w:val="bullet"/>
      <w:start w:val="1"/>
    </w:lvl>
  </w:abstractNum>
  <w:abstractNum w:abstractNumId="17">
    <w:nsid w:val="15014ACB"/>
    <w:multiLevelType w:val="hybridMultilevel"/>
    <w:lvl w:ilvl="0">
      <w:lvlJc w:val="left"/>
      <w:lvlText w:val="\endash "/>
      <w:numFmt w:val="bullet"/>
      <w:start w:val="1"/>
    </w:lvl>
  </w:abstractNum>
  <w:abstractNum w:abstractNumId="18">
    <w:nsid w:val="5F5E7FD0"/>
    <w:multiLevelType w:val="hybridMultilevel"/>
    <w:lvl w:ilvl="0">
      <w:lvlJc w:val="left"/>
      <w:lvlText w:val="\endash "/>
      <w:numFmt w:val="bullet"/>
      <w:start w:val="1"/>
    </w:lvl>
  </w:abstractNum>
  <w:abstractNum w:abstractNumId="19">
    <w:nsid w:val="98A3148"/>
    <w:multiLevelType w:val="hybridMultilevel"/>
    <w:lvl w:ilvl="0">
      <w:lvlJc w:val="left"/>
      <w:lvlText w:val="\endash "/>
      <w:numFmt w:val="bullet"/>
      <w:start w:val="1"/>
    </w:lvl>
  </w:abstractNum>
  <w:abstractNum w:abstractNumId="20">
    <w:nsid w:val="799D0247"/>
    <w:multiLevelType w:val="hybridMultilevel"/>
    <w:lvl w:ilvl="0">
      <w:lvlJc w:val="left"/>
      <w:lvlText w:val="\endash "/>
      <w:numFmt w:val="bullet"/>
      <w:start w:val="1"/>
    </w:lvl>
  </w:abstractNum>
  <w:abstractNum w:abstractNumId="21">
    <w:nsid w:val="6B94764"/>
    <w:multiLevelType w:val="hybridMultilevel"/>
    <w:lvl w:ilvl="0">
      <w:lvlJc w:val="left"/>
      <w:lvlText w:val="\endash "/>
      <w:numFmt w:val="bullet"/>
      <w:start w:val="1"/>
    </w:lvl>
  </w:abstractNum>
  <w:abstractNum w:abstractNumId="22">
    <w:nsid w:val="42C296BD"/>
    <w:multiLevelType w:val="hybridMultilevel"/>
    <w:lvl w:ilvl="0">
      <w:lvlJc w:val="left"/>
      <w:lvlText w:val="\endash "/>
      <w:numFmt w:val="bullet"/>
      <w:start w:val="1"/>
    </w:lvl>
  </w:abstractNum>
  <w:abstractNum w:abstractNumId="23">
    <w:nsid w:val="168E121F"/>
    <w:multiLevelType w:val="hybridMultilevel"/>
    <w:lvl w:ilvl="0">
      <w:lvlJc w:val="left"/>
      <w:lvlText w:val="\endash "/>
      <w:numFmt w:val="bullet"/>
      <w:start w:val="1"/>
    </w:lvl>
  </w:abstractNum>
  <w:abstractNum w:abstractNumId="24">
    <w:nsid w:val="1EBA5D23"/>
    <w:multiLevelType w:val="hybridMultilevel"/>
    <w:lvl w:ilvl="0">
      <w:lvlJc w:val="left"/>
      <w:lvlText w:val="\endash "/>
      <w:numFmt w:val="bullet"/>
      <w:start w:val="1"/>
    </w:lvl>
  </w:abstractNum>
  <w:abstractNum w:abstractNumId="25">
    <w:nsid w:val="661E3F1E"/>
    <w:multiLevelType w:val="hybridMultilevel"/>
    <w:lvl w:ilvl="0">
      <w:lvlJc w:val="left"/>
      <w:lvlText w:val="\endash "/>
      <w:numFmt w:val="bullet"/>
      <w:start w:val="1"/>
    </w:lvl>
  </w:abstractNum>
  <w:abstractNum w:abstractNumId="26">
    <w:nsid w:val="5DC79EA8"/>
    <w:multiLevelType w:val="hybridMultilevel"/>
    <w:lvl w:ilvl="0">
      <w:lvlJc w:val="left"/>
      <w:lvlText w:val="\endash "/>
      <w:numFmt w:val="bullet"/>
      <w:start w:val="1"/>
    </w:lvl>
  </w:abstractNum>
  <w:abstractNum w:abstractNumId="27">
    <w:nsid w:val="540A471C"/>
    <w:multiLevelType w:val="hybridMultilevel"/>
    <w:lvl w:ilvl="0">
      <w:lvlJc w:val="left"/>
      <w:lvlText w:val="\endash "/>
      <w:numFmt w:val="bullet"/>
      <w:start w:val="1"/>
    </w:lvl>
  </w:abstractNum>
  <w:abstractNum w:abstractNumId="28">
    <w:nsid w:val="7BD3EE7B"/>
    <w:multiLevelType w:val="hybridMultilevel"/>
    <w:lvl w:ilvl="0">
      <w:lvlJc w:val="left"/>
      <w:lvlText w:val="\endash "/>
      <w:numFmt w:val="bullet"/>
      <w:start w:val="1"/>
    </w:lvl>
  </w:abstractNum>
  <w:abstractNum w:abstractNumId="29">
    <w:nsid w:val="51D9C564"/>
    <w:multiLevelType w:val="hybridMultilevel"/>
    <w:lvl w:ilvl="0">
      <w:lvlJc w:val="left"/>
      <w:lvlText w:val="\endash "/>
      <w:numFmt w:val="bullet"/>
      <w:start w:val="1"/>
    </w:lvl>
  </w:abstractNum>
  <w:abstractNum w:abstractNumId="30">
    <w:nsid w:val="613EFDC5"/>
    <w:multiLevelType w:val="hybridMultilevel"/>
    <w:lvl w:ilvl="0">
      <w:lvlJc w:val="left"/>
      <w:lvlText w:val="\endash "/>
      <w:numFmt w:val="bullet"/>
      <w:start w:val="1"/>
    </w:lvl>
  </w:abstractNum>
  <w:abstractNum w:abstractNumId="31">
    <w:nsid w:val="BF72B14"/>
    <w:multiLevelType w:val="hybridMultilevel"/>
    <w:lvl w:ilvl="0">
      <w:lvlJc w:val="left"/>
      <w:lvlText w:val="\endash "/>
      <w:numFmt w:val="bullet"/>
      <w:start w:val="1"/>
    </w:lvl>
  </w:abstractNum>
  <w:abstractNum w:abstractNumId="32">
    <w:nsid w:val="11447B73"/>
    <w:multiLevelType w:val="hybridMultilevel"/>
    <w:lvl w:ilvl="0">
      <w:lvlJc w:val="left"/>
      <w:lvlText w:val="\endash "/>
      <w:numFmt w:val="bullet"/>
      <w:start w:val="1"/>
    </w:lvl>
  </w:abstractNum>
  <w:abstractNum w:abstractNumId="33">
    <w:nsid w:val="42963E5A"/>
    <w:multiLevelType w:val="hybridMultilevel"/>
    <w:lvl w:ilvl="0">
      <w:lvlJc w:val="left"/>
      <w:lvlText w:val="\endash "/>
      <w:numFmt w:val="bullet"/>
      <w:start w:val="1"/>
    </w:lvl>
  </w:abstractNum>
  <w:abstractNum w:abstractNumId="34">
    <w:nsid w:val="A0382C5"/>
    <w:multiLevelType w:val="hybridMultilevel"/>
    <w:lvl w:ilvl="0">
      <w:lvlJc w:val="left"/>
      <w:lvlText w:val="\endash "/>
      <w:numFmt w:val="bullet"/>
      <w:start w:val="1"/>
    </w:lvl>
  </w:abstractNum>
  <w:abstractNum w:abstractNumId="35">
    <w:nsid w:val="8F2B15E"/>
    <w:multiLevelType w:val="hybridMultilevel"/>
    <w:lvl w:ilvl="0">
      <w:lvlJc w:val="left"/>
      <w:lvlText w:val="\endash "/>
      <w:numFmt w:val="bullet"/>
      <w:start w:val="1"/>
    </w:lvl>
  </w:abstractNum>
  <w:abstractNum w:abstractNumId="36">
    <w:nsid w:val="1A32234B"/>
    <w:multiLevelType w:val="hybridMultilevel"/>
    <w:lvl w:ilvl="0">
      <w:lvlJc w:val="left"/>
      <w:lvlText w:val="\endash "/>
      <w:numFmt w:val="bullet"/>
      <w:start w:val="1"/>
    </w:lvl>
  </w:abstractNum>
  <w:abstractNum w:abstractNumId="37">
    <w:nsid w:val="3B0FD379"/>
    <w:multiLevelType w:val="hybridMultilevel"/>
    <w:lvl w:ilvl="0">
      <w:lvlJc w:val="left"/>
      <w:lvlText w:val="\endash "/>
      <w:numFmt w:val="bullet"/>
      <w:start w:val="1"/>
    </w:lvl>
  </w:abstractNum>
  <w:abstractNum w:abstractNumId="38">
    <w:nsid w:val="68EB2F63"/>
    <w:multiLevelType w:val="hybridMultilevel"/>
    <w:lvl w:ilvl="0">
      <w:lvlJc w:val="left"/>
      <w:lvlText w:val="\endash "/>
      <w:numFmt w:val="bullet"/>
      <w:start w:val="1"/>
    </w:lvl>
  </w:abstractNum>
  <w:abstractNum w:abstractNumId="39">
    <w:nsid w:val="4962813B"/>
    <w:multiLevelType w:val="hybridMultilevel"/>
    <w:lvl w:ilvl="0">
      <w:lvlJc w:val="left"/>
      <w:lvlText w:val="\endash "/>
      <w:numFmt w:val="bullet"/>
      <w:start w:val="1"/>
    </w:lvl>
  </w:abstractNum>
  <w:abstractNum w:abstractNumId="40">
    <w:nsid w:val="60B6DF70"/>
    <w:multiLevelType w:val="hybridMultilevel"/>
    <w:lvl w:ilvl="0">
      <w:lvlJc w:val="left"/>
      <w:lvlText w:val="\endash "/>
      <w:numFmt w:val="bullet"/>
      <w:start w:val="1"/>
    </w:lvl>
  </w:abstractNum>
  <w:abstractNum w:abstractNumId="41">
    <w:nsid w:val="6A5EE64"/>
    <w:multiLevelType w:val="hybridMultilevel"/>
    <w:lvl w:ilvl="0">
      <w:lvlJc w:val="left"/>
      <w:lvlText w:val="%1."/>
      <w:numFmt w:val="lowerLetter"/>
      <w:start w:val="1"/>
    </w:lvl>
  </w:abstractNum>
  <w:abstractNum w:abstractNumId="42">
    <w:nsid w:val="14330624"/>
    <w:multiLevelType w:val="hybridMultilevel"/>
    <w:lvl w:ilvl="0">
      <w:lvlJc w:val="left"/>
      <w:lvlText w:val="\endash "/>
      <w:numFmt w:val="bullet"/>
      <w:start w:val="1"/>
    </w:lvl>
  </w:abstractNum>
  <w:abstractNum w:abstractNumId="43">
    <w:nsid w:val="7FFFCA11"/>
    <w:multiLevelType w:val="hybridMultilevel"/>
    <w:lvl w:ilvl="0">
      <w:lvlJc w:val="left"/>
      <w:lvlText w:val="\endash "/>
      <w:numFmt w:val="bullet"/>
      <w:start w:val="1"/>
    </w:lvl>
  </w:abstractNum>
  <w:abstractNum w:abstractNumId="44">
    <w:nsid w:val="1A27709E"/>
    <w:multiLevelType w:val="hybridMultilevel"/>
    <w:lvl w:ilvl="0">
      <w:lvlJc w:val="left"/>
      <w:lvlText w:val="\endash "/>
      <w:numFmt w:val="bullet"/>
      <w:start w:val="1"/>
    </w:lvl>
  </w:abstractNum>
  <w:abstractNum w:abstractNumId="45">
    <w:nsid w:val="71EA1109"/>
    <w:multiLevelType w:val="hybridMultilevel"/>
    <w:lvl w:ilvl="0">
      <w:lvlJc w:val="left"/>
      <w:lvlText w:val="\endash "/>
      <w:numFmt w:val="bullet"/>
      <w:start w:val="1"/>
    </w:lvl>
  </w:abstractNum>
  <w:abstractNum w:abstractNumId="46">
    <w:nsid w:val="100F59DC"/>
    <w:multiLevelType w:val="hybridMultilevel"/>
    <w:lvl w:ilvl="0">
      <w:lvlJc w:val="left"/>
      <w:lvlText w:val="\endash "/>
      <w:numFmt w:val="bullet"/>
      <w:start w:val="1"/>
    </w:lvl>
  </w:abstractNum>
  <w:abstractNum w:abstractNumId="47">
    <w:nsid w:val="7FB7E0AA"/>
    <w:multiLevelType w:val="hybridMultilevel"/>
    <w:lvl w:ilvl="0">
      <w:lvlJc w:val="left"/>
      <w:lvlText w:val="\endash "/>
      <w:numFmt w:val="bullet"/>
      <w:start w:val="1"/>
    </w:lvl>
  </w:abstractNum>
  <w:abstractNum w:abstractNumId="48">
    <w:nsid w:val="6EB5BD4"/>
    <w:multiLevelType w:val="hybridMultilevel"/>
    <w:lvl w:ilvl="0">
      <w:lvlJc w:val="left"/>
      <w:lvlText w:val="\endash "/>
      <w:numFmt w:val="bullet"/>
      <w:start w:val="1"/>
    </w:lvl>
  </w:abstractNum>
  <w:abstractNum w:abstractNumId="49">
    <w:nsid w:val="6F6DD9AC"/>
    <w:multiLevelType w:val="hybridMultilevel"/>
    <w:lvl w:ilvl="0">
      <w:lvlJc w:val="left"/>
      <w:lvlText w:val="\endash "/>
      <w:numFmt w:val="bullet"/>
      <w:start w:val="1"/>
    </w:lvl>
  </w:abstractNum>
  <w:abstractNum w:abstractNumId="50">
    <w:nsid w:val="94211F2"/>
    <w:multiLevelType w:val="hybridMultilevel"/>
    <w:lvl w:ilvl="0">
      <w:lvlJc w:val="left"/>
      <w:lvlText w:val="\endash "/>
      <w:numFmt w:val="bullet"/>
      <w:start w:val="1"/>
    </w:lvl>
  </w:abstractNum>
  <w:abstractNum w:abstractNumId="51">
    <w:nsid w:val="885E1B"/>
    <w:multiLevelType w:val="hybridMultilevel"/>
    <w:lvl w:ilvl="0">
      <w:lvlJc w:val="left"/>
      <w:lvlText w:val="\endash "/>
      <w:numFmt w:val="bullet"/>
      <w:start w:val="1"/>
    </w:lvl>
  </w:abstractNum>
  <w:abstractNum w:abstractNumId="52">
    <w:nsid w:val="76272110"/>
    <w:multiLevelType w:val="hybridMultilevel"/>
    <w:lvl w:ilvl="0">
      <w:lvlJc w:val="left"/>
      <w:lvlText w:val="\endash "/>
      <w:numFmt w:val="bullet"/>
      <w:start w:val="1"/>
    </w:lvl>
  </w:abstractNum>
  <w:abstractNum w:abstractNumId="53">
    <w:nsid w:val="4C04A8AF"/>
    <w:multiLevelType w:val="hybridMultilevel"/>
    <w:lvl w:ilvl="0">
      <w:lvlJc w:val="left"/>
      <w:lvlText w:val="\endash "/>
      <w:numFmt w:val="bullet"/>
      <w:start w:val="1"/>
    </w:lvl>
  </w:abstractNum>
  <w:abstractNum w:abstractNumId="54">
    <w:nsid w:val="1716703B"/>
    <w:multiLevelType w:val="hybridMultilevel"/>
    <w:lvl w:ilvl="0">
      <w:lvlJc w:val="left"/>
      <w:lvlText w:val="\endash "/>
      <w:numFmt w:val="bullet"/>
      <w:start w:val="1"/>
    </w:lvl>
  </w:abstractNum>
  <w:abstractNum w:abstractNumId="55">
    <w:nsid w:val="14E17E33"/>
    <w:multiLevelType w:val="hybridMultilevel"/>
    <w:lvl w:ilvl="0">
      <w:lvlJc w:val="left"/>
      <w:lvlText w:val="\endash "/>
      <w:numFmt w:val="bullet"/>
      <w:start w:val="1"/>
    </w:lvl>
  </w:abstractNum>
  <w:abstractNum w:abstractNumId="56">
    <w:nsid w:val="3222E7CD"/>
    <w:multiLevelType w:val="hybridMultilevel"/>
    <w:lvl w:ilvl="0">
      <w:lvlJc w:val="left"/>
      <w:lvlText w:val="\endash "/>
      <w:numFmt w:val="bullet"/>
      <w:start w:val="1"/>
    </w:lvl>
  </w:abstractNum>
  <w:abstractNum w:abstractNumId="57">
    <w:nsid w:val="74DE0EE3"/>
    <w:multiLevelType w:val="hybridMultilevel"/>
    <w:lvl w:ilvl="0">
      <w:lvlJc w:val="left"/>
      <w:lvlText w:val="\endash "/>
      <w:numFmt w:val="bullet"/>
      <w:start w:val="1"/>
    </w:lvl>
  </w:abstractNum>
  <w:abstractNum w:abstractNumId="58">
    <w:nsid w:val="68EBC550"/>
    <w:multiLevelType w:val="hybridMultilevel"/>
    <w:lvl w:ilvl="0">
      <w:lvlJc w:val="left"/>
      <w:lvlText w:val="\endash "/>
      <w:numFmt w:val="bullet"/>
      <w:start w:val="1"/>
    </w:lvl>
  </w:abstractNum>
  <w:abstractNum w:abstractNumId="59">
    <w:nsid w:val="2DF6D648"/>
    <w:multiLevelType w:val="hybridMultilevel"/>
    <w:lvl w:ilvl="0">
      <w:lvlJc w:val="left"/>
      <w:lvlText w:val="\endash "/>
      <w:numFmt w:val="bullet"/>
      <w:start w:val="1"/>
    </w:lvl>
  </w:abstractNum>
  <w:abstractNum w:abstractNumId="60">
    <w:nsid w:val="46B7D447"/>
    <w:multiLevelType w:val="hybridMultilevel"/>
    <w:lvl w:ilvl="0">
      <w:lvlJc w:val="left"/>
      <w:lvlText w:val="\endash "/>
      <w:numFmt w:val="bullet"/>
      <w:start w:val="1"/>
    </w:lvl>
  </w:abstractNum>
  <w:abstractNum w:abstractNumId="61">
    <w:nsid w:val="4A2AC315"/>
    <w:multiLevelType w:val="hybridMultilevel"/>
    <w:lvl w:ilvl="0">
      <w:lvlJc w:val="left"/>
      <w:lvlText w:val="\endash "/>
      <w:numFmt w:val="bullet"/>
      <w:start w:val="1"/>
    </w:lvl>
  </w:abstractNum>
  <w:abstractNum w:abstractNumId="62">
    <w:nsid w:val="39EE015C"/>
    <w:multiLevelType w:val="hybridMultilevel"/>
    <w:lvl w:ilvl="0">
      <w:lvlJc w:val="left"/>
      <w:lvlText w:val="\endash "/>
      <w:numFmt w:val="bullet"/>
      <w:start w:val="1"/>
    </w:lvl>
  </w:abstractNum>
  <w:abstractNum w:abstractNumId="63">
    <w:nsid w:val="57FC4FBB"/>
    <w:multiLevelType w:val="hybridMultilevel"/>
    <w:lvl w:ilvl="0">
      <w:lvlJc w:val="left"/>
      <w:lvlText w:val="\endash "/>
      <w:numFmt w:val="bullet"/>
      <w:start w:val="1"/>
    </w:lvl>
  </w:abstractNum>
  <w:abstractNum w:abstractNumId="64">
    <w:nsid w:val="CC1016F"/>
    <w:multiLevelType w:val="hybridMultilevel"/>
    <w:lvl w:ilvl="0">
      <w:lvlJc w:val="left"/>
      <w:lvlText w:val="\endash "/>
      <w:numFmt w:val="bullet"/>
      <w:start w:val="1"/>
    </w:lvl>
  </w:abstractNum>
  <w:abstractNum w:abstractNumId="65">
    <w:nsid w:val="43F18422"/>
    <w:multiLevelType w:val="hybridMultilevel"/>
    <w:lvl w:ilvl="0">
      <w:lvlJc w:val="left"/>
      <w:lvlText w:val="\endash "/>
      <w:numFmt w:val="bullet"/>
      <w:start w:val="1"/>
    </w:lvl>
  </w:abstractNum>
  <w:abstractNum w:abstractNumId="66">
    <w:nsid w:val="60EF0119"/>
    <w:multiLevelType w:val="hybridMultilevel"/>
    <w:lvl w:ilvl="0">
      <w:lvlJc w:val="left"/>
      <w:lvlText w:val="\endash "/>
      <w:numFmt w:val="bullet"/>
      <w:start w:val="1"/>
    </w:lvl>
  </w:abstractNum>
  <w:abstractNum w:abstractNumId="67">
    <w:nsid w:val="26F324BA"/>
    <w:multiLevelType w:val="hybridMultilevel"/>
    <w:lvl w:ilvl="0">
      <w:lvlJc w:val="left"/>
      <w:lvlText w:val="\endash "/>
      <w:numFmt w:val="bullet"/>
      <w:start w:val="1"/>
    </w:lvl>
  </w:abstractNum>
  <w:abstractNum w:abstractNumId="68">
    <w:nsid w:val="7F01579B"/>
    <w:multiLevelType w:val="hybridMultilevel"/>
    <w:lvl w:ilvl="0">
      <w:lvlJc w:val="left"/>
      <w:lvlText w:val="\endash "/>
      <w:numFmt w:val="bullet"/>
      <w:start w:val="1"/>
    </w:lvl>
  </w:abstractNum>
  <w:abstractNum w:abstractNumId="69">
    <w:nsid w:val="49DA307D"/>
    <w:multiLevelType w:val="hybridMultilevel"/>
    <w:lvl w:ilvl="0">
      <w:lvlJc w:val="left"/>
      <w:lvlText w:val="\endash "/>
      <w:numFmt w:val="bullet"/>
      <w:start w:val="1"/>
    </w:lvl>
  </w:abstractNum>
  <w:abstractNum w:abstractNumId="70">
    <w:nsid w:val="7055A5F5"/>
    <w:multiLevelType w:val="hybridMultilevel"/>
    <w:lvl w:ilvl="0">
      <w:lvlJc w:val="left"/>
      <w:lvlText w:val="\endash "/>
      <w:numFmt w:val="bullet"/>
      <w:start w:val="1"/>
    </w:lvl>
  </w:abstractNum>
  <w:abstractNum w:abstractNumId="71">
    <w:nsid w:val="5FB8370B"/>
    <w:multiLevelType w:val="hybridMultilevel"/>
    <w:lvl w:ilvl="0">
      <w:lvlJc w:val="left"/>
      <w:lvlText w:val="\endash "/>
      <w:numFmt w:val="bullet"/>
      <w:start w:val="1"/>
    </w:lvl>
  </w:abstractNum>
  <w:abstractNum w:abstractNumId="72">
    <w:nsid w:val="50801EE1"/>
    <w:multiLevelType w:val="hybridMultilevel"/>
    <w:lvl w:ilvl="0">
      <w:lvlJc w:val="left"/>
      <w:lvlText w:val="\endash "/>
      <w:numFmt w:val="bullet"/>
      <w:start w:val="1"/>
    </w:lvl>
  </w:abstractNum>
  <w:abstractNum w:abstractNumId="73">
    <w:nsid w:val="488AC1A"/>
    <w:multiLevelType w:val="hybridMultilevel"/>
    <w:lvl w:ilvl="0">
      <w:lvlJc w:val="left"/>
      <w:lvlText w:val="\endash "/>
      <w:numFmt w:val="bullet"/>
      <w:start w:val="1"/>
    </w:lvl>
  </w:abstractNum>
  <w:abstractNum w:abstractNumId="74">
    <w:nsid w:val="5FB8011C"/>
    <w:multiLevelType w:val="hybridMultilevel"/>
    <w:lvl w:ilvl="0">
      <w:lvlJc w:val="left"/>
      <w:lvlText w:val="\endash "/>
      <w:numFmt w:val="bullet"/>
      <w:start w:val="1"/>
    </w:lvl>
  </w:abstractNum>
  <w:abstractNum w:abstractNumId="75">
    <w:nsid w:val="6AA78F7F"/>
    <w:multiLevelType w:val="hybridMultilevel"/>
    <w:lvl w:ilvl="0">
      <w:lvlJc w:val="left"/>
      <w:lvlText w:val="\endash "/>
      <w:numFmt w:val="bullet"/>
      <w:start w:val="1"/>
    </w:lvl>
  </w:abstractNum>
  <w:abstractNum w:abstractNumId="76">
    <w:nsid w:val="7672BD23"/>
    <w:multiLevelType w:val="hybridMultilevel"/>
    <w:lvl w:ilvl="0">
      <w:lvlJc w:val="left"/>
      <w:lvlText w:val="\endash "/>
      <w:numFmt w:val="bullet"/>
      <w:start w:val="1"/>
    </w:lvl>
  </w:abstractNum>
  <w:abstractNum w:abstractNumId="77">
    <w:nsid w:val="6FC75AF8"/>
    <w:multiLevelType w:val="hybridMultilevel"/>
    <w:lvl w:ilvl="0">
      <w:lvlJc w:val="left"/>
      <w:lvlText w:val="\endash "/>
      <w:numFmt w:val="bullet"/>
      <w:start w:val="1"/>
    </w:lvl>
  </w:abstractNum>
  <w:abstractNum w:abstractNumId="78">
    <w:nsid w:val="6A5F7029"/>
    <w:multiLevelType w:val="hybridMultilevel"/>
    <w:lvl w:ilvl="0">
      <w:lvlJc w:val="left"/>
      <w:lvlText w:val="\endash "/>
      <w:numFmt w:val="bullet"/>
      <w:start w:val="1"/>
    </w:lvl>
  </w:abstractNum>
  <w:abstractNum w:abstractNumId="79">
    <w:nsid w:val="7D5E18F8"/>
    <w:multiLevelType w:val="hybridMultilevel"/>
    <w:lvl w:ilvl="0">
      <w:lvlJc w:val="left"/>
      <w:lvlText w:val="\endash "/>
      <w:numFmt w:val="bullet"/>
      <w:start w:val="1"/>
    </w:lvl>
  </w:abstractNum>
  <w:abstractNum w:abstractNumId="80">
    <w:nsid w:val="5F3534A4"/>
    <w:multiLevelType w:val="hybridMultilevel"/>
    <w:lvl w:ilvl="0">
      <w:lvlJc w:val="left"/>
      <w:lvlText w:val="\endash "/>
      <w:numFmt w:val="bullet"/>
      <w:start w:val="1"/>
    </w:lvl>
  </w:abstractNum>
  <w:abstractNum w:abstractNumId="81">
    <w:nsid w:val="73A1821B"/>
    <w:multiLevelType w:val="hybridMultilevel"/>
    <w:lvl w:ilvl="0">
      <w:lvlJc w:val="left"/>
      <w:lvlText w:val="\endash "/>
      <w:numFmt w:val="bullet"/>
      <w:start w:val="1"/>
    </w:lvl>
  </w:abstractNum>
  <w:abstractNum w:abstractNumId="82">
    <w:nsid w:val="7DE67713"/>
    <w:multiLevelType w:val="hybridMultilevel"/>
    <w:lvl w:ilvl="0">
      <w:lvlJc w:val="left"/>
      <w:lvlText w:val="\endash "/>
      <w:numFmt w:val="bullet"/>
      <w:start w:val="1"/>
    </w:lvl>
  </w:abstractNum>
  <w:abstractNum w:abstractNumId="83">
    <w:nsid w:val="555C55B5"/>
    <w:multiLevelType w:val="hybridMultilevel"/>
    <w:lvl w:ilvl="0">
      <w:lvlJc w:val="left"/>
      <w:lvlText w:val="\endash "/>
      <w:numFmt w:val="bullet"/>
      <w:start w:val="1"/>
    </w:lvl>
  </w:abstractNum>
  <w:abstractNum w:abstractNumId="84">
    <w:nsid w:val="3FA62ACA"/>
    <w:multiLevelType w:val="hybridMultilevel"/>
    <w:lvl w:ilvl="0">
      <w:lvlJc w:val="left"/>
      <w:lvlText w:val="\endash "/>
      <w:numFmt w:val="bullet"/>
      <w:start w:val="1"/>
    </w:lvl>
  </w:abstractNum>
  <w:abstractNum w:abstractNumId="85">
    <w:nsid w:val="14FCE74E"/>
    <w:multiLevelType w:val="hybridMultilevel"/>
    <w:lvl w:ilvl="0">
      <w:lvlJc w:val="left"/>
      <w:lvlText w:val="\endash "/>
      <w:numFmt w:val="bullet"/>
      <w:start w:val="1"/>
    </w:lvl>
  </w:abstractNum>
  <w:abstractNum w:abstractNumId="86">
    <w:nsid w:val="6A3DD3E8"/>
    <w:multiLevelType w:val="hybridMultilevel"/>
    <w:lvl w:ilvl="0">
      <w:lvlJc w:val="left"/>
      <w:lvlText w:val="\endash "/>
      <w:numFmt w:val="bullet"/>
      <w:start w:val="1"/>
    </w:lvl>
  </w:abstractNum>
  <w:abstractNum w:abstractNumId="87">
    <w:nsid w:val="71C91298"/>
    <w:multiLevelType w:val="hybridMultilevel"/>
    <w:lvl w:ilvl="0">
      <w:lvlJc w:val="left"/>
      <w:lvlText w:val="\endash "/>
      <w:numFmt w:val="bullet"/>
      <w:start w:val="1"/>
    </w:lvl>
  </w:abstractNum>
  <w:abstractNum w:abstractNumId="88">
    <w:nsid w:val="9DAF632"/>
    <w:multiLevelType w:val="hybridMultilevel"/>
    <w:lvl w:ilvl="0">
      <w:lvlJc w:val="left"/>
      <w:lvlText w:val="\endash "/>
      <w:numFmt w:val="bullet"/>
      <w:start w:val="1"/>
    </w:lvl>
  </w:abstractNum>
  <w:abstractNum w:abstractNumId="89">
    <w:nsid w:val="53299938"/>
    <w:multiLevelType w:val="hybridMultilevel"/>
    <w:lvl w:ilvl="0">
      <w:lvlJc w:val="left"/>
      <w:lvlText w:val="\endash "/>
      <w:numFmt w:val="bullet"/>
      <w:start w:val="1"/>
    </w:lvl>
  </w:abstractNum>
  <w:abstractNum w:abstractNumId="90">
    <w:nsid w:val="1FBFE8E0"/>
    <w:multiLevelType w:val="hybridMultilevel"/>
    <w:lvl w:ilvl="0">
      <w:lvlJc w:val="left"/>
      <w:lvlText w:val="\endash "/>
      <w:numFmt w:val="bullet"/>
      <w:start w:val="1"/>
    </w:lvl>
  </w:abstractNum>
  <w:abstractNum w:abstractNumId="91">
    <w:nsid w:val="5092CA79"/>
    <w:multiLevelType w:val="hybridMultilevel"/>
    <w:lvl w:ilvl="0">
      <w:lvlJc w:val="left"/>
      <w:lvlText w:val="\endash "/>
      <w:numFmt w:val="bullet"/>
      <w:start w:val="1"/>
    </w:lvl>
  </w:abstractNum>
  <w:abstractNum w:abstractNumId="92">
    <w:nsid w:val="1D545C4D"/>
    <w:multiLevelType w:val="hybridMultilevel"/>
    <w:lvl w:ilvl="0">
      <w:lvlJc w:val="left"/>
      <w:lvlText w:val="\endash "/>
      <w:numFmt w:val="bullet"/>
      <w:start w:val="1"/>
    </w:lvl>
  </w:abstractNum>
  <w:abstractNum w:abstractNumId="93">
    <w:nsid w:val="59ADEA3D"/>
    <w:multiLevelType w:val="hybridMultilevel"/>
    <w:lvl w:ilvl="0">
      <w:lvlJc w:val="left"/>
      <w:lvlText w:val="\endash "/>
      <w:numFmt w:val="bullet"/>
      <w:start w:val="1"/>
    </w:lvl>
  </w:abstractNum>
  <w:abstractNum w:abstractNumId="94">
    <w:nsid w:val="288F1A34"/>
    <w:multiLevelType w:val="hybridMultilevel"/>
    <w:lvl w:ilvl="0">
      <w:lvlJc w:val="left"/>
      <w:lvlText w:val="\endash "/>
      <w:numFmt w:val="bullet"/>
      <w:start w:val="1"/>
    </w:lvl>
  </w:abstractNum>
  <w:abstractNum w:abstractNumId="95">
    <w:nsid w:val="2A155DBC"/>
    <w:multiLevelType w:val="hybridMultilevel"/>
    <w:lvl w:ilvl="0">
      <w:lvlJc w:val="left"/>
      <w:lvlText w:val="\endash "/>
      <w:numFmt w:val="bullet"/>
      <w:start w:val="1"/>
    </w:lvl>
  </w:abstractNum>
  <w:abstractNum w:abstractNumId="96">
    <w:nsid w:val="1D9F6E5F"/>
    <w:multiLevelType w:val="hybridMultilevel"/>
    <w:lvl w:ilvl="0">
      <w:lvlJc w:val="left"/>
      <w:lvlText w:val="\endash "/>
      <w:numFmt w:val="bullet"/>
      <w:start w:val="1"/>
    </w:lvl>
  </w:abstractNum>
  <w:abstractNum w:abstractNumId="97">
    <w:nsid w:val="97E1B4E"/>
    <w:multiLevelType w:val="hybridMultilevel"/>
    <w:lvl w:ilvl="0">
      <w:lvlJc w:val="left"/>
      <w:lvlText w:val="\endash "/>
      <w:numFmt w:val="bullet"/>
      <w:start w:val="1"/>
    </w:lvl>
  </w:abstractNum>
  <w:abstractNum w:abstractNumId="98">
    <w:nsid w:val="51088277"/>
    <w:multiLevelType w:val="hybridMultilevel"/>
    <w:lvl w:ilvl="0">
      <w:lvlJc w:val="left"/>
      <w:lvlText w:val="\endash "/>
      <w:numFmt w:val="bullet"/>
      <w:start w:val="1"/>
    </w:lvl>
  </w:abstractNum>
  <w:abstractNum w:abstractNumId="99">
    <w:nsid w:val="1CA0C5FA"/>
    <w:multiLevelType w:val="hybridMultilevel"/>
    <w:lvl w:ilvl="0">
      <w:lvlJc w:val="left"/>
      <w:lvlText w:val="\endash "/>
      <w:numFmt w:val="bullet"/>
      <w:start w:val="1"/>
    </w:lvl>
  </w:abstractNum>
  <w:abstractNum w:abstractNumId="100">
    <w:nsid w:val="53584BCB"/>
    <w:multiLevelType w:val="hybridMultilevel"/>
    <w:lvl w:ilvl="0">
      <w:lvlJc w:val="left"/>
      <w:lvlText w:val="\endash "/>
      <w:numFmt w:val="bullet"/>
      <w:start w:val="1"/>
    </w:lvl>
  </w:abstractNum>
  <w:abstractNum w:abstractNumId="101">
    <w:nsid w:val="415E286C"/>
    <w:multiLevelType w:val="hybridMultilevel"/>
    <w:lvl w:ilvl="0">
      <w:lvlJc w:val="left"/>
      <w:lvlText w:val="\endash "/>
      <w:numFmt w:val="bullet"/>
      <w:start w:val="1"/>
    </w:lvl>
  </w:abstractNum>
  <w:abstractNum w:abstractNumId="102">
    <w:nsid w:val="7C58FD05"/>
    <w:multiLevelType w:val="hybridMultilevel"/>
    <w:lvl w:ilvl="0">
      <w:lvlJc w:val="left"/>
      <w:lvlText w:val="\endash "/>
      <w:numFmt w:val="bullet"/>
      <w:start w:val="1"/>
    </w:lvl>
  </w:abstractNum>
  <w:abstractNum w:abstractNumId="103">
    <w:nsid w:val="23D86AAC"/>
    <w:multiLevelType w:val="hybridMultilevel"/>
    <w:lvl w:ilvl="0">
      <w:lvlJc w:val="left"/>
      <w:lvlText w:val="\endash "/>
      <w:numFmt w:val="bullet"/>
      <w:start w:val="1"/>
    </w:lvl>
  </w:abstractNum>
  <w:abstractNum w:abstractNumId="104">
    <w:nsid w:val="45E6D486"/>
    <w:multiLevelType w:val="hybridMultilevel"/>
    <w:lvl w:ilvl="0">
      <w:lvlJc w:val="left"/>
      <w:lvlText w:val="\endash "/>
      <w:numFmt w:val="bullet"/>
      <w:start w:val="1"/>
    </w:lvl>
  </w:abstractNum>
  <w:abstractNum w:abstractNumId="105">
    <w:nsid w:val="5C10FE21"/>
    <w:multiLevelType w:val="hybridMultilevel"/>
    <w:lvl w:ilvl="0">
      <w:lvlJc w:val="left"/>
      <w:lvlText w:val="\endash "/>
      <w:numFmt w:val="bullet"/>
      <w:start w:val="1"/>
    </w:lvl>
  </w:abstractNum>
  <w:abstractNum w:abstractNumId="106">
    <w:nsid w:val="E7FFA2B"/>
    <w:multiLevelType w:val="hybridMultilevel"/>
    <w:lvl w:ilvl="0">
      <w:lvlJc w:val="left"/>
      <w:lvlText w:val="\endash "/>
      <w:numFmt w:val="bullet"/>
      <w:start w:val="1"/>
    </w:lvl>
  </w:abstractNum>
  <w:abstractNum w:abstractNumId="107">
    <w:nsid w:val="3C5991AA"/>
    <w:multiLevelType w:val="hybridMultilevel"/>
    <w:lvl w:ilvl="0">
      <w:lvlJc w:val="left"/>
      <w:lvlText w:val="\endash "/>
      <w:numFmt w:val="bullet"/>
      <w:start w:val="1"/>
    </w:lvl>
  </w:abstractNum>
  <w:abstractNum w:abstractNumId="108">
    <w:nsid w:val="4BD8591A"/>
    <w:multiLevelType w:val="hybridMultilevel"/>
    <w:lvl w:ilvl="0">
      <w:lvlJc w:val="left"/>
      <w:lvlText w:val="\endash "/>
      <w:numFmt w:val="bullet"/>
      <w:start w:val="1"/>
    </w:lvl>
  </w:abstractNum>
  <w:abstractNum w:abstractNumId="109">
    <w:nsid w:val="78DF6A55"/>
    <w:multiLevelType w:val="hybridMultilevel"/>
    <w:lvl w:ilvl="0">
      <w:lvlJc w:val="left"/>
      <w:lvlText w:val="\endash "/>
      <w:numFmt w:val="bullet"/>
      <w:start w:val="1"/>
    </w:lvl>
  </w:abstractNum>
  <w:abstractNum w:abstractNumId="110">
    <w:nsid w:val="39B7AAA2"/>
    <w:multiLevelType w:val="hybridMultilevel"/>
    <w:lvl w:ilvl="0">
      <w:lvlJc w:val="left"/>
      <w:lvlText w:val="\endash "/>
      <w:numFmt w:val="bullet"/>
      <w:start w:val="1"/>
    </w:lvl>
  </w:abstractNum>
  <w:abstractNum w:abstractNumId="111">
    <w:nsid w:val="2B0D8DBE"/>
    <w:multiLevelType w:val="hybridMultilevel"/>
    <w:lvl w:ilvl="0">
      <w:lvlJc w:val="left"/>
      <w:lvlText w:val="\endash "/>
      <w:numFmt w:val="bullet"/>
      <w:start w:val="1"/>
    </w:lvl>
  </w:abstractNum>
  <w:abstractNum w:abstractNumId="112">
    <w:nsid w:val="6C80EC70"/>
    <w:multiLevelType w:val="hybridMultilevel"/>
    <w:lvl w:ilvl="0">
      <w:lvlJc w:val="left"/>
      <w:lvlText w:val="\endash "/>
      <w:numFmt w:val="bullet"/>
      <w:start w:val="1"/>
    </w:lvl>
  </w:abstractNum>
  <w:abstractNum w:abstractNumId="113">
    <w:nsid w:val="379E21B5"/>
    <w:multiLevelType w:val="hybridMultilevel"/>
    <w:lvl w:ilvl="0">
      <w:lvlJc w:val="left"/>
      <w:lvlText w:val="\endash "/>
      <w:numFmt w:val="bullet"/>
      <w:start w:val="1"/>
    </w:lvl>
  </w:abstractNum>
  <w:abstractNum w:abstractNumId="114">
    <w:nsid w:val="69E373"/>
    <w:multiLevelType w:val="hybridMultilevel"/>
    <w:lvl w:ilvl="0">
      <w:lvlJc w:val="left"/>
      <w:lvlText w:val="\endash "/>
      <w:numFmt w:val="bullet"/>
      <w:start w:val="1"/>
    </w:lvl>
  </w:abstractNum>
  <w:abstractNum w:abstractNumId="115">
    <w:nsid w:val="2C27173B"/>
    <w:multiLevelType w:val="hybridMultilevel"/>
    <w:lvl w:ilvl="0">
      <w:lvlJc w:val="left"/>
      <w:lvlText w:val="\endash "/>
      <w:numFmt w:val="bullet"/>
      <w:start w:val="1"/>
    </w:lvl>
  </w:abstractNum>
  <w:abstractNum w:abstractNumId="116">
    <w:nsid w:val="4C9B0904"/>
    <w:multiLevelType w:val="hybridMultilevel"/>
    <w:lvl w:ilvl="0">
      <w:lvlJc w:val="left"/>
      <w:lvlText w:val="\endash "/>
      <w:numFmt w:val="bullet"/>
      <w:start w:val="1"/>
    </w:lvl>
  </w:abstractNum>
  <w:abstractNum w:abstractNumId="117">
    <w:nsid w:val="6AA7B75C"/>
    <w:multiLevelType w:val="hybridMultilevel"/>
    <w:lvl w:ilvl="0">
      <w:lvlJc w:val="left"/>
      <w:lvlText w:val="\endash "/>
      <w:numFmt w:val="bullet"/>
      <w:start w:val="1"/>
    </w:lvl>
  </w:abstractNum>
  <w:abstractNum w:abstractNumId="118">
    <w:nsid w:val="1DF029D3"/>
    <w:multiLevelType w:val="hybridMultilevel"/>
    <w:lvl w:ilvl="0">
      <w:lvlJc w:val="left"/>
      <w:lvlText w:val="\endash "/>
      <w:numFmt w:val="bullet"/>
      <w:start w:val="1"/>
    </w:lvl>
  </w:abstractNum>
  <w:abstractNum w:abstractNumId="119">
    <w:nsid w:val="5675FF36"/>
    <w:multiLevelType w:val="hybridMultilevel"/>
    <w:lvl w:ilvl="0">
      <w:lvlJc w:val="left"/>
      <w:lvlText w:val="\endash "/>
      <w:numFmt w:val="bullet"/>
      <w:start w:val="1"/>
    </w:lvl>
  </w:abstractNum>
  <w:abstractNum w:abstractNumId="120">
    <w:nsid w:val="3DD15094"/>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2025-08-04T07:06:40Z</dcterms:created>
  <dcterms:modified xsi:type="dcterms:W3CDTF">2025-08-04T07:06:40Z</dcterms:modified>
</cp:coreProperties>
</file>